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fastEmbedR: Multicore and GPU UMAP and</w:t>
      </w:r>
      <w:r>
        <w:t xml:space="preserve"> </w:t>
      </w:r>
      <w:r>
        <w:t xml:space="preserve">Compact-Support t-SNE in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Author"/>
      </w:pPr>
      <w:r>
        <w:t xml:space="preserve">Moussa Kassim Mohamed</w:t>
      </w:r>
      <w:r>
        <w:rPr>
          <w:vertAlign w:val="superscript"/>
        </w:rPr>
        <w:t>1,2,*</w:t>
      </w:r>
      <w:r>
        <w:t xml:space="preserve"> </w:t>
      </w:r>
      <w:r>
        <w:t xml:space="preserve">Martin Ocharo</w:t>
      </w:r>
      <w:r>
        <w:rPr>
          <w:vertAlign w:val="superscript"/>
        </w:rPr>
        <w:t>1,2,*</w:t>
      </w:r>
      <w:r>
        <w:br/>
      </w:r>
      <w:r>
        <w:t xml:space="preserve">Giulia Canarutto</w:t>
      </w:r>
      <w:r>
        <w:rPr>
          <w:vertAlign w:val="superscript"/>
        </w:rPr>
        <w:t>3,4</w:t>
      </w:r>
      <w:r>
        <w:t xml:space="preserve"> </w:t>
      </w:r>
      <w:r>
        <w:t xml:space="preserve">Dalia Ahmed</w:t>
      </w:r>
      <w:r>
        <w:rPr>
          <w:vertAlign w:val="superscript"/>
        </w:rPr>
        <w:t>1</w:t>
      </w:r>
      <w:r>
        <w:t xml:space="preserve"> </w:t>
      </w:r>
      <w:r>
        <w:t xml:space="preserve">Dupe Ojo</w:t>
      </w:r>
      <w:r>
        <w:rPr>
          <w:vertAlign w:val="superscript"/>
        </w:rPr>
        <w:t>1</w:t>
      </w:r>
      <w:r>
        <w:br/>
      </w:r>
      <w:r>
        <w:t xml:space="preserve">Alessia Vignoli</w:t>
      </w:r>
      <w:r>
        <w:rPr>
          <w:vertAlign w:val="superscript"/>
        </w:rPr>
        <w:t>5,6</w:t>
      </w:r>
      <w:r>
        <w:t xml:space="preserve"> </w:t>
      </w:r>
      <w:r>
        <w:t xml:space="preserve">Leonardo Tenori</w:t>
      </w:r>
      <w:r>
        <w:rPr>
          <w:vertAlign w:val="superscript"/>
        </w:rPr>
        <w:t>5,6,†</w:t>
      </w:r>
      <w:r>
        <w:br/>
      </w:r>
      <w:r>
        <w:t xml:space="preserve">Dinesh Gupta</w:t>
      </w:r>
      <w:r>
        <w:rPr>
          <w:vertAlign w:val="superscript"/>
        </w:rPr>
        <w:t>7</w:t>
      </w:r>
      <w:r>
        <w:t xml:space="preserve"> </w:t>
      </w:r>
      <w:r>
        <w:t xml:space="preserve">Silvano Piazza</w:t>
      </w:r>
      <w:r>
        <w:rPr>
          <w:vertAlign w:val="superscript"/>
        </w:rPr>
        <w:t>3,8</w:t>
      </w:r>
      <w:r>
        <w:br/>
      </w:r>
      <w:r>
        <w:t xml:space="preserve">Stefano Cacciatore</w:t>
      </w:r>
      <w:r>
        <w:rPr>
          <w:vertAlign w:val="superscript"/>
        </w:rPr>
        <w:t>1,2,†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Uniform manifold approximation and projection (UMAP) and</w:t>
      </w:r>
      <w:r>
        <w:t xml:space="preserve"> </w:t>
      </w:r>
      <w:r>
        <w:t xml:space="preserve">t-distributed stochastic neighbor embedding (t-SNE) are widely used</w:t>
      </w:r>
      <w:r>
        <w:t xml:space="preserve"> </w:t>
      </w:r>
      <w:r>
        <w:t xml:space="preserve">for exploratory visualization, but large data sets make neighbor search,</w:t>
      </w:r>
      <w:r>
        <w:t xml:space="preserve"> </w:t>
      </w:r>
      <w:r>
        <w:t xml:space="preserve">initialization, graph construction, and layout optimization expensive.</w:t>
      </w:r>
      <w:r>
        <w:t xml:space="preserve"> </w:t>
      </w:r>
      <w:r>
        <w:t xml:space="preserve">fastEmbedR is an MIT-licensed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package that implements fuzzy</w:t>
      </w:r>
      <w:r>
        <w:t xml:space="preserve"> </w:t>
      </w:r>
      <w:r>
        <w:t xml:space="preserve">UMAP and a compact-support interpolation-based t-SNE variant, with candidate</w:t>
      </w:r>
      <w:r>
        <w:t xml:space="preserve"> </w:t>
      </w:r>
      <w:r>
        <w:t xml:space="preserve">width equal to perplexity, on multicore CPU, Apple Metal, and NVIDIA CUDA.</w:t>
      </w:r>
      <w:r>
        <w:t xml:space="preserve"> </w:t>
      </w:r>
      <w:r>
        <w:t xml:space="preserve">Matrix, float32, and reusable nearest-neighbor inputs share strict backend</w:t>
      </w:r>
      <w:r>
        <w:t xml:space="preserve"> </w:t>
      </w:r>
      <w:r>
        <w:t xml:space="preserve">reporting. The package also provides randomized principal component</w:t>
      </w:r>
      <w:r>
        <w:t xml:space="preserve"> </w:t>
      </w:r>
      <w:r>
        <w:t xml:space="preserve">analysis (PCA), reusable weighted graphs, community detection, optional</w:t>
      </w:r>
      <w:r>
        <w:t xml:space="preserve"> </w:t>
      </w:r>
      <w:r>
        <w:t xml:space="preserve">landmark fitting, and fixed-reference projection.</w:t>
      </w:r>
      <w:r>
        <w:t xml:space="preserve"> </w:t>
      </w:r>
      <w:r>
        <w:t xml:space="preserve">Component tests compare graph weights, affinities, forces, gradients, and</w:t>
      </w:r>
      <w:r>
        <w:t xml:space="preserve"> </w:t>
      </w:r>
      <w:r>
        <w:t xml:space="preserve">trajectories with independent references. The benchmark design evaluates</w:t>
      </w:r>
      <w:r>
        <w:t xml:space="preserve"> </w:t>
      </w:r>
      <w:r>
        <w:t xml:space="preserve">complete public calls separately from direct-Python fits and records</w:t>
      </w:r>
      <w:r>
        <w:t xml:space="preserve"> </w:t>
      </w:r>
      <w:r>
        <w:t xml:space="preserve">runtime, memory, observed neighbor recall, and embedding quality. The</w:t>
      </w:r>
      <w:r>
        <w:t xml:space="preserve"> </w:t>
      </w:r>
      <w:r>
        <w:t xml:space="preserve">available full-data, 11-data-set workflow campaign is diagnostic because</w:t>
      </w:r>
      <w:r>
        <w:t xml:space="preserve"> </w:t>
      </w:r>
      <w:r>
        <w:t xml:space="preserve">its final audit failed. It does not establish release-level speedups. Source,</w:t>
      </w:r>
      <w:r>
        <w:t xml:space="preserve"> </w:t>
      </w:r>
      <w:r>
        <w:t xml:space="preserve">documentation, and reproducible benchmark code are publicly available.</w:t>
      </w:r>
    </w:p>
    <w:bookmarkEnd w:id="20"/>
    <w:bookmarkStart w:id="21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dimensionality reduction, GPU computing, Metal, CUDA, PCA,</w:t>
      </w:r>
      <w:r>
        <w:t xml:space="preserve"> </w:t>
      </w:r>
      <w:r>
        <w:t xml:space="preserve">t-SNE, UMAP</w:t>
      </w:r>
    </w:p>
    <w:bookmarkEnd w:id="21"/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Uniform manifold approximation and projection (UMAP) and t-distributed</w:t>
      </w:r>
      <w:r>
        <w:t xml:space="preserve"> </w:t>
      </w:r>
      <w:r>
        <w:t xml:space="preserve">stochastic neighbor embedding (t-SNE) are standard tools for inspecting</w:t>
      </w:r>
      <w:r>
        <w:t xml:space="preserve"> </w:t>
      </w:r>
      <w:r>
        <w:t xml:space="preserve">high-dimensional data in genomics, cytometry, image analysis, and 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(Maaten and Hinton 2008; McInnes, Healy, and Melville 2018; Kobak and Berens 2019)</w:t>
      </w:r>
      <w:r>
        <w:t xml:space="preserve">. Their output is a</w:t>
      </w:r>
      <w:r>
        <w:t xml:space="preserve"> </w:t>
      </w:r>
      <w:r>
        <w:t xml:space="preserve">low-dimensional layout that aims to retain local relationships from the</w:t>
      </w:r>
      <w:r>
        <w:t xml:space="preserve"> </w:t>
      </w:r>
      <w:r>
        <w:t xml:space="preserve">original feature space. The computational burden is not limited to the final</w:t>
      </w:r>
      <w:r>
        <w:t xml:space="preserve"> </w:t>
      </w:r>
      <w:r>
        <w:t xml:space="preserve">optimization. A complete workflow also includes preprocessing,</w:t>
      </w:r>
      <w:r>
        <w:t xml:space="preserve"> </w:t>
      </w:r>
      <m:oMath>
        <m:r>
          <m:t>k</m:t>
        </m:r>
      </m:oMath>
      <w:r>
        <w:t xml:space="preserve">-nearest-neighbor (KNN)</w:t>
      </w:r>
      <w:r>
        <w:t xml:space="preserve"> </w:t>
      </w:r>
      <w:r>
        <w:t xml:space="preserve">search, graph or affinity construction, initialization, and data movement</w:t>
      </w:r>
      <w:r>
        <w:t xml:space="preserve"> </w:t>
      </w:r>
      <w:r>
        <w:t xml:space="preserve">between the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process and an accelerator.</w:t>
      </w:r>
    </w:p>
    <w:p>
      <w:pPr>
        <w:pStyle w:val="BodyText"/>
      </w:pPr>
      <w:r>
        <w:t xml:space="preserve">Several implementations address individual parts of this problem.</w:t>
      </w:r>
      <w:r>
        <w:t xml:space="preserve"> </w:t>
      </w:r>
      <w:r>
        <w:t xml:space="preserve">Barnes-Hut t-SNE reduces repulsive-force complexity</w:t>
      </w:r>
      <w:r>
        <w:t xml:space="preserve"> </w:t>
      </w:r>
      <w:r>
        <w:t xml:space="preserve">(Maaten 2014)</w:t>
      </w:r>
      <w:r>
        <w:t xml:space="preserve">; interpolation-based t-SNE uses a regular grid and</w:t>
      </w:r>
      <w:r>
        <w:t xml:space="preserve"> </w:t>
      </w:r>
      <w:r>
        <w:t xml:space="preserve">fast Fourier transform (FFT) convolutions</w:t>
      </w:r>
      <w:r>
        <w:t xml:space="preserve"> </w:t>
      </w:r>
      <w:r>
        <w:t xml:space="preserve">(Linderman et al. 2019)</w:t>
      </w:r>
      <w:r>
        <w:t xml:space="preserve">; and GPU</w:t>
      </w:r>
      <w:r>
        <w:t xml:space="preserve"> </w:t>
      </w:r>
      <w:r>
        <w:t xml:space="preserve">implementations accelerate both t-SNE and UMAP</w:t>
      </w:r>
      <w:r>
        <w:t xml:space="preserve"> </w:t>
      </w:r>
      <w:r>
        <w:t xml:space="preserve">(Chan et al. 2018; Nolet et al. 2020)</w:t>
      </w:r>
      <w:r>
        <w:t xml:space="preserve">. In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Rtsne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uwot</w:t>
      </w:r>
      <w:r>
        <w:t xml:space="preserve"> </w:t>
      </w:r>
      <w:r>
        <w:t xml:space="preserve">provide mature CPU workflows, while FIt-SNE, Python openTSNE, umap-learn, and</w:t>
      </w:r>
      <w:r>
        <w:t xml:space="preserve"> </w:t>
      </w:r>
      <w:r>
        <w:t xml:space="preserve">RAPIDS cuML provide additional CPU or CUDA routes. A user nevertheless often</w:t>
      </w:r>
      <w:r>
        <w:t xml:space="preserve"> </w:t>
      </w:r>
      <w:r>
        <w:t xml:space="preserve">has to combine several packages or language environments, materialize the</w:t>
      </w:r>
      <w:r>
        <w:t xml:space="preserve"> </w:t>
      </w:r>
      <w:r>
        <w:t xml:space="preserve">same neighbor graph repeatedly, and accept different data types and timing</w:t>
      </w:r>
      <w:r>
        <w:t xml:space="preserve"> </w:t>
      </w:r>
      <w:r>
        <w:t xml:space="preserve">boundaries.</w:t>
      </w:r>
    </w:p>
    <w:p>
      <w:pPr>
        <w:pStyle w:val="BodyText"/>
      </w:pPr>
      <w:r>
        <w:t xml:space="preserve">fastEmbedR addresses this systems problem with one native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interface for multicore central processing units (CPUs), Apple Metal, and</w:t>
      </w:r>
      <w:r>
        <w:t xml:space="preserve"> </w:t>
      </w:r>
      <w:r>
        <w:t xml:space="preserve">NVIDIA Compute Unified Device Architecture (CUDA). Its principal contributions</w:t>
      </w:r>
      <w:r>
        <w:t xml:space="preserve"> </w:t>
      </w:r>
      <w:r>
        <w:t xml:space="preserve">are software-engineering rather than new UMAP or t-SNE mathematics:</w:t>
      </w:r>
    </w:p>
    <w:p>
      <w:pPr>
        <w:numPr>
          <w:ilvl w:val="0"/>
          <w:numId w:val="1001"/>
        </w:numPr>
      </w:pPr>
      <w:r>
        <w:t xml:space="preserve">package-owned float32 fuzzy UMAP and compact-support t-SNE</w:t>
      </w:r>
      <w:r>
        <w:t xml:space="preserve"> </w:t>
      </w:r>
      <w:r>
        <w:t xml:space="preserve">implementations, including interpolation-based repulsion, with strict</w:t>
      </w:r>
      <w:r>
        <w:t xml:space="preserve"> </w:t>
      </w:r>
      <w:r>
        <w:t xml:space="preserve">backend reporting;</w:t>
      </w:r>
    </w:p>
    <w:p>
      <w:pPr>
        <w:numPr>
          <w:ilvl w:val="0"/>
          <w:numId w:val="1001"/>
        </w:numPr>
      </w:pPr>
      <w:r>
        <w:t xml:space="preserve">matrix and precomputed-neighbor interfaces that reuse native</w:t>
      </w:r>
      <w:r>
        <w:t xml:space="preserve"> </w:t>
      </w:r>
      <w:r>
        <w:t xml:space="preserve">nearest-neighbor results and avoid unnecessary host-device transfers;</w:t>
      </w:r>
    </w:p>
    <w:p>
      <w:pPr>
        <w:numPr>
          <w:ilvl w:val="0"/>
          <w:numId w:val="1001"/>
        </w:numPr>
      </w:pPr>
      <w:r>
        <w:t xml:space="preserve">landmark models and fixed-reference transformation for new samples;</w:t>
      </w:r>
    </w:p>
    <w:p>
      <w:pPr>
        <w:numPr>
          <w:ilvl w:val="0"/>
          <w:numId w:val="1001"/>
        </w:numPr>
      </w:pPr>
      <w:r>
        <w:t xml:space="preserve">shared CPU, Metal, and CUDA validation tests for affinities, graph</w:t>
      </w:r>
      <w:r>
        <w:t xml:space="preserve"> </w:t>
      </w:r>
      <w:r>
        <w:t xml:space="preserve">weights, forces, optimization, precision, and difficult inputs; and</w:t>
      </w:r>
    </w:p>
    <w:p>
      <w:pPr>
        <w:numPr>
          <w:ilvl w:val="0"/>
          <w:numId w:val="1001"/>
        </w:numPr>
      </w:pPr>
      <w:r>
        <w:t xml:space="preserve">typed results carrying resolved parameters, precision, backend, and</w:t>
      </w:r>
      <w:r>
        <w:t xml:space="preserve"> </w:t>
      </w:r>
      <w:r>
        <w:t xml:space="preserve">timing information.</w:t>
      </w:r>
    </w:p>
    <w:p>
      <w:pPr>
        <w:pStyle w:val="FirstParagraph"/>
      </w:pPr>
      <w:r>
        <w:t xml:space="preserve">Supporting utilities provide backend-native randomized PCA for preprocessing</w:t>
      </w:r>
      <w:r>
        <w:t xml:space="preserve"> </w:t>
      </w:r>
      <w:r>
        <w:t xml:space="preserve">and t-SNE initialization and native weighted graph construction with Louvain,</w:t>
      </w:r>
      <w:r>
        <w:t xml:space="preserve"> </w:t>
      </w:r>
      <w:r>
        <w:t xml:space="preserve">Leiden, and Walktrap community detection. These utilities complete common</w:t>
      </w:r>
      <w:r>
        <w:t xml:space="preserve"> </w:t>
      </w:r>
      <w:r>
        <w:t xml:space="preserve">embedding workflows but are not the basis of the principal embedding claims.</w:t>
      </w:r>
    </w:p>
    <w:p>
      <w:pPr>
        <w:pStyle w:val="BodyText"/>
      </w:pPr>
      <w:r>
        <w:t xml:space="preserve">The package is intentionally not an API clone of any one reference</w:t>
      </w:r>
      <w:r>
        <w:t xml:space="preserve"> </w:t>
      </w:r>
      <w:r>
        <w:t xml:space="preserve">implementation. It follows the published UMAP objective and the</w:t>
      </w:r>
      <w:r>
        <w:t xml:space="preserve"> </w:t>
      </w:r>
      <w:r>
        <w:t xml:space="preserve">interpolation-based t-SNE optimizer, while its production t-SNE affinity uses</w:t>
      </w:r>
      <w:r>
        <w:t xml:space="preserve"> </w:t>
      </w:r>
      <w:r>
        <w:t xml:space="preserve">compact support with one non-self candidate neighbor per unit of perplexity.</w:t>
      </w:r>
      <w:r>
        <w:t xml:space="preserve"> </w:t>
      </w:r>
      <w:r>
        <w:t xml:space="preserve">This policy differs from conventional sparse t-SNE workflows with wider</w:t>
      </w:r>
      <w:r>
        <w:t xml:space="preserve"> </w:t>
      </w:r>
      <w:r>
        <w:t xml:space="preserve">candidate sets. Fuzzy UMAP is the default. A binary graph mode</w:t>
      </w:r>
      <w:r>
        <w:t xml:space="preserve"> </w:t>
      </w:r>
      <w:r>
        <w:t xml:space="preserve">is retained as a separately labeled adjacency sensitivity analysis that can</w:t>
      </w:r>
      <w:r>
        <w:t xml:space="preserve"> </w:t>
      </w:r>
      <w:r>
        <w:t xml:space="preserve">emphasize cluster boundaries, but it changes the graph objective and is not a</w:t>
      </w:r>
      <w:r>
        <w:t xml:space="preserve"> </w:t>
      </w:r>
      <w:r>
        <w:t xml:space="preserve">replacement for standard fuzzy UMAP.</w:t>
      </w:r>
    </w:p>
    <w:p>
      <w:pPr>
        <w:pStyle w:val="BodyText"/>
      </w:pPr>
      <w:r>
        <w:t xml:space="preserve">Table </w:t>
      </w:r>
      <w:hyperlink w:anchor="tab:related-softwar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capabilities of the listed</w:t>
      </w:r>
      <w:r>
        <w:t xml:space="preserve"> </w:t>
      </w:r>
      <w:r>
        <w:t xml:space="preserve">versions. Multicore CPU indicates user-selectable parallel CPU work; KNN</w:t>
      </w:r>
      <w:r>
        <w:t xml:space="preserve"> </w:t>
      </w:r>
      <w:r>
        <w:t xml:space="preserve">input means that an embedding can consume precomputed nearest neighbors.</w:t>
      </w:r>
      <w:r>
        <w:t xml:space="preserve"> </w:t>
      </w:r>
      <w:r>
        <w:t xml:space="preserve">For landmarking,</w:t>
      </w:r>
      <w:r>
        <w:t xml:space="preserve"> </w:t>
      </w:r>
      <w:r>
        <w:t xml:space="preserve">“manual”</w:t>
      </w:r>
      <w:r>
        <w:t xml:space="preserve"> </w:t>
      </w:r>
      <w:r>
        <w:t xml:space="preserve">means fitting a selected reference subset and</w:t>
      </w:r>
      <w:r>
        <w:t xml:space="preserve"> </w:t>
      </w:r>
      <w:r>
        <w:t xml:space="preserve">projecting the remainder through a separate public transform method,</w:t>
      </w:r>
      <w:r>
        <w:t xml:space="preserve"> </w:t>
      </w:r>
      <w:r>
        <w:t xml:space="preserve">whereas</w:t>
      </w:r>
      <w:r>
        <w:t xml:space="preserve"> </w:t>
      </w:r>
      <w:r>
        <w:t xml:space="preserve">“built-in”</w:t>
      </w:r>
      <w:r>
        <w:t xml:space="preserve"> </w:t>
      </w:r>
      <w:r>
        <w:t xml:space="preserve">includes landmark selection and projection.</w:t>
      </w:r>
    </w:p>
    <w:bookmarkStart w:id="22" w:name="tab:related-software"/>
    <w:p>
      <w:pPr>
        <w:pStyle w:val="TableCaption"/>
      </w:pPr>
      <w:r>
        <w:t xml:space="preserve">Core embedding capabilities of related software. Experimental</w:t>
      </w:r>
      <w:r>
        <w:t xml:space="preserve"> </w:t>
      </w:r>
      <w:r>
        <w:t xml:space="preserve">file-backed routes are excluded.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Caption w:val="Core embedding capabilities of related software. Experimental file-backed routes are excluded."/>
      </w:tblPr>
      <w:tblGrid>
        <w:gridCol w:w="2016"/>
        <w:gridCol w:w="1224"/>
        <w:gridCol w:w="936"/>
        <w:gridCol w:w="706"/>
        <w:gridCol w:w="706"/>
        <w:gridCol w:w="1512"/>
        <w:gridCol w:w="1109"/>
        <w:gridCol w:w="1109"/>
      </w:tblGrid>
      <w:tr>
        <w:trPr>
          <w:tblHeader w:val="on"/>
        </w:trPr>
        <w:tc>
          <w:tcPr>
            <w:tcW w:type="dxa" w:w="2016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Software</w:t>
            </w:r>
          </w:p>
        </w:tc>
        <w:tc>
          <w:tcPr>
            <w:tcW w:type="dxa" w:w="122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Method</w:t>
            </w:r>
          </w:p>
        </w:tc>
        <w:tc>
          <w:tcPr>
            <w:tcW w:type="dxa" w:w="93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Multi-CPU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CUDA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Metal</w:t>
            </w:r>
          </w:p>
        </w:tc>
        <w:tc>
          <w:tcPr>
            <w:tcW w:type="dxa" w:w="1512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Landmarking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KNN input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3D output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Rtsne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0.17</w:t>
            </w:r>
          </w:p>
        </w:tc>
        <w:tc>
          <w:tcPr>
            <w:tcW w:type="dxa" w:w="122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t-SNE</w:t>
            </w:r>
          </w:p>
        </w:tc>
        <w:tc>
          <w:tcPr>
            <w:tcW w:type="dxa" w:w="93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512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 / –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FIt-SNE 47ff14f</w:t>
            </w:r>
          </w:p>
        </w:tc>
        <w:tc>
          <w:tcPr>
            <w:tcW w:type="dxa" w:w="122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t-SNE</w:t>
            </w:r>
          </w:p>
        </w:tc>
        <w:tc>
          <w:tcPr>
            <w:tcW w:type="dxa" w:w="93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512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Limited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 / –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openTSNE 1.0.4</w:t>
            </w:r>
          </w:p>
        </w:tc>
        <w:tc>
          <w:tcPr>
            <w:tcW w:type="dxa" w:w="122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t-SNE</w:t>
            </w:r>
          </w:p>
        </w:tc>
        <w:tc>
          <w:tcPr>
            <w:tcW w:type="dxa" w:w="93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512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Manual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 / –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uwot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0.2.5</w:t>
            </w:r>
          </w:p>
        </w:tc>
        <w:tc>
          <w:tcPr>
            <w:tcW w:type="dxa" w:w="122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UMAP</w:t>
            </w:r>
          </w:p>
        </w:tc>
        <w:tc>
          <w:tcPr>
            <w:tcW w:type="dxa" w:w="93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512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Manual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– / Yes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umap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0.2.10.0</w:t>
            </w:r>
          </w:p>
        </w:tc>
        <w:tc>
          <w:tcPr>
            <w:tcW w:type="dxa" w:w="122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UMAP</w:t>
            </w:r>
          </w:p>
        </w:tc>
        <w:tc>
          <w:tcPr>
            <w:tcW w:type="dxa" w:w="93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512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Manual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– / Yes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umap-learn 0.5.12</w:t>
            </w:r>
          </w:p>
        </w:tc>
        <w:tc>
          <w:tcPr>
            <w:tcW w:type="dxa" w:w="122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UMAP</w:t>
            </w:r>
          </w:p>
        </w:tc>
        <w:tc>
          <w:tcPr>
            <w:tcW w:type="dxa" w:w="93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512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Manual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– / Yes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RAPIDS cuML 26.06</w:t>
            </w:r>
          </w:p>
        </w:tc>
        <w:tc>
          <w:tcPr>
            <w:tcW w:type="dxa" w:w="122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UMAP, t-SNE</w:t>
            </w:r>
          </w:p>
        </w:tc>
        <w:tc>
          <w:tcPr>
            <w:tcW w:type="dxa" w:w="93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512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UMAP only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No / Yes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fastEmbedR</w:t>
            </w:r>
          </w:p>
        </w:tc>
        <w:tc>
          <w:tcPr>
            <w:tcW w:type="dxa" w:w="122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UMAP, t-SNE</w:t>
            </w:r>
          </w:p>
        </w:tc>
        <w:tc>
          <w:tcPr>
            <w:tcW w:type="dxa" w:w="93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706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512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Built-in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109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sz w:val="16"/>
              </w:rPr>
              <w:t xml:space="preserve">Yes / Yes</w:t>
            </w:r>
          </w:p>
        </w:tc>
      </w:tr>
    </w:tbl>
    <w:bookmarkEnd w:id="22"/>
    <w:p>
      <w:pPr>
        <w:pStyle w:val="BodyText"/>
      </w:pPr>
      <w:r>
        <w:t xml:space="preserve">The 3D column is ordered t-SNE / UMAP;</w:t>
      </w:r>
      <w:r>
        <w:t xml:space="preserve"> </w:t>
      </w:r>
      <w:r>
        <w:t xml:space="preserve">a dash means the method is not implemented. FIt-SNE and openTSNE use a</w:t>
      </w:r>
      <w:r>
        <w:t xml:space="preserve"> </w:t>
      </w:r>
      <w:r>
        <w:t xml:space="preserve">Barnes–Hut route for 3D output rather than FFT interpolation. cuML’s</w:t>
      </w:r>
      <w:r>
        <w:t xml:space="preserve"> </w:t>
      </w:r>
      <w:r>
        <w:t xml:space="preserve">3D output and reference projection are UMAP-only. fastEmbedR supports</w:t>
      </w:r>
      <w:r>
        <w:t xml:space="preserve"> </w:t>
      </w:r>
      <w:r>
        <w:t xml:space="preserve">three-dimensional t-SNE and UMAP on CPU, CUDA, and Metal</w:t>
      </w:r>
      <w:r>
        <w:t xml:space="preserve"> </w:t>
      </w:r>
      <w:r>
        <w:t xml:space="preserve">for ordinary matrix or precomputed-neighbor fits. Three-dimensional GPU</w:t>
      </w:r>
      <w:r>
        <w:t xml:space="preserve"> </w:t>
      </w:r>
      <w:r>
        <w:t xml:space="preserve">landmark refinement and full-graph CUDA t-SNE are not available.</w:t>
      </w:r>
    </w:p>
    <w:p>
      <w:pPr>
        <w:pStyle w:val="BodyText"/>
      </w:pPr>
      <w:r>
        <w:t xml:space="preserve">This article combines the software description, implementation details,</w:t>
      </w:r>
      <w:r>
        <w:t xml:space="preserve"> </w:t>
      </w:r>
      <w:r>
        <w:t xml:space="preserve">usage examples, numerical validation, workflow benchmarks, and limitations.</w:t>
      </w:r>
      <w:r>
        <w:t xml:space="preserve"> </w:t>
      </w:r>
      <w:r>
        <w:t xml:space="preserve">UMAP and t-SNE remain the central embedding contribution; PCA and graph</w:t>
      </w:r>
      <w:r>
        <w:t xml:space="preserve"> </w:t>
      </w:r>
      <w:r>
        <w:t xml:space="preserve">clustering are evaluated as integrated computational stages that let an</w:t>
      </w:r>
      <w:r>
        <w:t xml:space="preserve"> </w:t>
      </w:r>
      <w:r>
        <w:t xml:space="preserve">analysis remain within the same typed, backend-aware workflow.</w:t>
      </w:r>
    </w:p>
    <w:bookmarkEnd w:id="23"/>
    <w:bookmarkStart w:id="29" w:name="software-architecture"/>
    <w:p>
      <w:pPr>
        <w:pStyle w:val="Heading1"/>
      </w:pPr>
      <w:r>
        <w:t xml:space="preserve">Software architecture</w:t>
      </w:r>
    </w:p>
    <w:bookmarkStart w:id="24" w:name="execution-model-and-ownership-boundary"/>
    <w:p>
      <w:pPr>
        <w:pStyle w:val="Heading2"/>
      </w:pPr>
      <w:r>
        <w:t xml:space="preserve">Execution model and ownership boundary</w:t>
      </w:r>
    </w:p>
    <w:p>
      <w:pPr>
        <w:pStyle w:val="FirstParagraph"/>
      </w:pPr>
      <w:r>
        <w:t xml:space="preserve">The principal execution path begins with a matrix that may be centered,</w:t>
      </w:r>
      <w:r>
        <w:t xml:space="preserve"> </w:t>
      </w:r>
      <w:r>
        <w:t xml:space="preserve">scaled, or reduced by randomized PCA. Nearest-neighbor search</w:t>
      </w:r>
      <w:r>
        <w:t xml:space="preserve"> </w:t>
      </w:r>
      <w:r>
        <w:t xml:space="preserve">provides the sparse local relationships required by both methods. UMAP turns</w:t>
      </w:r>
      <w:r>
        <w:t xml:space="preserve"> </w:t>
      </w:r>
      <w:r>
        <w:t xml:space="preserve">these relationships into a weighted graph; t-SNE turns them into sparse</w:t>
      </w:r>
      <w:r>
        <w:t xml:space="preserve"> </w:t>
      </w:r>
      <w:r>
        <w:t xml:space="preserve">probabilities. A backend-specific optimizer then produces the final layout.</w:t>
      </w:r>
      <w:r>
        <w:t xml:space="preserve"> </w:t>
      </w:r>
      <w:r>
        <w:t xml:space="preserve">Precomputed neighbors can enter after the search stage, and landmark models</w:t>
      </w:r>
      <w:r>
        <w:t xml:space="preserve"> </w:t>
      </w:r>
      <w:r>
        <w:t xml:space="preserve">separate reference fitting from projection of omitted or genuinely new rows.</w:t>
      </w:r>
    </w:p>
    <w:p>
      <w:pPr>
        <w:pStyle w:val="BodyText"/>
      </w:pPr>
      <w:r>
        <w:t xml:space="preserve">The required R layer is limited to</w:t>
      </w:r>
      <w:r>
        <w:t xml:space="preserve"> </w:t>
      </w:r>
      <w:r>
        <w:rPr>
          <w:rStyle w:val="VerbatimChar"/>
        </w:rPr>
        <w:t xml:space="preserve">Rcpp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withr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methods</w:t>
      </w:r>
      <w:r>
        <w:t xml:space="preserve"> </w:t>
      </w:r>
      <w:r>
        <w:t xml:space="preserve">package distributed with R; only</w:t>
      </w:r>
      <w:r>
        <w:t xml:space="preserve"> </w:t>
      </w:r>
      <w:r>
        <w:rPr>
          <w:rStyle w:val="VerbatimChar"/>
        </w:rPr>
        <w:t xml:space="preserve">Rcpp</w:t>
      </w:r>
      <w:r>
        <w:t xml:space="preserve"> </w:t>
      </w:r>
      <w:r>
        <w:t xml:space="preserve">is a compiled-code</w:t>
      </w:r>
      <w:r>
        <w:t xml:space="preserve"> </w:t>
      </w:r>
      <w:r>
        <w:t xml:space="preserve">linking dependency. The CPU native core otherwise requires a C++17 toolchain</w:t>
      </w:r>
      <w:r>
        <w:t xml:space="preserve"> </w:t>
      </w:r>
      <w:r>
        <w:t xml:space="preserve">and the Basic Linear Algebra Subprograms (BLAS), Linear Algebra Package</w:t>
      </w:r>
      <w:r>
        <w:t xml:space="preserve"> </w:t>
      </w:r>
      <w:r>
        <w:t xml:space="preserve">(LAPACK), and Fortran runtime already configured for R. Matrix workflows use</w:t>
      </w:r>
      <w:r>
        <w:t xml:space="preserve"> </w:t>
      </w:r>
      <w:r>
        <w:t xml:space="preserve">the package’s native neighbor layer, whereas the precomputed-neighbor</w:t>
      </w:r>
      <w:r>
        <w:t xml:space="preserve"> </w:t>
      </w:r>
      <w:r>
        <w:t xml:space="preserve">interfaces define an explicit boundary at which a caller can supply indices</w:t>
      </w:r>
      <w:r>
        <w:t xml:space="preserve"> </w:t>
      </w:r>
      <w:r>
        <w:t xml:space="preserve">and distances. The selected metric, neighborhood size, search engine,</w:t>
      </w:r>
      <w:r>
        <w:t xml:space="preserve"> </w:t>
      </w:r>
      <w:r>
        <w:t xml:space="preserve">observed recall, and backend are retained for reproducibility. Search time</w:t>
      </w:r>
      <w:r>
        <w:t xml:space="preserve"> </w:t>
      </w:r>
      <w:r>
        <w:t xml:space="preserve">remains part of complete public-workflow timing.</w:t>
      </w:r>
      <w:r>
        <w:t xml:space="preserve"> </w:t>
      </w:r>
      <w:r>
        <w:t xml:space="preserve">A comparative study of nearest-neighbor algorithms is outside the scope of</w:t>
      </w:r>
      <w:r>
        <w:t xml:space="preserve"> </w:t>
      </w:r>
      <w:r>
        <w:t xml:space="preserve">this article, but the accuracy of the search used by each reported workflow is</w:t>
      </w:r>
      <w:r>
        <w:t xml:space="preserve"> </w:t>
      </w:r>
      <w:r>
        <w:t xml:space="preserve">measured because it can affect both runtime and embedding quality. Metal and</w:t>
      </w:r>
      <w:r>
        <w:t xml:space="preserve"> </w:t>
      </w:r>
      <w:r>
        <w:t xml:space="preserve">CUDA builds link optional accelerator libraries; they do</w:t>
      </w:r>
      <w:r>
        <w:t xml:space="preserve"> </w:t>
      </w:r>
      <w:r>
        <w:t xml:space="preserve">not redistribute them. Copyright and third-party notices are retained in the</w:t>
      </w:r>
      <w:r>
        <w:t xml:space="preserve"> </w:t>
      </w:r>
      <w:r>
        <w:t xml:space="preserve">package source.</w:t>
      </w:r>
    </w:p>
    <w:p>
      <w:pPr>
        <w:pStyle w:val="BodyText"/>
      </w:pPr>
      <w:r>
        <w:t xml:space="preserve">Explicit backend requests are strict. If</w:t>
      </w:r>
      <w:r>
        <w:t xml:space="preserve"> </w:t>
      </w:r>
      <w:r>
        <w:rPr>
          <w:rStyle w:val="VerbatimChar"/>
        </w:rPr>
        <w:t xml:space="preserve">backend = "metal"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backend = "cuda"</w:t>
      </w:r>
      <w:r>
        <w:t xml:space="preserve"> </w:t>
      </w:r>
      <w:r>
        <w:t xml:space="preserve">is unavailable, the function raises an error instead</w:t>
      </w:r>
      <w:r>
        <w:t xml:space="preserve"> </w:t>
      </w:r>
      <w:r>
        <w:t xml:space="preserve">of silently reporting CPU work as accelerated work. When</w:t>
      </w:r>
      <w:r>
        <w:t xml:space="preserve"> </w:t>
      </w:r>
      <w:r>
        <w:rPr>
          <w:rStyle w:val="VerbatimChar"/>
        </w:rPr>
        <w:t xml:space="preserve">backend = NULL</w:t>
      </w:r>
      <w:r>
        <w:t xml:space="preserve">,</w:t>
      </w:r>
      <w:r>
        <w:t xml:space="preserve"> </w:t>
      </w:r>
      <w:r>
        <w:t xml:space="preserve">the session option and environment-variable policy are consulted, with CPU as</w:t>
      </w:r>
      <w:r>
        <w:t xml:space="preserve"> </w:t>
      </w:r>
      <w:r>
        <w:t xml:space="preserve">the final default. Successful results record both the requested and observed</w:t>
      </w:r>
      <w:r>
        <w:t xml:space="preserve"> </w:t>
      </w:r>
      <w:r>
        <w:t xml:space="preserve">backend; unavailable accelerator requests fail before a result is returned.</w:t>
      </w:r>
    </w:p>
    <w:bookmarkEnd w:id="24"/>
    <w:bookmarkStart w:id="25" w:name="data-representation-and-memory"/>
    <w:p>
      <w:pPr>
        <w:pStyle w:val="Heading2"/>
      </w:pPr>
      <w:r>
        <w:t xml:space="preserve">Data representation and memory</w:t>
      </w:r>
    </w:p>
    <w:p>
      <w:pPr>
        <w:pStyle w:val="FirstParagraph"/>
      </w:pPr>
      <w:r>
        <w:t xml:space="preserve">The production numerical payload uses float32. Ordinary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matrices</w:t>
      </w:r>
      <w:r>
        <w:t xml:space="preserve"> </w:t>
      </w:r>
      <w:r>
        <w:t xml:space="preserve">require one controlled conversion at the native boundary. Objects from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are read directly. Neighbor distances, affinities, graph weights,</w:t>
      </w:r>
      <w:r>
        <w:t xml:space="preserve"> </w:t>
      </w:r>
      <w:r>
        <w:t xml:space="preserve">layouts, gradients, gains, and update buffers remain float32; indices and</w:t>
      </w:r>
      <w:r>
        <w:t xml:space="preserve"> </w:t>
      </w:r>
      <w:r>
        <w:t xml:space="preserve">compressed sparse row (CSR) offsets use int32. A float32 input returns a</w:t>
      </w:r>
      <w:r>
        <w:t xml:space="preserve"> </w:t>
      </w:r>
      <w:r>
        <w:t xml:space="preserve">float32 layout, whereas an ordinary matrix returns a double matrix only at the</w:t>
      </w:r>
      <w:r>
        <w:t xml:space="preserve"> </w:t>
      </w:r>
      <w:r>
        <w:t xml:space="preserve">final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boundary.</w:t>
      </w:r>
    </w:p>
    <w:p>
      <w:pPr>
        <w:pStyle w:val="BodyText"/>
      </w:pPr>
      <w:r>
        <w:t xml:space="preserve">The memory reduction is smaller than 50 percent in a complete process because</w:t>
      </w:r>
      <w:r>
        <w:t xml:space="preserve"> </w:t>
      </w:r>
      <w:r>
        <w:t xml:space="preserve">object headers, labels, int32 graph structure, search indexes, FFT padding,</w:t>
      </w:r>
      <w:r>
        <w:t xml:space="preserve"> </w:t>
      </w:r>
      <w:r>
        <w:t xml:space="preserve">spectra, and allocator workspaces are not double-precision payloads. CUDA keeps</w:t>
      </w:r>
      <w:r>
        <w:t xml:space="preserve"> </w:t>
      </w:r>
      <w:r>
        <w:t xml:space="preserve">eligible neighbor, graph, affinity, layout, and optimizer buffers on-device.</w:t>
      </w:r>
      <w:r>
        <w:t xml:space="preserve"> </w:t>
      </w:r>
      <w:r>
        <w:t xml:space="preserve">Metal uses unified memory, so separate host and device peaks cannot be added</w:t>
      </w:r>
      <w:r>
        <w:t xml:space="preserve"> </w:t>
      </w:r>
      <w:r>
        <w:t xml:space="preserve">meaningfully. The result records persistent and temporary native-buffer</w:t>
      </w:r>
      <w:r>
        <w:t xml:space="preserve"> </w:t>
      </w:r>
      <w:r>
        <w:t xml:space="preserve">estimates when available.</w:t>
      </w:r>
    </w:p>
    <w:bookmarkEnd w:id="25"/>
    <w:bookmarkStart w:id="26" w:name="experimental-file-backed-workflows"/>
    <w:p>
      <w:pPr>
        <w:pStyle w:val="Heading2"/>
      </w:pPr>
      <w:r>
        <w:t xml:space="preserve">Experimental file-backed workflows</w:t>
      </w:r>
    </w:p>
    <w:p>
      <w:pPr>
        <w:pStyle w:val="FirstParagraph"/>
      </w:pPr>
      <w:r>
        <w:t xml:space="preserve">The ordinary matrix interfaces remain the default. For an explicit</w:t>
      </w:r>
      <w:r>
        <w:t xml:space="preserve"> </w:t>
      </w:r>
      <w:r>
        <w:t xml:space="preserve">file-backed analysis,</w:t>
      </w:r>
      <w:r>
        <w:t xml:space="preserve"> </w:t>
      </w:r>
      <w:r>
        <w:rPr>
          <w:rStyle w:val="VerbatimChar"/>
        </w:rPr>
        <w:t xml:space="preserve">massive_matrix()</w:t>
      </w:r>
      <w:r>
        <w:t xml:space="preserve"> </w:t>
      </w:r>
      <w:r>
        <w:t xml:space="preserve">describes a row-major float32</w:t>
      </w:r>
      <w:r>
        <w:t xml:space="preserve"> </w:t>
      </w:r>
      <w:r>
        <w:rPr>
          <w:rStyle w:val="VerbatimChar"/>
        </w:rPr>
        <w:t xml:space="preserve">.f32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.fbin</w:t>
      </w:r>
      <w:r>
        <w:t xml:space="preserve"> </w:t>
      </w:r>
      <w:r>
        <w:t xml:space="preserve">file without reading all observations into R.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pca()</w:t>
      </w:r>
      <w:r>
        <w:t xml:space="preserve">,</w:t>
      </w:r>
      <w:r>
        <w:t xml:space="preserve"> </w:t>
      </w:r>
      <w:r>
        <w:rPr>
          <w:rStyle w:val="VerbatimChar"/>
        </w:rPr>
        <w:t xml:space="preserve">umap()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tsne()</w:t>
      </w:r>
      <w:r>
        <w:t xml:space="preserve"> </w:t>
      </w:r>
      <w:r>
        <w:t xml:space="preserve">entry points accept</w:t>
      </w:r>
      <w:r>
        <w:t xml:space="preserve"> </w:t>
      </w:r>
      <w:r>
        <w:t xml:space="preserve">this descriptor with a selected</w:t>
      </w:r>
      <w:r>
        <w:t xml:space="preserve"> </w:t>
      </w:r>
      <w:r>
        <w:rPr>
          <w:rStyle w:val="VerbatimChar"/>
        </w:rPr>
        <w:t xml:space="preserve">massive</w:t>
      </w:r>
      <w:r>
        <w:t xml:space="preserve"> </w:t>
      </w:r>
      <w:r>
        <w:t xml:space="preserve">mode and persistent output</w:t>
      </w:r>
      <w:r>
        <w:t xml:space="preserve"> </w:t>
      </w:r>
      <w:r>
        <w:t xml:space="preserve">path. Streamed PCA reads bounded row blocks and writes scores to disk.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landmark</w:t>
      </w:r>
      <w:r>
        <w:t xml:space="preserve"> </w:t>
      </w:r>
      <w:r>
        <w:t xml:space="preserve">embedding mode fits selected reference rows and</w:t>
      </w:r>
      <w:r>
        <w:t xml:space="preserve"> </w:t>
      </w:r>
      <w:r>
        <w:t xml:space="preserve">projects the others; this is an approximation to fitting every row, even</w:t>
      </w:r>
      <w:r>
        <w:t xml:space="preserve"> </w:t>
      </w:r>
      <w:r>
        <w:t xml:space="preserve">though the output contains coordinates for every observation. Neither</w:t>
      </w:r>
      <w:r>
        <w:t xml:space="preserve"> </w:t>
      </w:r>
      <w:r>
        <w:t xml:space="preserve">UMAP nor t-SNE automatically selects this approximation in response to</w:t>
      </w:r>
      <w:r>
        <w:t xml:space="preserve"> </w:t>
      </w:r>
      <w:r>
        <w:t xml:space="preserve">memory pressure.</w:t>
      </w:r>
    </w:p>
    <w:p>
      <w:pPr>
        <w:pStyle w:val="BodyText"/>
      </w:pPr>
      <w:r>
        <w:t xml:space="preserve">A separate</w:t>
      </w:r>
      <w:r>
        <w:t xml:space="preserve"> </w:t>
      </w:r>
      <w:r>
        <w:rPr>
          <w:rStyle w:val="VerbatimChar"/>
        </w:rPr>
        <w:t xml:space="preserve">out_of_core_graph</w:t>
      </w:r>
      <w:r>
        <w:t xml:space="preserve"> </w:t>
      </w:r>
      <w:r>
        <w:t xml:space="preserve">mode consumes a prepared file-backed</w:t>
      </w:r>
      <w:r>
        <w:t xml:space="preserve"> </w:t>
      </w:r>
      <w:r>
        <w:t xml:space="preserve">fuzzy graph for UMAP or affinity graph for t-SNE, together with initial</w:t>
      </w:r>
      <w:r>
        <w:t xml:space="preserve"> </w:t>
      </w:r>
      <w:r>
        <w:t xml:space="preserve">coordinates. Graph construction can use the package’s existing CPU</w:t>
      </w:r>
      <w:r>
        <w:t xml:space="preserve"> </w:t>
      </w:r>
      <w:r>
        <w:t xml:space="preserve">exact/HNSW or CUDA cuVS exact/IVF search routes. Thus, file-backed</w:t>
      </w:r>
      <w:r>
        <w:t xml:space="preserve"> </w:t>
      </w:r>
      <w:r>
        <w:t xml:space="preserve">optimization of all rows is distinct from landmark projection, but it</w:t>
      </w:r>
      <w:r>
        <w:t xml:space="preserve"> </w:t>
      </w:r>
      <w:r>
        <w:t xml:space="preserve">does not imply exact nearest-neighbor search. The full path currently</w:t>
      </w:r>
      <w:r>
        <w:t xml:space="preserve"> </w:t>
      </w:r>
      <w:r>
        <w:t xml:space="preserve">requires explicit preparation of its graph and initialization; a single</w:t>
      </w:r>
      <w:r>
        <w:t xml:space="preserve"> </w:t>
      </w:r>
      <w:r>
        <w:t xml:space="preserve">file-to-layout call is not claimed. CPU and CUDA stages have been exercised</w:t>
      </w:r>
      <w:r>
        <w:t xml:space="preserve"> </w:t>
      </w:r>
      <w:r>
        <w:t xml:space="preserve">experimentally, while Metal file-backed processing is unavailable and</w:t>
      </w:r>
      <w:r>
        <w:t xml:space="preserve"> </w:t>
      </w:r>
      <w:r>
        <w:t xml:space="preserve">raises an error. Selected CUDA PCA, search, and projection stages can</w:t>
      </w:r>
      <w:r>
        <w:t xml:space="preserve"> </w:t>
      </w:r>
      <w:r>
        <w:t xml:space="preserve">partition rows across devices; the complete embedding optimizer is not</w:t>
      </w:r>
      <w:r>
        <w:t xml:space="preserve"> </w:t>
      </w:r>
      <w:r>
        <w:t xml:space="preserve">distributed across GPUs. Memory budgets constrain algorithm buffers,</w:t>
      </w:r>
      <w:r>
        <w:t xml:space="preserve"> </w:t>
      </w:r>
      <w:r>
        <w:t xml:space="preserve">not total process resident memory or disk-cache use.</w:t>
      </w:r>
    </w:p>
    <w:bookmarkEnd w:id="26"/>
    <w:bookmarkStart w:id="28" w:name="public-interface"/>
    <w:p>
      <w:pPr>
        <w:pStyle w:val="Heading2"/>
      </w:pPr>
      <w:r>
        <w:t xml:space="preserve">Public interface</w:t>
      </w:r>
    </w:p>
    <w:p>
      <w:pPr>
        <w:pStyle w:val="FirstParagraph"/>
      </w:pPr>
      <w:r>
        <w:t xml:space="preserve">Table </w:t>
      </w:r>
      <w:hyperlink w:anchor="tab:api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maps the stable interface. Generic names are always shown</w:t>
      </w:r>
      <w:r>
        <w:t xml:space="preserve"> </w:t>
      </w:r>
      <w:r>
        <w:t xml:space="preserve">with namespace qualification in mixed-package sessions, for example</w:t>
      </w:r>
      <w:r>
        <w:t xml:space="preserve"> </w:t>
      </w:r>
      <w:r>
        <w:rPr>
          <w:rStyle w:val="VerbatimChar"/>
        </w:rPr>
        <w:t xml:space="preserve">fastEmbedR::umap()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fastEmbedR::pca()</w:t>
      </w:r>
      <w:r>
        <w:t xml:space="preserve">.</w:t>
      </w:r>
    </w:p>
    <w:bookmarkStart w:id="27" w:name="tab:api"/>
    <w:p>
      <w:pPr>
        <w:pStyle w:val="TableCaption"/>
      </w:pPr>
      <w:r>
        <w:t xml:space="preserve">Canonical public API. CPU, Metal, and CUDA are available where the</w:t>
      </w:r>
      <w:r>
        <w:t xml:space="preserve"> </w:t>
      </w:r>
      <w:r>
        <w:t xml:space="preserve">package was compiled with the corresponding backend.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nonical public API. CPU, Metal, and CUDA are available where the package was compiled with the corresponding backend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tsne()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umap()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t xml:space="preserve">matrix-to-layout workflows.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tsne_knn()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umap_knn()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from</w:t>
            </w:r>
            <w:r>
              <w:t xml:space="preserve"> </w:t>
            </w:r>
            <w:r>
              <w:t xml:space="preserve">reusable neighbor indices</w:t>
            </w:r>
            <w:r>
              <w:t xml:space="preserve"> </w:t>
            </w:r>
            <w:r>
              <w:t xml:space="preserve">and distances.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precompute_knn()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Backend-native non-self neighbor 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Randomized PCA and optional t-SNE-scaled initialization.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select_landmarks()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landmark/reference selection.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project_landmark_</w:t>
            </w:r>
            <w:r>
              <w:rPr>
                <w:rStyle w:val="VerbatimChar"/>
              </w:rPr>
              <w:t xml:space="preserve">model()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omitted or new observations into a</w:t>
            </w:r>
            <w:r>
              <w:t xml:space="preserve"> </w:t>
            </w:r>
            <w:r>
              <w:t xml:space="preserve">fixed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transform_tsne()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Fixed-reference t-SNE transformation.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knn_graph()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graph_cluster()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graph construction and</w:t>
            </w:r>
            <w:r>
              <w:t xml:space="preserve"> </w:t>
            </w:r>
            <w:r>
              <w:t xml:space="preserve">Louvain, Leiden, or Walktrap clustering.</w:t>
            </w:r>
          </w:p>
        </w:tc>
      </w:tr>
    </w:tbl>
    <w:bookmarkEnd w:id="27"/>
    <w:p>
      <w:pPr>
        <w:pStyle w:val="BodyText"/>
      </w:pPr>
      <w:r>
        <w:t xml:space="preserve">The principal embedding functions return an S3</w:t>
      </w:r>
      <w:r>
        <w:t xml:space="preserve"> </w:t>
      </w:r>
      <w:r>
        <w:rPr>
          <w:rStyle w:val="VerbatimChar"/>
        </w:rPr>
        <w:t xml:space="preserve">fastEmbedR_embedding</w:t>
      </w:r>
      <w:r>
        <w:t xml:space="preserve"> </w:t>
      </w:r>
      <w:r>
        <w:t xml:space="preserve">object with coordinates, resolved parameters,</w:t>
      </w:r>
      <w:r>
        <w:t xml:space="preserve"> </w:t>
      </w:r>
      <w:r>
        <w:t xml:space="preserve">requested and observed backend, precision, stage timings, and optional neighbor</w:t>
      </w:r>
      <w:r>
        <w:t xml:space="preserve"> </w:t>
      </w:r>
      <w:r>
        <w:t xml:space="preserve">state. Methods for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provide concise summaries.</w:t>
      </w:r>
      <w:r>
        <w:t xml:space="preserve"> </w:t>
      </w:r>
      <w:r>
        <w:t xml:space="preserve">Neighbor, PCA, landmark, graph, and clustering results have dedicated classes.</w:t>
      </w:r>
      <w:r>
        <w:t xml:space="preserve"> </w:t>
      </w:r>
      <w:r>
        <w:t xml:space="preserve">The current source accepts three-dimensional t-SNE and fuzzy UMAP on CPU,</w:t>
      </w:r>
      <w:r>
        <w:t xml:space="preserve"> </w:t>
      </w:r>
      <w:r>
        <w:t xml:space="preserve">CUDA, and Metal for ordinary fits. The evaluated image predates native 3D</w:t>
      </w:r>
      <w:r>
        <w:t xml:space="preserve"> </w:t>
      </w:r>
      <w:r>
        <w:t xml:space="preserve">GPU support, so its benchmarks do not validate those newer routes.</w:t>
      </w:r>
    </w:p>
    <w:bookmarkEnd w:id="28"/>
    <w:bookmarkEnd w:id="29"/>
    <w:bookmarkStart w:id="35" w:name="algorithms-and-backend-implementations"/>
    <w:p>
      <w:pPr>
        <w:pStyle w:val="Heading1"/>
      </w:pPr>
      <w:r>
        <w:t xml:space="preserve">Algorithms and backend implementations</w:t>
      </w:r>
    </w:p>
    <w:bookmarkStart w:id="30" w:name="umap"/>
    <w:p>
      <w:pPr>
        <w:pStyle w:val="Heading2"/>
      </w:pPr>
      <w:r>
        <w:t xml:space="preserve">UMAP</w:t>
      </w:r>
    </w:p>
    <w:p>
      <w:pPr>
        <w:pStyle w:val="FirstParagraph"/>
      </w:pPr>
      <w:r>
        <w:t xml:space="preserve">UMAP constructs a fuzzy graph from local distances and optimizes a</w:t>
      </w:r>
      <w:r>
        <w:t xml:space="preserve"> </w:t>
      </w:r>
      <w:r>
        <w:t xml:space="preserve">low-dimensional cross-entropy objective</w:t>
      </w:r>
      <w:r>
        <w:t xml:space="preserve"> </w:t>
      </w:r>
      <w:r>
        <w:t xml:space="preserve">(McInnes, Healy, and Melville 2018)</w:t>
      </w:r>
      <w:r>
        <w:t xml:space="preserve">. For observation</w:t>
      </w:r>
      <w:r>
        <w:t xml:space="preserve"> </w:t>
      </w:r>
      <m:oMath>
        <m:r>
          <m:t>i</m:t>
        </m:r>
      </m:oMath>
      <w:r>
        <w:t xml:space="preserve">, the package estimates local connectivity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scale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forms directed membership strengths, and combines reciprocal memberships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sSub>
            <m:e>
              <m:r>
                <m:t>w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resulting CSR graph stores the row pointer, column index, weight, and edge</w:t>
      </w:r>
      <w:r>
        <w:t xml:space="preserve"> </w:t>
      </w:r>
      <w:r>
        <w:t xml:space="preserve">sampling schedule once. Fuzzy weighting is the standard default. Binary mode</w:t>
      </w:r>
      <w:r>
        <w:t xml:space="preserve"> </w:t>
      </w:r>
      <w:r>
        <w:t xml:space="preserve">sets unit weight on the symmetric neighbor union; it can make adjacency-defined</w:t>
      </w:r>
      <w:r>
        <w:t xml:space="preserve"> </w:t>
      </w:r>
      <w:r>
        <w:t xml:space="preserve">boundaries visually sharper, but it changes the objective and its quality</w:t>
      </w:r>
      <w:r>
        <w:t xml:space="preserve"> </w:t>
      </w:r>
      <w:r>
        <w:t xml:space="preserve">varies by data set.</w:t>
      </w:r>
    </w:p>
    <w:p>
      <w:pPr>
        <w:pStyle w:val="BodyText"/>
      </w:pPr>
      <w:r>
        <w:t xml:space="preserve">The CPU optimizer uses contiguous arrays, thread-local random-number streams,</w:t>
      </w:r>
      <w:r>
        <w:t xml:space="preserve"> </w:t>
      </w:r>
      <w:r>
        <w:t xml:space="preserve">and atomic updates. The Metal implementation retains graph, coordinates, and</w:t>
      </w:r>
      <w:r>
        <w:t xml:space="preserve"> </w:t>
      </w:r>
      <w:r>
        <w:t xml:space="preserve">optimizer state in unified memory. CUDA consumes a resident nearest-neighbor</w:t>
      </w:r>
      <w:r>
        <w:t xml:space="preserve"> </w:t>
      </w:r>
      <w:r>
        <w:t xml:space="preserve">object, constructs the graph on-device, uses pooled memory for temporary</w:t>
      </w:r>
      <w:r>
        <w:t xml:space="preserve"> </w:t>
      </w:r>
      <w:r>
        <w:t xml:space="preserve">storage, and groups rows for coalesced access. Its production row optimizer</w:t>
      </w:r>
      <w:r>
        <w:t xml:space="preserve"> </w:t>
      </w:r>
      <w:r>
        <w:t xml:space="preserve">assigns one warp to a head row, fuses attraction, negative sampling,</w:t>
      </w:r>
      <w:r>
        <w:t xml:space="preserve"> </w:t>
      </w:r>
      <w:r>
        <w:t xml:space="preserve">repulsion, and coordinate updates, and aggregates the head update before</w:t>
      </w:r>
      <w:r>
        <w:t xml:space="preserve"> </w:t>
      </w:r>
      <w:r>
        <w:t xml:space="preserve">issuing tail atomics. Negative samples are generated on-device from the</w:t>
      </w:r>
      <w:r>
        <w:t xml:space="preserve"> </w:t>
      </w:r>
      <w:r>
        <w:t xml:space="preserve">per-edge epoch state. Repeated epoch work is captured as a CUDA Graph while</w:t>
      </w:r>
      <w:r>
        <w:t xml:space="preserve"> </w:t>
      </w:r>
      <w:r>
        <w:t xml:space="preserve">the graph, layout, and optimizer buffers are reused. The package owns the</w:t>
      </w:r>
      <w:r>
        <w:t xml:space="preserve"> </w:t>
      </w:r>
      <w:r>
        <w:t xml:space="preserve">optimizer policy and records the resolved values. The public controls are</w:t>
      </w:r>
      <w:r>
        <w:t xml:space="preserve"> </w:t>
      </w:r>
      <w:r>
        <w:t xml:space="preserve">neighborhood size, metric, fuzzy or binary graph mode, preprocessing, backend,</w:t>
      </w:r>
      <w:r>
        <w:t xml:space="preserve"> </w:t>
      </w:r>
      <w:r>
        <w:t xml:space="preserve">seed, output dimension, and CPU cores. The number of epochs, learning rate,</w:t>
      </w:r>
      <w:r>
        <w:t xml:space="preserve"> </w:t>
      </w:r>
      <w:r>
        <w:t xml:space="preserve">minimum distance, spread, repulsion strength, and negative-sample rate are</w:t>
      </w:r>
      <w:r>
        <w:t xml:space="preserve"> </w:t>
      </w:r>
      <w:r>
        <w:t xml:space="preserve">fixed internally by the recorded release policy.</w:t>
      </w:r>
    </w:p>
    <w:bookmarkEnd w:id="30"/>
    <w:bookmarkStart w:id="31" w:name="X1db6d16d8060668de183ccc98964de7c93d845b"/>
    <w:p>
      <w:pPr>
        <w:pStyle w:val="Heading2"/>
      </w:pPr>
      <w:r>
        <w:t xml:space="preserve">Compact-support interpolation-based t-SNE</w:t>
      </w:r>
    </w:p>
    <w:p>
      <w:pPr>
        <w:pStyle w:val="FirstParagraph"/>
      </w:pPr>
      <w:r>
        <w:t xml:space="preserve">t-SNE converts local high-dimensional distances into probabilities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minimizes Kullback-Leibler (KL) divergence from these probabilities to the</w:t>
      </w:r>
      <w:r>
        <w:t xml:space="preserve"> </w:t>
      </w:r>
      <w:r>
        <w:t xml:space="preserve">low-dimensional Student distribution</w:t>
      </w:r>
      <w:r>
        <w:t xml:space="preserve"> </w:t>
      </w:r>
      <w:r>
        <w:t xml:space="preserve">(Maaten and Hinton 2008)</w:t>
      </w:r>
      <w:r>
        <w:t xml:space="preserve">. fastEmbedR</w:t>
      </w:r>
      <w:r>
        <w:t xml:space="preserve"> </w:t>
      </w:r>
      <w:r>
        <w:t xml:space="preserve">implements sparse Gaussian affinity construction, early exaggeration,</w:t>
      </w:r>
      <w:r>
        <w:t xml:space="preserve"> </w:t>
      </w:r>
      <w:r>
        <w:t xml:space="preserve">momentum, adaptive gains, gradient clipping, and interpolation-based FFT</w:t>
      </w:r>
      <w:r>
        <w:t xml:space="preserve"> </w:t>
      </w:r>
      <w:r>
        <w:t xml:space="preserve">repulsion for two-dimensional layouts in the evaluated image</w:t>
      </w:r>
      <w:r>
        <w:t xml:space="preserve"> </w:t>
      </w:r>
      <w:r>
        <w:t xml:space="preserve">(Linderman et al. 2019)</w:t>
      </w:r>
      <w:r>
        <w:t xml:space="preserve">.</w:t>
      </w:r>
    </w:p>
    <w:p>
      <w:pPr>
        <w:pStyle w:val="BodyText"/>
      </w:pPr>
      <w:r>
        <w:t xml:space="preserve">The package uses compact affinity support: perplexity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selects</w:t>
      </w:r>
      <w:r>
        <w:t xml:space="preserve"> </w:t>
      </w:r>
      <m:oMath>
        <m:r>
          <m:rPr>
            <m:sty m:val="p"/>
          </m:rPr>
          <m:t>⌈</m:t>
        </m:r>
        <m:r>
          <m:t>P</m:t>
        </m:r>
        <m:r>
          <m:rPr>
            <m:sty m:val="p"/>
          </m:rPr>
          <m:t>⌉</m:t>
        </m:r>
      </m:oMath>
      <w:r>
        <w:t xml:space="preserve"> </w:t>
      </w:r>
      <w:r>
        <w:t xml:space="preserve">non-self candidate neighbors. This policy is shared by the</w:t>
      </w:r>
      <w:r>
        <w:t xml:space="preserve"> </w:t>
      </w:r>
      <w:r>
        <w:t xml:space="preserve">matrix, precomputed-neighbor, landmark, and transformation interfaces and by</w:t>
      </w:r>
      <w:r>
        <w:t xml:space="preserve"> </w:t>
      </w:r>
      <w:r>
        <w:t xml:space="preserve">the CPU, Metal, and CUDA backends. The candidate width, achieved perplexity,</w:t>
      </w:r>
      <w:r>
        <w:t xml:space="preserve"> </w:t>
      </w:r>
      <w:r>
        <w:t xml:space="preserve">optimizer schedule, learning rate, exaggeration, and repulsion method are</w:t>
      </w:r>
      <w:r>
        <w:t xml:space="preserve"> </w:t>
      </w:r>
      <w:r>
        <w:t xml:space="preserve">returned with the fit.</w:t>
      </w:r>
      <w:r>
        <w:t xml:space="preserve"> </w:t>
      </w:r>
      <w:r>
        <w:t xml:space="preserve">For a conditional probability vector 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candidates,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. Consequently,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</m:oMath>
      <w:r>
        <w:t xml:space="preserve">, the target entropy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lies at the boundary and is attained exactly only by uniform</w:t>
      </w:r>
      <w:r>
        <w:t xml:space="preserve"> </w:t>
      </w:r>
      <w:r>
        <w:t xml:space="preserve">conditional weights. The finite solver tolerance produces nearly uniform,</w:t>
      </w:r>
      <w:r>
        <w:t xml:space="preserve"> </w:t>
      </w:r>
      <w:r>
        <w:t xml:space="preserve">rather than mathematically identical, weights. High-dimensional distances</w:t>
      </w:r>
      <w:r>
        <w:t xml:space="preserve"> </w:t>
      </w:r>
      <w:r>
        <w:t xml:space="preserve">therefore determine candidate membership much more strongly than relative</w:t>
      </w:r>
      <w:r>
        <w:t xml:space="preserve"> </w:t>
      </w:r>
      <w:r>
        <w:t xml:space="preserve">mass within a candidate row; reciprocity during symmetrization can still</w:t>
      </w:r>
      <w:r>
        <w:t xml:space="preserve"> </w:t>
      </w:r>
      <w:r>
        <w:t xml:space="preserve">differentiate the final undirected edge weights.</w:t>
      </w:r>
      <w:r>
        <w:t xml:space="preserve"> </w:t>
      </w:r>
      <w:r>
        <w:t xml:space="preserve">The production API does not expose a wider affinity-support mode; therefore,</w:t>
      </w:r>
      <w:r>
        <w:t xml:space="preserve"> </w:t>
      </w:r>
      <w:r>
        <w:t xml:space="preserve">all cross-backend t-SNE validation in this article evaluates this same compact</w:t>
      </w:r>
      <w:r>
        <w:t xml:space="preserve"> </w:t>
      </w:r>
      <w:r>
        <w:t xml:space="preserve">policy, including the CUDA backend.</w:t>
      </w:r>
    </w:p>
    <w:p>
      <w:pPr>
        <w:pStyle w:val="BodyText"/>
      </w:pPr>
      <w:r>
        <w:t xml:space="preserve">The FFT grid is selected by observation count</w:t>
      </w:r>
      <w:r>
        <w:t xml:space="preserve"> </w:t>
      </w:r>
      <m:oMath>
        <m:r>
          <m:t>n</m:t>
        </m:r>
      </m:oMath>
      <w:r>
        <w:t xml:space="preserve">, with each reported size</w:t>
      </w:r>
      <w:r>
        <w:t xml:space="preserve"> </w:t>
      </w:r>
      <w:r>
        <w:t xml:space="preserve">denoting cells per coordinate axis. For two-dimensional layouts, CPU uses</w:t>
      </w:r>
      <w:r>
        <w:t xml:space="preserve"> </w:t>
      </w:r>
      <w:r>
        <w:t xml:space="preserve">128 cells for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40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and 256 otherwise; Metal uses 128 for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and 256 otherwise; CUDA uses 256 for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20</m:t>
        </m:r>
        <m:r>
          <m:rPr>
            <m:sty m:val="p"/>
          </m:rPr>
          <m:t>,</m:t>
        </m:r>
        <m:r>
          <m:t>000</m:t>
        </m:r>
      </m:oMath>
      <w:r>
        <w:t xml:space="preserve">,</w:t>
      </w:r>
      <w:r>
        <w:t xml:space="preserve"> </w:t>
      </w:r>
      <w:r>
        <w:t xml:space="preserve">512 for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, and 1024 otherwise. The</w:t>
      </w:r>
      <w:r>
        <w:t xml:space="preserve"> </w:t>
      </w:r>
      <w:r>
        <w:rPr>
          <w:rStyle w:val="VerbatimChar"/>
        </w:rPr>
        <w:t xml:space="preserve">FASTEMBEDR_TSNE_FFT_GRID</w:t>
      </w:r>
      <w:r>
        <w:t xml:space="preserve"> </w:t>
      </w:r>
      <w:r>
        <w:t xml:space="preserve">environment variable can override the</w:t>
      </w:r>
      <w:r>
        <w:t xml:space="preserve"> </w:t>
      </w:r>
      <w:r>
        <w:t xml:space="preserve">two-dimensional choice: CPU and Metal round a positive request up to a</w:t>
      </w:r>
      <w:r>
        <w:t xml:space="preserve"> </w:t>
      </w:r>
      <w:r>
        <w:t xml:space="preserve">power of two within 32–512, whereas CUDA accepts only powers of two</w:t>
      </w:r>
      <w:r>
        <w:t xml:space="preserve"> </w:t>
      </w:r>
      <w:r>
        <w:t xml:space="preserve">from 32 through 1024. FFT convolution pads each axis to twice the</w:t>
      </w:r>
      <w:r>
        <w:t xml:space="preserve"> </w:t>
      </w:r>
      <w:r>
        <w:t xml:space="preserve">selected grid size. UMAP does not use this repulsion grid. The evaluated</w:t>
      </w:r>
      <w:r>
        <w:t xml:space="preserve"> </w:t>
      </w:r>
      <w:r>
        <w:t xml:space="preserve">container does not provide native three-dimensional accelerator fits;</w:t>
      </w:r>
      <w:r>
        <w:t xml:space="preserve"> </w:t>
      </w:r>
      <w:r>
        <w:t xml:space="preserve">three-dimensional claims require a new image and separate validation.</w:t>
      </w:r>
    </w:p>
    <w:p>
      <w:pPr>
        <w:pStyle w:val="BodyText"/>
      </w:pPr>
      <w:r>
        <w:t xml:space="preserve">Grid resolution is not a common tunable parameter across implementations.</w:t>
      </w:r>
      <w:r>
        <w:t xml:space="preserve"> </w:t>
      </w:r>
      <w:r>
        <w:t xml:space="preserve">The tested cuML 26.6.0 t-SNE fixes three interpolation points and 50</w:t>
      </w:r>
      <w:r>
        <w:t xml:space="preserve"> </w:t>
      </w:r>
      <w:r>
        <w:t xml:space="preserve">intervals per axis in its FFT source; its Python API offers no grid control.</w:t>
      </w:r>
      <w:r>
        <w:t xml:space="preserve"> </w:t>
      </w:r>
      <w:r>
        <w:t xml:space="preserve">FIt-SNE exposes the interpolation order and minimum interval count, but its</w:t>
      </w:r>
      <w:r>
        <w:t xml:space="preserve"> </w:t>
      </w:r>
      <w:r>
        <w:t xml:space="preserve">effective grid can increase with coordinate span. The updated benchmark</w:t>
      </w:r>
      <w:r>
        <w:t xml:space="preserve"> </w:t>
      </w:r>
      <w:r>
        <w:t xml:space="preserve">requests a FIt-SNE lower bound close to the CPU grid and records both</w:t>
      </w:r>
      <w:r>
        <w:t xml:space="preserve"> </w:t>
      </w:r>
      <w:r>
        <w:t xml:space="preserve">policies. Neither setting makes the grids identical, and these changes were</w:t>
      </w:r>
      <w:r>
        <w:t xml:space="preserve"> </w:t>
      </w:r>
      <w:r>
        <w:t xml:space="preserve">not applied to the diagnostic campaign reported below.</w:t>
      </w:r>
    </w:p>
    <w:p>
      <w:pPr>
        <w:pStyle w:val="BodyText"/>
      </w:pPr>
      <w:r>
        <w:t xml:space="preserve">CPU execution retains FFT plans, grids, and thread scratch across iterations.</w:t>
      </w:r>
      <w:r>
        <w:t xml:space="preserve"> </w:t>
      </w:r>
      <w:r>
        <w:t xml:space="preserve">Metal uses native grid deposition, FFT, interpolation, and update kernels.</w:t>
      </w:r>
      <w:r>
        <w:t xml:space="preserve"> </w:t>
      </w:r>
      <w:r>
        <w:t xml:space="preserve">CUDA retains cuFFT plans, workspaces, coordinates, gains, updates, and force</w:t>
      </w:r>
      <w:r>
        <w:t xml:space="preserve"> </w:t>
      </w:r>
      <w:r>
        <w:t xml:space="preserve">buffers and uses CUDA Graph execution for repeated iteration groups. Device</w:t>
      </w:r>
      <w:r>
        <w:t xml:space="preserve"> </w:t>
      </w:r>
      <w:r>
        <w:t xml:space="preserve">synchronization occurs before a public function returns, so elapsed time does</w:t>
      </w:r>
      <w:r>
        <w:t xml:space="preserve"> </w:t>
      </w:r>
      <w:r>
        <w:t xml:space="preserve">not omit queued accelerator work. On CUDA, the layout-statistics, grid</w:t>
      </w:r>
      <w:r>
        <w:t xml:space="preserve"> </w:t>
      </w:r>
      <w:r>
        <w:t xml:space="preserve">deposition, batched spectral products, interpolation, attractive-force, and</w:t>
      </w:r>
      <w:r>
        <w:t xml:space="preserve"> </w:t>
      </w:r>
      <w:r>
        <w:t xml:space="preserve">optimizer-update stages are encoded in the captured iteration sequence. The</w:t>
      </w:r>
      <w:r>
        <w:t xml:space="preserve"> </w:t>
      </w:r>
      <w:r>
        <w:t xml:space="preserve">global mean reduction and final centering remain separate kernels because they</w:t>
      </w:r>
      <w:r>
        <w:t xml:space="preserve"> </w:t>
      </w:r>
      <w:r>
        <w:t xml:space="preserve">require completed cross-block reductions; keeping this dependency explicit</w:t>
      </w:r>
      <w:r>
        <w:t xml:space="preserve"> </w:t>
      </w:r>
      <w:r>
        <w:t xml:space="preserve">preserves the objective and update order while avoiding host-side launches.</w:t>
      </w:r>
    </w:p>
    <w:bookmarkEnd w:id="31"/>
    <w:bookmarkStart w:id="32" w:name="pca-and-initialization"/>
    <w:p>
      <w:pPr>
        <w:pStyle w:val="Heading2"/>
      </w:pPr>
      <w:r>
        <w:t xml:space="preserve">PCA and initialization</w:t>
      </w:r>
    </w:p>
    <w:p>
      <w:pPr>
        <w:pStyle w:val="FirstParagraph"/>
      </w:pPr>
      <w:r>
        <w:t xml:space="preserve">Randomized singular value decomposition approximates a low-rank subspace using</w:t>
      </w:r>
      <w:r>
        <w:t xml:space="preserve"> </w:t>
      </w:r>
      <w:r>
        <w:t xml:space="preserve">random projection and power iterations</w:t>
      </w:r>
      <w:r>
        <w:t xml:space="preserve"> </w:t>
      </w:r>
      <w:r>
        <w:t xml:space="preserve">(Halko, Martinsson, and Tropp 2011)</w:t>
      </w:r>
      <w:r>
        <w:t xml:space="preserve">. The public</w:t>
      </w:r>
      <w:r>
        <w:t xml:space="preserve"> </w:t>
      </w:r>
      <w:r>
        <w:rPr>
          <w:rStyle w:val="VerbatimChar"/>
        </w:rPr>
        <w:t xml:space="preserve">fastEmbedR::pca()</w:t>
      </w:r>
      <w:r>
        <w:t xml:space="preserve"> </w:t>
      </w:r>
      <w:r>
        <w:t xml:space="preserve">function returns scores, loadings, singular values,</w:t>
      </w:r>
      <w:r>
        <w:t xml:space="preserve"> </w:t>
      </w:r>
      <w:r>
        <w:t xml:space="preserve">centering and scaling vectors, decomposition metadata, and the observed</w:t>
      </w:r>
      <w:r>
        <w:t xml:space="preserve"> </w:t>
      </w:r>
      <w:r>
        <w:t xml:space="preserve">backend. With</w:t>
      </w:r>
      <w:r>
        <w:t xml:space="preserve"> </w:t>
      </w:r>
      <w:r>
        <w:rPr>
          <w:rStyle w:val="VerbatimChar"/>
        </w:rPr>
        <w:t xml:space="preserve">tsne_init = TRUE</w:t>
      </w:r>
      <w:r>
        <w:t xml:space="preserve">, it also centers the requested low-dimensional scores</w:t>
      </w:r>
      <w:r>
        <w:t xml:space="preserve"> </w:t>
      </w:r>
      <w:r>
        <w:t xml:space="preserve">and rescales them so that the largest component standard deviation is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which is directly accepted by</w:t>
      </w:r>
      <w:r>
        <w:t xml:space="preserve"> </w:t>
      </w:r>
      <w:r>
        <w:rPr>
          <w:rStyle w:val="VerbatimChar"/>
        </w:rPr>
        <w:t xml:space="preserve">fastEmbedR::tsne()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fastEmbedR::tsne_knn()</w:t>
      </w:r>
      <w:r>
        <w:t xml:space="preserve">.</w:t>
      </w:r>
    </w:p>
    <w:p>
      <w:pPr>
        <w:pStyle w:val="BodyText"/>
      </w:pPr>
      <w:r>
        <w:t xml:space="preserve">CPU PCA uses a blocked float32 randomized range finder followed by a small</w:t>
      </w:r>
      <w:r>
        <w:t xml:space="preserve"> </w:t>
      </w:r>
      <w:r>
        <w:t xml:space="preserve">dense decomposition. Metal uses a float32 block-subspace randomized</w:t>
      </w:r>
      <w:r>
        <w:t xml:space="preserve"> </w:t>
      </w:r>
      <w:r>
        <w:t xml:space="preserve">decomposition with Metal Performance Shaders. CUDA selects between native</w:t>
      </w:r>
      <w:r>
        <w:t xml:space="preserve"> </w:t>
      </w:r>
      <w:r>
        <w:t xml:space="preserve">float32 randomized SVD and resident RAPIDS RAFT truncated singular value</w:t>
      </w:r>
      <w:r>
        <w:t xml:space="preserve"> </w:t>
      </w:r>
      <w:r>
        <w:t xml:space="preserve">decomposition from matrix shape, requested rank, and estimated arithmetic</w:t>
      </w:r>
      <w:r>
        <w:t xml:space="preserve"> </w:t>
      </w:r>
      <w:r>
        <w:t xml:space="preserve">cost. The typed result includes scores,</w:t>
      </w:r>
      <w:r>
        <w:t xml:space="preserve"> </w:t>
      </w:r>
      <w:r>
        <w:t xml:space="preserve">loadings, singular values, preprocessing vectors, optional test-set</w:t>
      </w:r>
      <w:r>
        <w:t xml:space="preserve"> </w:t>
      </w:r>
      <w:r>
        <w:t xml:space="preserve">projections, and the observed backend. Comparisons with</w:t>
      </w:r>
      <w:r>
        <w:t xml:space="preserve"> </w:t>
      </w:r>
      <w:r>
        <w:rPr>
          <w:rStyle w:val="VerbatimChar"/>
        </w:rPr>
        <w:t xml:space="preserve">irlba</w:t>
      </w:r>
      <w:r>
        <w:t xml:space="preserve"> </w:t>
      </w:r>
      <w:r>
        <w:t xml:space="preserve">(Baglama, Reichel, and Lewis 2026)</w:t>
      </w:r>
      <w:r>
        <w:t xml:space="preserve"> </w:t>
      </w:r>
      <w:r>
        <w:t xml:space="preserve">assess performance and agreement between two approximate</w:t>
      </w:r>
      <w:r>
        <w:t xml:space="preserve"> </w:t>
      </w:r>
      <w:r>
        <w:t xml:space="preserve">methods rather than treating either as an exact reference.</w:t>
      </w:r>
      <w:r>
        <w:t xml:space="preserve"> </w:t>
      </w:r>
      <w:r>
        <w:t xml:space="preserve">The PCA alignment study evaluates CPU, the tested M3 Metal system, and CUDA.</w:t>
      </w:r>
      <w:r>
        <w:t xml:space="preserve"> </w:t>
      </w:r>
      <w:r>
        <w:t xml:space="preserve">Agreement is measured after Procrustes or subspace alignment because truncated</w:t>
      </w:r>
      <w:r>
        <w:t xml:space="preserve"> </w:t>
      </w:r>
      <w:r>
        <w:t xml:space="preserve">decompositions can return equivalent bases with different signs or rotations.</w:t>
      </w:r>
      <w:r>
        <w:t xml:space="preserve"> </w:t>
      </w:r>
      <w:r>
        <w:t xml:space="preserve">When PCA is requested inside an embedding workflow, its preprocessing and</w:t>
      </w:r>
      <w:r>
        <w:t xml:space="preserve"> </w:t>
      </w:r>
      <w:r>
        <w:t xml:space="preserve">transfer costs belong to the complete-call time; a standalone PCA benchmark</w:t>
      </w:r>
      <w:r>
        <w:t xml:space="preserve"> </w:t>
      </w:r>
      <w:r>
        <w:t xml:space="preserve">is reported separately. The shape-dependent CUDA choice is recorded for each</w:t>
      </w:r>
      <w:r>
        <w:t xml:space="preserve"> </w:t>
      </w:r>
      <w:r>
        <w:t xml:space="preserve">fit, because a faster truncated decomposition on one matrix shape need not</w:t>
      </w:r>
      <w:r>
        <w:t xml:space="preserve"> </w:t>
      </w:r>
      <w:r>
        <w:t xml:space="preserve">remain faster on another.</w:t>
      </w:r>
    </w:p>
    <w:bookmarkEnd w:id="32"/>
    <w:bookmarkStart w:id="33" w:name="landmarks-and-new-observations"/>
    <w:p>
      <w:pPr>
        <w:pStyle w:val="Heading2"/>
      </w:pPr>
      <w:r>
        <w:t xml:space="preserve">Landmarks and new observations</w:t>
      </w:r>
    </w:p>
    <w:p>
      <w:pPr>
        <w:pStyle w:val="FirstParagraph"/>
      </w:pPr>
      <w:r>
        <w:t xml:space="preserve">Landmarking is explicit. A reference subset is selected by a seeded</w:t>
      </w:r>
      <w:r>
        <w:t xml:space="preserve"> </w:t>
      </w:r>
      <w:r>
        <w:t xml:space="preserve">projection-diversity policy or supplied by the user. The ordinary</w:t>
      </w:r>
      <w:r>
        <w:t xml:space="preserve"> </w:t>
      </w:r>
      <w:r>
        <w:rPr>
          <w:rStyle w:val="VerbatimChar"/>
        </w:rPr>
        <w:t xml:space="preserve">fastEmbedR::tsne()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fastEmbedR::umap()</w:t>
      </w:r>
      <w:r>
        <w:t xml:space="preserve"> </w:t>
      </w:r>
      <w:r>
        <w:t xml:space="preserve">implementation embeds</w:t>
      </w:r>
      <w:r>
        <w:t xml:space="preserve"> </w:t>
      </w:r>
      <w:r>
        <w:t xml:space="preserve">that subset. Remaining</w:t>
      </w:r>
      <w:r>
        <w:t xml:space="preserve"> </w:t>
      </w:r>
      <w:r>
        <w:t xml:space="preserve">rows query the fixed reference, receive weighted or affine-interpolated</w:t>
      </w:r>
      <w:r>
        <w:t xml:space="preserve"> </w:t>
      </w:r>
      <w:r>
        <w:t xml:space="preserve">coordinates, and can undergo a short row-restricted refinement while reference</w:t>
      </w:r>
      <w:r>
        <w:t xml:space="preserve"> </w:t>
      </w:r>
      <w:r>
        <w:t xml:space="preserve">coordinates are restored after each update.</w:t>
      </w:r>
    </w:p>
    <w:p>
      <w:pPr>
        <w:pStyle w:val="BodyText"/>
      </w:pPr>
      <w:r>
        <w:t xml:space="preserve">The package distinguishes reconstruction of omitted rows from prediction of</w:t>
      </w:r>
      <w:r>
        <w:t xml:space="preserve"> </w:t>
      </w:r>
      <w:r>
        <w:t xml:space="preserve">genuinely unseen observations. In held-out transformation, query rows do not</w:t>
      </w:r>
      <w:r>
        <w:t xml:space="preserve"> </w:t>
      </w:r>
      <w:r>
        <w:t xml:space="preserve">participate in landmark selection, reference preprocessing, neighbor search</w:t>
      </w:r>
      <w:r>
        <w:t xml:space="preserve"> </w:t>
      </w:r>
      <w:r>
        <w:t xml:space="preserve">among reference rows, initialization, or stopping. t-SNE query probabilities</w:t>
      </w:r>
      <w:r>
        <w:t xml:space="preserve"> </w:t>
      </w:r>
      <w:r>
        <w:t xml:space="preserve">are optimized with the reference fixed</w:t>
      </w:r>
      <w:r>
        <w:t xml:space="preserve"> </w:t>
      </w:r>
      <w:r>
        <w:t xml:space="preserve">(Poličar, Stražar, and Zupan 2021)</w:t>
      </w:r>
      <w:r>
        <w:t xml:space="preserve">; UMAP projects</w:t>
      </w:r>
      <w:r>
        <w:t xml:space="preserve"> </w:t>
      </w:r>
      <w:r>
        <w:t xml:space="preserve">queries through reference neighbors and optional fixed-reference refinement.</w:t>
      </w:r>
      <w:r>
        <w:t xml:space="preserve"> </w:t>
      </w:r>
      <w:r>
        <w:t xml:space="preserve">The returned model records landmark indices, preprocessing, neighborhood</w:t>
      </w:r>
      <w:r>
        <w:t xml:space="preserve"> </w:t>
      </w:r>
      <w:r>
        <w:t xml:space="preserve">policy, graph or affinity policy, backend, and stage timings. Landmarking is a</w:t>
      </w:r>
      <w:r>
        <w:t xml:space="preserve"> </w:t>
      </w:r>
      <w:r>
        <w:t xml:space="preserve">scalability approximation, not a guarantee of faster execution or unchanged</w:t>
      </w:r>
      <w:r>
        <w:t xml:space="preserve"> </w:t>
      </w:r>
      <w:r>
        <w:t xml:space="preserve">quality.</w:t>
      </w:r>
    </w:p>
    <w:bookmarkEnd w:id="33"/>
    <w:bookmarkStart w:id="34" w:name="X369fd73fa63c1eecfdfd39ed79f05d165b0a6f2"/>
    <w:p>
      <w:pPr>
        <w:pStyle w:val="Heading2"/>
      </w:pPr>
      <w:r>
        <w:t xml:space="preserve">Graph construction and community detection</w:t>
      </w:r>
    </w:p>
    <w:p>
      <w:pPr>
        <w:pStyle w:val="FirstParagraph"/>
      </w:pPr>
      <w:r>
        <w:t xml:space="preserve">The same sparse-neighbor infrastructure constructs undirected weighted graphs</w:t>
      </w:r>
      <w:r>
        <w:t xml:space="preserve"> </w:t>
      </w:r>
      <w:r>
        <w:t xml:space="preserve">from a feature matrix or reusable KNN object. Edge weights can encode</w:t>
      </w:r>
      <w:r>
        <w:t xml:space="preserve"> </w:t>
      </w:r>
      <w:r>
        <w:t xml:space="preserve">shared-neighbor Jaccard similarity, inverse distance, or binary adjacency;</w:t>
      </w:r>
      <w:r>
        <w:t xml:space="preserve"> </w:t>
      </w:r>
      <w:r>
        <w:t xml:space="preserve">mutual-neighbor filtering and weight pruning alter the resulting graph and</w:t>
      </w:r>
      <w:r>
        <w:t xml:space="preserve"> </w:t>
      </w:r>
      <w:r>
        <w:t xml:space="preserve">must be reported with it. Reusing a graph permits community analyses without</w:t>
      </w:r>
      <w:r>
        <w:t xml:space="preserve"> </w:t>
      </w:r>
      <w:r>
        <w:t xml:space="preserve">another neighbor search, although graph construction remains a distinct</w:t>
      </w:r>
      <w:r>
        <w:t xml:space="preserve"> </w:t>
      </w:r>
      <w:r>
        <w:t xml:space="preserve">timed stage.</w:t>
      </w:r>
    </w:p>
    <w:p>
      <w:pPr>
        <w:pStyle w:val="BodyText"/>
      </w:pPr>
      <w:r>
        <w:t xml:space="preserve">Package-native Louvain and Leiden support CPU, Metal, and CUDA local</w:t>
      </w:r>
      <w:r>
        <w:t xml:space="preserve"> </w:t>
      </w:r>
      <w:r>
        <w:t xml:space="preserve">movement, while exact Walktrap is CPU-only</w:t>
      </w:r>
      <w:r>
        <w:t xml:space="preserve"> </w:t>
      </w:r>
      <w:r>
        <w:t xml:space="preserve">(Blondel et al. 2008; Traag, Waltman, and Eck 2019; Pons and Latapy 2006)</w:t>
      </w:r>
      <w:r>
        <w:t xml:space="preserve">. A clustering fit reports membership,</w:t>
      </w:r>
      <w:r>
        <w:t xml:space="preserve"> </w:t>
      </w:r>
      <w:r>
        <w:t xml:space="preserve">modularity, connectivity diagnostics, backend, and run parameters. Agreement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igraph</w:t>
      </w:r>
      <w:r>
        <w:t xml:space="preserve"> </w:t>
      </w:r>
      <w:r>
        <w:t xml:space="preserve">is assessed on the identical stored weighted graph, with</w:t>
      </w:r>
      <w:r>
        <w:t xml:space="preserve"> </w:t>
      </w:r>
      <w:r>
        <w:t xml:space="preserve">adjusted Rand index (ARI) for membership; stochastic algorithms need not</w:t>
      </w:r>
      <w:r>
        <w:t xml:space="preserve"> </w:t>
      </w:r>
      <w:r>
        <w:t xml:space="preserve">return identical partitions. These utilities support interpretation after</w:t>
      </w:r>
      <w:r>
        <w:t xml:space="preserve"> </w:t>
      </w:r>
      <w:r>
        <w:t xml:space="preserve">embedding but are not evidence for UMAP or t-SNE correctness.</w:t>
      </w:r>
    </w:p>
    <w:bookmarkEnd w:id="34"/>
    <w:bookmarkEnd w:id="35"/>
    <w:bookmarkStart w:id="39" w:name="using-fastembedr"/>
    <w:p>
      <w:pPr>
        <w:pStyle w:val="Heading1"/>
      </w:pPr>
      <w:r>
        <w:t xml:space="preserve">Using fastEmbedR</w:t>
      </w:r>
    </w:p>
    <w:bookmarkStart w:id="36" w:name="installation-and-backend-inspection"/>
    <w:p>
      <w:pPr>
        <w:pStyle w:val="Heading2"/>
      </w:pPr>
      <w:r>
        <w:t xml:space="preserve">Installation and backend inspection</w:t>
      </w:r>
    </w:p>
    <w:p>
      <w:pPr>
        <w:pStyle w:val="FirstParagraph"/>
      </w:pPr>
      <w:r>
        <w:t xml:space="preserve">A portable CPU installation requires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Rcpp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withr</w:t>
      </w:r>
      <w:r>
        <w:t xml:space="preserve">,</w:t>
      </w:r>
      <w:r>
        <w:t xml:space="preserve"> </w:t>
      </w:r>
      <w:r>
        <w:t xml:space="preserve">a C++17 compiler, and R’s configured linear-algebra libraries. Metal</w:t>
      </w:r>
      <w:r>
        <w:t xml:space="preserve"> </w:t>
      </w:r>
      <w:r>
        <w:t xml:space="preserve">acceleration requires Apple Silicon, macOS 14 or later, Xcode 15 or later,</w:t>
      </w:r>
      <w:r>
        <w:t xml:space="preserve"> </w:t>
      </w:r>
      <w:r>
        <w:t xml:space="preserve">and the Foundation, Accelerate, Metal, Metal Performance Shaders, and Metal</w:t>
      </w:r>
      <w:r>
        <w:t xml:space="preserve"> </w:t>
      </w:r>
      <w:r>
        <w:t xml:space="preserve">Performance Shaders Graph frameworks supplied by the Apple software</w:t>
      </w:r>
      <w:r>
        <w:t xml:space="preserve"> </w:t>
      </w:r>
      <w:r>
        <w:t xml:space="preserve">development kit (SDK); these are not separate R-package dependencies.</w:t>
      </w:r>
    </w:p>
    <w:p>
      <w:pPr>
        <w:pStyle w:val="BodyText"/>
      </w:pPr>
      <w:r>
        <w:t xml:space="preserve">CUDA acceleration requires an existing compatible NVIDIA driver and a</w:t>
      </w:r>
      <w:r>
        <w:t xml:space="preserve"> </w:t>
      </w:r>
      <w:r>
        <w:t xml:space="preserve">separately installed CUDA toolkit providing the CUDA runtime, cuFFT, cuBLAS,</w:t>
      </w:r>
      <w:r>
        <w:t xml:space="preserve"> </w:t>
      </w:r>
      <w:r>
        <w:t xml:space="preserve">cuSOLVER, and cuRAND. RAPIDS cuVS is required only when a CUDA workflow must</w:t>
      </w:r>
      <w:r>
        <w:t xml:space="preserve"> </w:t>
      </w:r>
      <w:r>
        <w:t xml:space="preserve">construct nearest neighbors directly from a matrix. CUDA embedding from a</w:t>
      </w:r>
      <w:r>
        <w:t xml:space="preserve"> </w:t>
      </w:r>
      <w:r>
        <w:t xml:space="preserve">precomputed-neighbor object does not require cuVS. RAPIDS RAFT and the RAPIDS</w:t>
      </w:r>
      <w:r>
        <w:t xml:space="preserve"> </w:t>
      </w:r>
      <w:r>
        <w:t xml:space="preserve">Memory Manager (RMM) are optional and are used only by the RAFT truncated</w:t>
      </w:r>
      <w:r>
        <w:t xml:space="preserve"> </w:t>
      </w:r>
      <w:r>
        <w:t xml:space="preserve">singular value decomposition branch of automatic CUDA PCA. The package no</w:t>
      </w:r>
      <w:r>
        <w:t xml:space="preserve"> </w:t>
      </w:r>
      <w:r>
        <w:t xml:space="preserve">longer links or loads FAISS; its retained FAISS notices document provenance</w:t>
      </w:r>
      <w:r>
        <w:t xml:space="preserve"> </w:t>
      </w:r>
      <w:r>
        <w:t xml:space="preserve">of adapted native algorithms rather than a runtime dependency.</w:t>
      </w:r>
    </w:p>
    <w:p>
      <w:pPr>
        <w:pStyle w:val="BodyText"/>
      </w:pPr>
      <w:r>
        <w:t xml:space="preserve">The installation guide gives release-tested commands for a portable CPU</w:t>
      </w:r>
      <w:r>
        <w:t xml:space="preserve"> </w:t>
      </w:r>
      <w:r>
        <w:t xml:space="preserve">source build, an Apple Silicon Metal build with an explicit SDK, and a strict</w:t>
      </w:r>
      <w:r>
        <w:t xml:space="preserve"> </w:t>
      </w:r>
      <w:r>
        <w:t xml:space="preserve">CUDA build that fails when any requested CUDA, cuVS, or RAFT component is</w:t>
      </w:r>
      <w:r>
        <w:t xml:space="preserve"> </w:t>
      </w:r>
      <w:r>
        <w:t xml:space="preserve">missing. The suggested R packages are confined to optional float32 input,</w:t>
      </w:r>
      <w:r>
        <w:t xml:space="preserve"> </w:t>
      </w:r>
      <w:r>
        <w:t xml:space="preserve">validation, diagnostics, thread control, tests, and vignette construction;</w:t>
      </w:r>
      <w:r>
        <w:t xml:space="preserve"> </w:t>
      </w:r>
      <w:r>
        <w:t xml:space="preserve">they do not enlarge the minimum CPU runtime. A source install from an</w:t>
      </w:r>
      <w:r>
        <w:t xml:space="preserve"> </w:t>
      </w:r>
      <w:r>
        <w:t xml:space="preserve">immutable release tag is recommended for a publication analysis. The</w:t>
      </w:r>
      <w:r>
        <w:t xml:space="preserve"> </w:t>
      </w:r>
      <w:r>
        <w:t xml:space="preserve">accompanying replication script requests only the CPU backend and runs with</w:t>
      </w:r>
      <w:r>
        <w:t xml:space="preserve"> </w:t>
      </w:r>
      <w:r>
        <w:t xml:space="preserve">one core, so it also exercises the minimum installation.</w:t>
      </w:r>
    </w:p>
    <w:p>
      <w:pPr>
        <w:pStyle w:val="BodyText"/>
      </w:pPr>
      <w:r>
        <w:t xml:space="preserve">Session defaults are set with</w:t>
      </w:r>
      <w:r>
        <w:t xml:space="preserve"> </w:t>
      </w:r>
      <w:r>
        <w:rPr>
          <w:rStyle w:val="VerbatimChar"/>
        </w:rPr>
        <w:t xml:space="preserve">options(backend = "cuda")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options(n.cores = 4L)</w:t>
      </w:r>
      <w:r>
        <w:t xml:space="preserve">. An explicit function argument takes precedence;</w:t>
      </w:r>
      <w:r>
        <w:t xml:space="preserve"> </w:t>
      </w:r>
      <w:r>
        <w:t xml:space="preserve">the environment variable</w:t>
      </w:r>
      <w:r>
        <w:t xml:space="preserve"> </w:t>
      </w:r>
      <w:r>
        <w:rPr>
          <w:rStyle w:val="VerbatimChar"/>
        </w:rPr>
        <w:t xml:space="preserve">FASTEMBEDR_BACKEND</w:t>
      </w:r>
      <w:r>
        <w:t xml:space="preserve"> </w:t>
      </w:r>
      <w:r>
        <w:t xml:space="preserve">is consulted only when no</w:t>
      </w:r>
      <w:r>
        <w:t xml:space="preserve"> </w:t>
      </w:r>
      <w:r>
        <w:t xml:space="preserve">explicit argument or session option is present. CPU remains the final default.</w:t>
      </w:r>
      <w:r>
        <w:t xml:space="preserve"> </w:t>
      </w:r>
      <w:r>
        <w:t xml:space="preserve">The requested and observed backends are recorded in each successful result,</w:t>
      </w:r>
      <w:r>
        <w:t xml:space="preserve"> </w:t>
      </w:r>
      <w:r>
        <w:t xml:space="preserve">and an unavailable explicit accelerator request raises an error. Tested</w:t>
      </w:r>
      <w:r>
        <w:t xml:space="preserve"> </w:t>
      </w:r>
      <w:r>
        <w:t xml:space="preserve">examples are maintained in the package vignette and online tutorial.</w:t>
      </w:r>
    </w:p>
    <w:p>
      <w:pPr>
        <w:pStyle w:val="BodyText"/>
      </w:pPr>
      <w:r>
        <w:t xml:space="preserve">The benchmark preflight executes this CPU example:</w:t>
      </w:r>
    </w:p>
    <w:p>
      <w:pPr>
        <w:pStyle w:val="SourceCode"/>
      </w:pPr>
      <w:r>
        <w:rPr>
          <w:rStyle w:val="VerbatimChar"/>
        </w:rPr>
        <w:t xml:space="preserve">set.seed(4)</w:t>
      </w:r>
      <w:r>
        <w:br/>
      </w:r>
      <w:r>
        <w:rPr>
          <w:rStyle w:val="VerbatimChar"/>
        </w:rPr>
        <w:t xml:space="preserve">x &lt;- matrix(rnorm(128 * 8), 128, 8)</w:t>
      </w:r>
      <w:r>
        <w:br/>
      </w:r>
      <w:r>
        <w:rPr>
          <w:rStyle w:val="VerbatimChar"/>
        </w:rPr>
        <w:t xml:space="preserve">options(backend = "cpu", n.cores = 2L)</w:t>
      </w:r>
      <w:r>
        <w:br/>
      </w:r>
      <w:r>
        <w:rPr>
          <w:rStyle w:val="VerbatimChar"/>
        </w:rPr>
        <w:t xml:space="preserve">fit &lt;- fastEmbedR::umap(x, n_neighbors = 15, seed = 4)</w:t>
      </w:r>
      <w:r>
        <w:br/>
      </w:r>
      <w:r>
        <w:rPr>
          <w:rStyle w:val="VerbatimChar"/>
        </w:rPr>
        <w:t xml:space="preserve">knn &lt;- fastEmbedR::precompute_knn(x, k = 15)</w:t>
      </w:r>
      <w:r>
        <w:br/>
      </w:r>
      <w:r>
        <w:rPr>
          <w:rStyle w:val="VerbatimChar"/>
        </w:rPr>
        <w:t xml:space="preserve">from_knn &lt;- fastEmbedR::umap_knn(</w:t>
      </w:r>
      <w:r>
        <w:br/>
      </w:r>
      <w:r>
        <w:rPr>
          <w:rStyle w:val="VerbatimChar"/>
        </w:rPr>
        <w:t xml:space="preserve">    knn$indices, knn$distances, seed = 4)</w:t>
      </w:r>
    </w:p>
    <w:p>
      <w:pPr>
        <w:pStyle w:val="FirstParagraph"/>
      </w:pPr>
      <w:r>
        <w:t xml:space="preserve">The matrix fit returns</w:t>
      </w:r>
      <w:r>
        <w:t xml:space="preserve"> </w:t>
      </w:r>
      <w:r>
        <w:rPr>
          <w:rStyle w:val="VerbatimChar"/>
        </w:rPr>
        <w:t xml:space="preserve">fit$layout</w:t>
      </w:r>
      <w:r>
        <w:t xml:space="preserve">;</w:t>
      </w:r>
      <w:r>
        <w:t xml:space="preserve"> </w:t>
      </w:r>
      <w:r>
        <w:rPr>
          <w:rStyle w:val="VerbatimChar"/>
        </w:rPr>
        <w:t xml:space="preserve">from_knn</w:t>
      </w:r>
      <w:r>
        <w:t xml:space="preserve"> </w:t>
      </w:r>
      <w:r>
        <w:t xml:space="preserve">is a</w:t>
      </w:r>
      <w:r>
        <w:t xml:space="preserve"> </w:t>
      </w:r>
      <w:r>
        <w:t xml:space="preserve">two-column layout computed from the reusable neighbor result. An explicit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argument can override the session default.</w:t>
      </w:r>
    </w:p>
    <w:bookmarkEnd w:id="36"/>
    <w:bookmarkStart w:id="37" w:name="Xd4243c5a2b9f446bb6c686edbb8e58dd1f8d229"/>
    <w:p>
      <w:pPr>
        <w:pStyle w:val="Heading2"/>
      </w:pPr>
      <w:r>
        <w:t xml:space="preserve">Matrix and precomputed-neighbor workflows</w:t>
      </w:r>
    </w:p>
    <w:p>
      <w:pPr>
        <w:pStyle w:val="FirstParagraph"/>
      </w:pPr>
      <w:r>
        <w:t xml:space="preserve">The matrix interfaces</w:t>
      </w:r>
      <w:r>
        <w:t xml:space="preserve"> </w:t>
      </w:r>
      <w:r>
        <w:rPr>
          <w:rStyle w:val="VerbatimChar"/>
        </w:rPr>
        <w:t xml:space="preserve">tsne()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umap()</w:t>
      </w:r>
      <w:r>
        <w:t xml:space="preserve"> </w:t>
      </w:r>
      <w:r>
        <w:t xml:space="preserve">perform preprocessing,</w:t>
      </w:r>
      <w:r>
        <w:t xml:space="preserve"> </w:t>
      </w:r>
      <w:r>
        <w:t xml:space="preserve">neighbor search, initialization, and optimization. The corresponding</w:t>
      </w:r>
      <w:r>
        <w:t xml:space="preserve"> </w:t>
      </w:r>
      <w:r>
        <w:rPr>
          <w:rStyle w:val="VerbatimChar"/>
        </w:rPr>
        <w:t xml:space="preserve">tsne_knn()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umap_knn()</w:t>
      </w:r>
      <w:r>
        <w:t xml:space="preserve"> </w:t>
      </w:r>
      <w:r>
        <w:t xml:space="preserve">interfaces consume reusable indices</w:t>
      </w:r>
      <w:r>
        <w:t xml:space="preserve"> </w:t>
      </w:r>
      <w:r>
        <w:t xml:space="preserve">and distances, avoiding repeated search in seed, optimizer, or graph-mode</w:t>
      </w:r>
      <w:r>
        <w:t xml:space="preserve"> </w:t>
      </w:r>
      <w:r>
        <w:t xml:space="preserve">comparisons. The CUDA route can retain the neighbor object on the device and</w:t>
      </w:r>
      <w:r>
        <w:t xml:space="preserve"> </w:t>
      </w:r>
      <w:r>
        <w:t xml:space="preserve">consume it directly during affinity or graph construction.</w:t>
      </w:r>
    </w:p>
    <w:bookmarkEnd w:id="37"/>
    <w:bookmarkStart w:id="38" w:name="pca-and-landmark-models"/>
    <w:p>
      <w:pPr>
        <w:pStyle w:val="Heading2"/>
      </w:pPr>
      <w:r>
        <w:t xml:space="preserve">PCA and landmark models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pca()</w:t>
      </w:r>
      <w:r>
        <w:t xml:space="preserve"> </w:t>
      </w:r>
      <w:r>
        <w:t xml:space="preserve">interface returns ordinary scores and, with</w:t>
      </w:r>
      <w:r>
        <w:t xml:space="preserve"> </w:t>
      </w:r>
      <w:r>
        <w:rPr>
          <w:rStyle w:val="VerbatimChar"/>
        </w:rPr>
        <w:t xml:space="preserve">tsne_init = TRUE</w:t>
      </w:r>
      <w:r>
        <w:t xml:space="preserve">, a scaled t-SNE initialization. Landmarking is enabled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tsne()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umap()</w:t>
      </w:r>
      <w:r>
        <w:t xml:space="preserve"> </w:t>
      </w:r>
      <w:r>
        <w:t xml:space="preserve">by supplying a fraction, count, or row</w:t>
      </w:r>
      <w:r>
        <w:t xml:space="preserve"> </w:t>
      </w:r>
      <w:r>
        <w:t xml:space="preserve">indices to</w:t>
      </w:r>
      <w:r>
        <w:t xml:space="preserve"> </w:t>
      </w:r>
      <w:r>
        <w:rPr>
          <w:rStyle w:val="VerbatimChar"/>
        </w:rPr>
        <w:t xml:space="preserve">landmarks</w:t>
      </w:r>
      <w:r>
        <w:t xml:space="preserve">; the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fits all observations.</w:t>
      </w:r>
      <w:r>
        <w:t xml:space="preserve"> </w:t>
      </w:r>
      <w:r>
        <w:t xml:space="preserve">The fitted result contains a reusable model accepted by</w:t>
      </w:r>
      <w:r>
        <w:t xml:space="preserve"> </w:t>
      </w:r>
      <w:r>
        <w:rPr>
          <w:rStyle w:val="VerbatimChar"/>
        </w:rPr>
        <w:t xml:space="preserve">project_landmark_model()</w:t>
      </w:r>
      <w:r>
        <w:t xml:space="preserve"> </w:t>
      </w:r>
      <w:r>
        <w:t xml:space="preserve">for independently held-out rows. Reference</w:t>
      </w:r>
      <w:r>
        <w:t xml:space="preserve"> </w:t>
      </w:r>
      <w:r>
        <w:t xml:space="preserve">coordinates remain immutable during projection.</w:t>
      </w:r>
    </w:p>
    <w:p>
      <w:pPr>
        <w:pStyle w:val="BodyText"/>
      </w:pPr>
      <w:r>
        <w:t xml:space="preserve">With file-backed input,</w:t>
      </w:r>
      <w:r>
        <w:t xml:space="preserve"> </w:t>
      </w:r>
      <w:r>
        <w:rPr>
          <w:rStyle w:val="VerbatimChar"/>
        </w:rPr>
        <w:t xml:space="preserve">pca()</w:t>
      </w:r>
      <w:r>
        <w:t xml:space="preserve"> </w:t>
      </w:r>
      <w:r>
        <w:t xml:space="preserve">streams scores when</w:t>
      </w:r>
      <w:r>
        <w:t xml:space="preserve"> </w:t>
      </w:r>
      <w:r>
        <w:rPr>
          <w:rStyle w:val="VerbatimChar"/>
        </w:rPr>
        <w:t xml:space="preserve">massive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out_of_core</w:t>
      </w:r>
      <w:r>
        <w:t xml:space="preserve">. Setting</w:t>
      </w:r>
      <w:r>
        <w:t xml:space="preserve"> </w:t>
      </w:r>
      <w:r>
        <w:rPr>
          <w:rStyle w:val="VerbatimChar"/>
        </w:rPr>
        <w:t xml:space="preserve">massive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landmark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umap()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tsne()</w:t>
      </w:r>
      <w:r>
        <w:t xml:space="preserve"> </w:t>
      </w:r>
      <w:r>
        <w:t xml:space="preserve">fits a chosen reference subset and writes</w:t>
      </w:r>
      <w:r>
        <w:t xml:space="preserve"> </w:t>
      </w:r>
      <w:r>
        <w:t xml:space="preserve">projected coordinates to disk. The prepared-graph modes instead update</w:t>
      </w:r>
      <w:r>
        <w:t xml:space="preserve"> </w:t>
      </w:r>
      <w:r>
        <w:t xml:space="preserve">all observations. The experimental vignette documents file layout,</w:t>
      </w:r>
      <w:r>
        <w:t xml:space="preserve"> </w:t>
      </w:r>
      <w:r>
        <w:t xml:space="preserve">memory controls, checkpointing, and unsupported backend combinations.</w:t>
      </w:r>
    </w:p>
    <w:bookmarkEnd w:id="38"/>
    <w:bookmarkEnd w:id="39"/>
    <w:bookmarkStart w:id="46" w:name="validation"/>
    <w:p>
      <w:pPr>
        <w:pStyle w:val="Heading1"/>
      </w:pPr>
      <w:r>
        <w:t xml:space="preserve">Validation</w:t>
      </w:r>
    </w:p>
    <w:bookmarkStart w:id="40" w:name="validation-strategy"/>
    <w:p>
      <w:pPr>
        <w:pStyle w:val="Heading2"/>
      </w:pPr>
      <w:r>
        <w:t xml:space="preserve">Validation strategy</w:t>
      </w:r>
    </w:p>
    <w:p>
      <w:pPr>
        <w:pStyle w:val="FirstParagraph"/>
      </w:pPr>
      <w:r>
        <w:t xml:space="preserve">Final t-SNE coordinates are non-convex and need not be identical across</w:t>
      </w:r>
      <w:r>
        <w:t xml:space="preserve"> </w:t>
      </w:r>
      <w:r>
        <w:t xml:space="preserve">parallel implementations. Correctness was therefore tested below the final</w:t>
      </w:r>
      <w:r>
        <w:t xml:space="preserve"> </w:t>
      </w:r>
      <w:r>
        <w:t xml:space="preserve">layout as well as at the layout level. Tests used exact high-dimensional</w:t>
      </w:r>
      <w:r>
        <w:t xml:space="preserve"> </w:t>
      </w:r>
      <w:r>
        <w:t xml:space="preserve">neighbors and common initial coordinates where the compared APIs permitted</w:t>
      </w:r>
      <w:r>
        <w:t xml:space="preserve"> </w:t>
      </w:r>
      <w:r>
        <w:t xml:space="preserve">them. UMAP validation compared edge sets, fuzzy weights, aligned coordinates,</w:t>
      </w:r>
      <w:r>
        <w:t xml:space="preserve"> </w:t>
      </w:r>
      <w:r>
        <w:t xml:space="preserve">and embedding neighborhoods. t-SNE validation compared conditional and</w:t>
      </w:r>
      <w:r>
        <w:t xml:space="preserve"> </w:t>
      </w:r>
      <w:r>
        <w:t xml:space="preserve">symmetrized affinities, exact attractive and repulsive forces, finite-difference</w:t>
      </w:r>
      <w:r>
        <w:t xml:space="preserve"> </w:t>
      </w:r>
      <w:r>
        <w:t xml:space="preserve">gradients, FFT-grid force convergence, one-step updates, objective trajectories,</w:t>
      </w:r>
      <w:r>
        <w:t xml:space="preserve"> </w:t>
      </w:r>
      <w:r>
        <w:t xml:space="preserve">final KL divergence, aligned coordinates, and embedding neighborhoods.</w:t>
      </w:r>
    </w:p>
    <w:p>
      <w:pPr>
        <w:pStyle w:val="BodyText"/>
      </w:pPr>
      <w:r>
        <w:t xml:space="preserve">PCA tests compare aligned scores, principal angles, captured variance, and</w:t>
      </w:r>
      <w:r>
        <w:t xml:space="preserve"> </w:t>
      </w:r>
      <w:r>
        <w:t xml:space="preserve">test-set projection. Graph tests use canonical clique graphs, stochastic block</w:t>
      </w:r>
      <w:r>
        <w:t xml:space="preserve"> </w:t>
      </w:r>
      <w:r>
        <w:t xml:space="preserve">models, isolated vertices, disconnected candidate communities, high-degree</w:t>
      </w:r>
      <w:r>
        <w:t xml:space="preserve"> </w:t>
      </w:r>
      <w:r>
        <w:t xml:space="preserve">vertices, and fixed real-data graphs. Louvain and Leiden are compared with</w:t>
      </w:r>
      <w:r>
        <w:t xml:space="preserve"> </w:t>
      </w:r>
      <w:r>
        <w:rPr>
          <w:rStyle w:val="VerbatimChar"/>
        </w:rPr>
        <w:t xml:space="preserve">igraph</w:t>
      </w:r>
      <w:r>
        <w:t xml:space="preserve"> </w:t>
      </w:r>
      <w:r>
        <w:t xml:space="preserve">modularity and membership; Walktrap is compared with the</w:t>
      </w:r>
      <w:r>
        <w:t xml:space="preserve"> </w:t>
      </w:r>
      <w:r>
        <w:rPr>
          <w:rStyle w:val="VerbatimChar"/>
        </w:rPr>
        <w:t xml:space="preserve">igraph</w:t>
      </w:r>
      <w:r>
        <w:t xml:space="preserve"> </w:t>
      </w:r>
      <w:r>
        <w:t xml:space="preserve">Pons–Latapy implementation.</w:t>
      </w:r>
    </w:p>
    <w:p>
      <w:pPr>
        <w:pStyle w:val="BodyText"/>
      </w:pPr>
      <w:r>
        <w:t xml:space="preserve">Pathological embedding tests included duplicated observations, zero distances,</w:t>
      </w:r>
      <w:r>
        <w:t xml:space="preserve"> </w:t>
      </w:r>
      <w:r>
        <w:t xml:space="preserve">disconnected graphs, coincident coordinates, extreme finite coordinates, and</w:t>
      </w:r>
      <w:r>
        <w:t xml:space="preserve"> </w:t>
      </w:r>
      <w:r>
        <w:t xml:space="preserve">nonfinite input. CPU float32 forces were also compared with an independent</w:t>
      </w:r>
      <w:r>
        <w:t xml:space="preserve"> </w:t>
      </w:r>
      <w:r>
        <w:t xml:space="preserve">float64 oracle. Fixed seeds make the deterministic one-thread CPU route</w:t>
      </w:r>
      <w:r>
        <w:t xml:space="preserve"> </w:t>
      </w:r>
      <w:r>
        <w:t xml:space="preserve">repeatable, but do not guarantee bitwise Metal or CUDA identity because atomic</w:t>
      </w:r>
      <w:r>
        <w:t xml:space="preserve"> </w:t>
      </w:r>
      <w:r>
        <w:t xml:space="preserve">update order can differ.</w:t>
      </w:r>
    </w:p>
    <w:bookmarkEnd w:id="40"/>
    <w:bookmarkStart w:id="42" w:name="affinity-graph-and-force-agreement"/>
    <w:p>
      <w:pPr>
        <w:pStyle w:val="Heading2"/>
      </w:pPr>
      <w:r>
        <w:t xml:space="preserve">Affinity, graph, and force agreement</w:t>
      </w:r>
    </w:p>
    <w:p>
      <w:pPr>
        <w:pStyle w:val="FirstParagraph"/>
      </w:pPr>
      <w:r>
        <w:t xml:space="preserve">On a fixed 2,000-point MNIST subset, fuzzy UMAP edge Jaccard agreement with a</w:t>
      </w:r>
      <w:r>
        <w:t xml:space="preserve"> </w:t>
      </w:r>
      <w:r>
        <w:rPr>
          <w:rStyle w:val="VerbatimChar"/>
        </w:rPr>
        <w:t xml:space="preserve">uwot</w:t>
      </w:r>
      <w:r>
        <w:t xml:space="preserve"> </w:t>
      </w:r>
      <w:r>
        <w:t xml:space="preserve">similarity graph was 1.000000; weight Pearson and Spearman</w:t>
      </w:r>
      <w:r>
        <w:t xml:space="preserve"> </w:t>
      </w:r>
      <w:r>
        <w:t xml:space="preserve">correlations were 0.999990 and 0.999977. On common compact t-SNE support,</w:t>
      </w:r>
      <w:r>
        <w:t xml:space="preserve"> </w:t>
      </w:r>
      <w:r>
        <w:t xml:space="preserve">edge Jaccard and Pearson weight agreement with Python openTSNE were 1.000000.</w:t>
      </w:r>
      <w:r>
        <w:t xml:space="preserve"> </w:t>
      </w:r>
      <w:r>
        <w:t xml:space="preserve">The Spearman value of 0.852 arose from rank changes among numerical near-ties:</w:t>
      </w:r>
      <w:r>
        <w:t xml:space="preserve"> </w:t>
      </w:r>
      <w:r>
        <w:t xml:space="preserve">all matched weights differed by less than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and the maximum absolute</w:t>
      </w:r>
      <w:r>
        <w:t xml:space="preserve"> </w:t>
      </w:r>
      <w:r>
        <w:t xml:space="preserve">difference was</w:t>
      </w:r>
      <w:r>
        <w:t xml:space="preserve"> </w:t>
      </w:r>
      <m:oMath>
        <m:r>
          <m:t>1.66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. This validates arithmetic on the supplied</w:t>
      </w:r>
      <w:r>
        <w:t xml:space="preserve"> </w:t>
      </w:r>
      <w:r>
        <w:t xml:space="preserve">compact support, rather than equivalence to a conventional wider-support</w:t>
      </w:r>
      <w:r>
        <w:t xml:space="preserve"> </w:t>
      </w:r>
      <w:r>
        <w:t xml:space="preserve">t-SNE affinity model.</w:t>
      </w:r>
    </w:p>
    <w:p>
      <w:pPr>
        <w:pStyle w:val="BodyText"/>
      </w:pPr>
      <w:r>
        <w:t xml:space="preserve">The fixed-input affinity characterization confirms the mathematical</w:t>
      </w:r>
      <w:r>
        <w:t xml:space="preserve"> </w:t>
      </w:r>
      <w:r>
        <w:t xml:space="preserve">consequence of this policy. At each tested perplexity, the achieved</w:t>
      </w:r>
      <w:r>
        <w:t xml:space="preserve"> </w:t>
      </w:r>
      <w:r>
        <w:t xml:space="preserve">perplexity equaled the supplied support width, normalized entropy was 1, and</w:t>
      </w:r>
      <w:r>
        <w:t xml:space="preserve"> </w:t>
      </w:r>
      <w:r>
        <w:t xml:space="preserve">the conditional coefficient of variation was numerically zero. Distances</w:t>
      </w:r>
      <w:r>
        <w:t xml:space="preserve"> </w:t>
      </w:r>
      <w:r>
        <w:t xml:space="preserve">therefore select the neighbors, while reciprocity in symmetrization provides</w:t>
      </w:r>
      <w:r>
        <w:t xml:space="preserve"> </w:t>
      </w:r>
      <w:r>
        <w:t xml:space="preserve">most of the remaining edge-weight variation. This is a deliberate compact</w:t>
      </w:r>
      <w:r>
        <w:t xml:space="preserve"> </w:t>
      </w:r>
      <w:r>
        <w:t xml:space="preserve">approximation and is not presented as affinity-equivalent to conventional</w:t>
      </w:r>
      <w:r>
        <w:t xml:space="preserve"> </w:t>
      </w:r>
      <w:r>
        <w:t xml:space="preserve">wider-support t-SNE.</w:t>
      </w:r>
    </w:p>
    <w:p>
      <w:pPr>
        <w:pStyle w:val="BodyText"/>
      </w:pPr>
      <w:r>
        <w:t xml:space="preserve">Table </w:t>
      </w:r>
      <w:hyperlink w:anchor="tab:numerica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lower-level t-SNE tests. FFT force error fell</w:t>
      </w:r>
      <w:r>
        <w:t xml:space="preserve"> </w:t>
      </w:r>
      <w:r>
        <w:t xml:space="preserve">from</w:t>
      </w:r>
      <w:r>
        <w:t xml:space="preserve"> </w:t>
      </w:r>
      <m:oMath>
        <m:r>
          <m:t>5.07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at grid 32 to</w:t>
      </w:r>
      <w:r>
        <w:t xml:space="preserve"> </w:t>
      </w:r>
      <m:oMath>
        <m:r>
          <m:t>7.68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at grid 256.</w:t>
      </w:r>
      <w:r>
        <w:t xml:space="preserve"> </w:t>
      </w:r>
      <w:r>
        <w:t xml:space="preserve">The CUDA validation exercises the production FFT path; it does not report an</w:t>
      </w:r>
      <w:r>
        <w:t xml:space="preserve"> </w:t>
      </w:r>
      <w:r>
        <w:t xml:space="preserve">unsupported exact-repulsion CUDA route as a passing test.</w:t>
      </w:r>
    </w:p>
    <w:bookmarkStart w:id="41" w:name="tab:numerical"/>
    <w:p>
      <w:pPr>
        <w:pStyle w:val="TableCaption"/>
      </w:pPr>
      <w:r>
        <w:t xml:space="preserve">Component-level t-SNE validation. Relative L2 error is measured</w:t>
      </w:r>
      <w:r>
        <w:t xml:space="preserve"> </w:t>
      </w:r>
      <w:r>
        <w:t xml:space="preserve">against the stated independent reference.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onent-level t-SNE validation. Relative L2 error is measured against the stated independent referenc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observed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Float32 affinity versus float64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absolute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attractive force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4.12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repulsive force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1.68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Finite-difference gradient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 repulsion, grid 128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CPU-CUDA FFT first step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Common-affinity KL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absolute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Pathological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result or explicit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of 15 passed</w:t>
            </w:r>
          </w:p>
        </w:tc>
      </w:tr>
    </w:tbl>
    <w:bookmarkEnd w:id="41"/>
    <w:bookmarkEnd w:id="42"/>
    <w:bookmarkStart w:id="44" w:name="final-layout-agreement"/>
    <w:p>
      <w:pPr>
        <w:pStyle w:val="Heading2"/>
      </w:pPr>
      <w:r>
        <w:t xml:space="preserve">Final-layout agreement</w:t>
      </w:r>
    </w:p>
    <w:p>
      <w:pPr>
        <w:pStyle w:val="FirstParagraph"/>
      </w:pPr>
      <w:r>
        <w:t xml:space="preserve">Compact-support validation used common initialization and affinities for</w:t>
      </w:r>
      <w:r>
        <w:t xml:space="preserve"> </w:t>
      </w:r>
      <w:r>
        <w:t xml:space="preserve">2,000 observations from Fashion-MNIST, MNIST, MetRef, and USPS. The archived</w:t>
      </w:r>
      <w:r>
        <w:t xml:space="preserve"> </w:t>
      </w:r>
      <w:r>
        <w:t xml:space="preserve">1,000-normal-iteration outputs used seed 42 and a 256-cell FFT grid in</w:t>
      </w:r>
      <w:r>
        <w:t xml:space="preserve"> </w:t>
      </w:r>
      <w:r>
        <w:t xml:space="preserve">Table </w:t>
      </w:r>
      <w:hyperlink w:anchor="tab:tsne-final-layout">
        <w:r>
          <w:rPr>
            <w:rStyle w:val="Hyperlink"/>
          </w:rPr>
          <w:t xml:space="preserve">4</w:t>
        </w:r>
      </w:hyperlink>
      <w:r>
        <w:t xml:space="preserve">. Other seed runs stopped at 750 normal</w:t>
      </w:r>
      <w:r>
        <w:t xml:space="preserve"> </w:t>
      </w:r>
      <w:r>
        <w:t xml:space="preserve">iterations; they cannot be counted as 1,000-iteration replications. The</w:t>
      </w:r>
      <w:r>
        <w:t xml:space="preserve"> </w:t>
      </w:r>
      <w:r>
        <w:t xml:space="preserve">corrected benchmark schedules seeds 4, 17, and 42 at 1,000 normal iterations</w:t>
      </w:r>
      <w:r>
        <w:t xml:space="preserve"> </w:t>
      </w:r>
      <w:r>
        <w:t xml:space="preserve">on the same grid. Until that run is complete, the table is a diagnostic</w:t>
      </w:r>
      <w:r>
        <w:t xml:space="preserve"> </w:t>
      </w:r>
      <w:r>
        <w:t xml:space="preserve">single-seed comparison, not evidence of between-seed stability. Metal was not</w:t>
      </w:r>
      <w:r>
        <w:t xml:space="preserve"> </w:t>
      </w:r>
      <w:r>
        <w:t xml:space="preserve">part of this Linux experiment and is not inferred from it.</w:t>
      </w:r>
    </w:p>
    <w:bookmarkStart w:id="43" w:name="tab:tsne-final-layout"/>
    <w:p>
      <w:pPr>
        <w:pStyle w:val="TableCaption"/>
      </w:pPr>
      <w:r>
        <w:t xml:space="preserve">Fixed-input compact-support t-SNE final-layout validation.</w:t>
      </w:r>
      <w:r>
        <w:t xml:space="preserve"> </w:t>
      </w:r>
      <w:r>
        <w:t xml:space="preserve">Seed-42 diagnostic values at 1,000 normal iterations and a fixed 256-cell</w:t>
      </w:r>
      <w:r>
        <w:t xml:space="preserve"> </w:t>
      </w:r>
      <w:r>
        <w:t xml:space="preserve">FFT grid. Python openTSNE supplies the common reference fit. USPS</w:t>
      </w:r>
      <w:r>
        <w:t xml:space="preserve"> </w:t>
      </w:r>
      <w:r>
        <w:t xml:space="preserve">trustworthiness was present in the saved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-input compact-support t-SNE final-layout validation. Seed-42 diagnostic values at 1,000 normal iterations and a fixed 256-cell FFT grid. Python openTSNE supplies the common reference fit. USPS trustworthiness was present in the saved result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Common KL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Trustworthiness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Preserve@30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openTSNE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fastEmbedR 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fastEmbedR 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openTSNE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fastEmbedR 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fastEmbedR 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openTSNE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fastEmbedR 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fastEmbedR 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openTSNE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fastEmbedR 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fastEmbedR CUDA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0.5218</w:t>
            </w:r>
          </w:p>
        </w:tc>
      </w:tr>
    </w:tbl>
    <w:bookmarkEnd w:id="43"/>
    <w:p>
      <w:pPr>
        <w:pStyle w:val="BodyText"/>
      </w:pPr>
      <w:r>
        <w:t xml:space="preserve">Across three FFT grid sizes at seed 42 and 1,000 iterations, median</w:t>
      </w:r>
      <w:r>
        <w:t xml:space="preserve"> </w:t>
      </w:r>
      <w:r>
        <w:t xml:space="preserve">Procrustes correlations with Python openTSNE were</w:t>
      </w:r>
      <w:r>
        <w:t xml:space="preserve"> </w:t>
      </w:r>
      <w:r>
        <w:t xml:space="preserve">0.998, 0.930, 0.778, and 0.995 for CPU on Fashion-MNIST, MNIST, MetRef, and</w:t>
      </w:r>
      <w:r>
        <w:t xml:space="preserve"> </w:t>
      </w:r>
      <w:r>
        <w:t xml:space="preserve">USPS; the corresponding CUDA values were 0.998, 0.939, 0.764, and 0.992.</w:t>
      </w:r>
      <w:r>
        <w:t xml:space="preserve"> </w:t>
      </w:r>
      <w:r>
        <w:t xml:space="preserve">Neighborhood agreement at 30 ranged from 0.672 to 0.936 for CPU and from</w:t>
      </w:r>
      <w:r>
        <w:t xml:space="preserve"> </w:t>
      </w:r>
      <w:r>
        <w:t xml:space="preserve">0.650 to 0.935 for CUDA. The lower coordinate agreement on MetRef coexisted</w:t>
      </w:r>
      <w:r>
        <w:t xml:space="preserve"> </w:t>
      </w:r>
      <w:r>
        <w:t xml:space="preserve">with closely matched KL and local-neighborhood quality, illustrating why</w:t>
      </w:r>
      <w:r>
        <w:t xml:space="preserve"> </w:t>
      </w:r>
      <w:r>
        <w:t xml:space="preserve">non-convex t-SNE validation cannot rely on coordinate correlation alone.</w:t>
      </w:r>
    </w:p>
    <w:p>
      <w:pPr>
        <w:pStyle w:val="BodyText"/>
      </w:pPr>
      <w:r>
        <w:t xml:space="preserve">With common precomputed neighbors and matched seeds, fixed-input UMAP</w:t>
      </w:r>
      <w:r>
        <w:t xml:space="preserve"> </w:t>
      </w:r>
      <w:r>
        <w:t xml:space="preserve">CPU-CUDA Procrustes correlation had median 0.962 across 33 data-set–seed</w:t>
      </w:r>
      <w:r>
        <w:t xml:space="preserve"> </w:t>
      </w:r>
      <w:r>
        <w:t xml:space="preserve">pairs (range 0.776–0.996). Neighborhood agreement at 30 had median 0.812</w:t>
      </w:r>
      <w:r>
        <w:t xml:space="preserve"> </w:t>
      </w:r>
      <w:r>
        <w:t xml:space="preserve">(range 0.473–0.900). The lowest agreements occurred for ImageNet and USPS;</w:t>
      </w:r>
      <w:r>
        <w:t xml:space="preserve"> </w:t>
      </w:r>
      <w:r>
        <w:t xml:space="preserve">their data-set medians were 0.904/0.474 and 0.799/0.574 for</w:t>
      </w:r>
      <w:r>
        <w:t xml:space="preserve"> </w:t>
      </w:r>
      <w:r>
        <w:t xml:space="preserve">Procrustes/neighborhood agreement. These results establish behavioral</w:t>
      </w:r>
      <w:r>
        <w:t xml:space="preserve"> </w:t>
      </w:r>
      <w:r>
        <w:t xml:space="preserve">agreement rather than bitwise identity and retain the weaker cases instead of</w:t>
      </w:r>
      <w:r>
        <w:t xml:space="preserve"> </w:t>
      </w:r>
      <w:r>
        <w:t xml:space="preserve">reporting only aggregate medians.</w:t>
      </w:r>
    </w:p>
    <w:bookmarkEnd w:id="44"/>
    <w:bookmarkStart w:id="45" w:name="precision-boundary"/>
    <w:p>
      <w:pPr>
        <w:pStyle w:val="Heading2"/>
      </w:pPr>
      <w:r>
        <w:t xml:space="preserve">Precision boundary</w:t>
      </w:r>
    </w:p>
    <w:p>
      <w:pPr>
        <w:pStyle w:val="FirstParagraph"/>
      </w:pPr>
      <w:r>
        <w:t xml:space="preserve">Using the same exact neighbors, initialization, and seed, ordinary double</w:t>
      </w:r>
      <w:r>
        <w:t xml:space="preserve"> </w:t>
      </w:r>
      <w:r>
        <w:t xml:space="preserve">matrices and direct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inputs produced identical affinity or graph</w:t>
      </w:r>
      <w:r>
        <w:t xml:space="preserve"> </w:t>
      </w:r>
      <w:r>
        <w:t xml:space="preserve">weights, aligned layouts, neighborhood metrics, and t-SNE KL in the focused</w:t>
      </w:r>
      <w:r>
        <w:t xml:space="preserve"> </w:t>
      </w:r>
      <w:r>
        <w:t xml:space="preserve">boundary test. Runtime differences were small and not consistent across</w:t>
      </w:r>
      <w:r>
        <w:t xml:space="preserve"> </w:t>
      </w:r>
      <w:r>
        <w:t xml:space="preserve">objectives. The result supports numerical agreement and copy avoidance, not a</w:t>
      </w:r>
      <w:r>
        <w:t xml:space="preserve"> </w:t>
      </w:r>
      <w:r>
        <w:t xml:space="preserve">universal speedup for the float32 input class.</w:t>
      </w:r>
    </w:p>
    <w:bookmarkEnd w:id="45"/>
    <w:bookmarkEnd w:id="46"/>
    <w:bookmarkStart w:id="52" w:name="sec:benchmark"/>
    <w:p>
      <w:pPr>
        <w:pStyle w:val="Heading1"/>
      </w:pPr>
      <w:r>
        <w:t xml:space="preserve">Benchmark design</w:t>
      </w:r>
    </w:p>
    <w:bookmarkStart w:id="48" w:name="data-sets-and-hardware"/>
    <w:p>
      <w:pPr>
        <w:pStyle w:val="Heading2"/>
      </w:pPr>
      <w:r>
        <w:t xml:space="preserve">Data sets and hardware</w:t>
      </w:r>
    </w:p>
    <w:p>
      <w:pPr>
        <w:pStyle w:val="FirstParagraph"/>
      </w:pPr>
      <w:r>
        <w:t xml:space="preserve">The diagnostic workflow campaign covered 11 external data sets</w:t>
      </w:r>
      <w:r>
        <w:t xml:space="preserve"> </w:t>
      </w:r>
      <w:r>
        <w:t xml:space="preserve">(Table </w:t>
      </w:r>
      <w:hyperlink w:anchor="tab:data">
        <w:r>
          <w:rPr>
            <w:rStyle w:val="Hyperlink"/>
          </w:rPr>
          <w:t xml:space="preserve">5</w:t>
        </w:r>
      </w:hyperlink>
      <w:r>
        <w:t xml:space="preserve">):</w:t>
      </w:r>
      <w:r>
        <w:t xml:space="preserve"> </w:t>
      </w:r>
      <w:r>
        <w:t xml:space="preserve">image data, metabolomics, cytometry, single-cell RNA sequencing, and</w:t>
      </w:r>
      <w:r>
        <w:t xml:space="preserve"> </w:t>
      </w:r>
      <w:r>
        <w:t xml:space="preserve">foundation-model image features. No benchmark matrix or label vector is</w:t>
      </w:r>
      <w:r>
        <w:t xml:space="preserve"> </w:t>
      </w:r>
      <w:r>
        <w:t xml:space="preserve">distributed with the package. The package vignette uses only</w:t>
      </w:r>
      <w:r>
        <w:t xml:space="preserve"> </w:t>
      </w:r>
      <w:r>
        <w:rPr>
          <w:rStyle w:val="VerbatimChar"/>
        </w:rPr>
        <w:t xml:space="preserve">datasets::iris</w:t>
      </w:r>
      <w:r>
        <w:t xml:space="preserve">.</w:t>
      </w:r>
    </w:p>
    <w:bookmarkStart w:id="47" w:name="tab:data"/>
    <w:p>
      <w:pPr>
        <w:pStyle w:val="TableCaption"/>
      </w:pPr>
      <w:r>
        <w:t xml:space="preserve">Benchmark data sets and fitted row counts in workflow campaign</w:t>
      </w:r>
      <w:r>
        <w:t xml:space="preserve"> </w:t>
      </w:r>
      <w:r>
        <w:rPr>
          <w:rStyle w:val="VerbatimChar"/>
        </w:rPr>
        <w:t xml:space="preserve">20260930T203319Z</w:t>
      </w:r>
      <w:r>
        <w:t xml:space="preserve">. All rows were fitted. ImageNet features are</w:t>
      </w:r>
      <w:r>
        <w:t xml:space="preserve"> </w:t>
      </w:r>
      <w:r>
        <w:t xml:space="preserve">used primarily as a</w:t>
      </w:r>
      <w:r>
        <w:t xml:space="preserve"> </w:t>
      </w:r>
      <w:r>
        <w:t xml:space="preserve">scalability and memory stress test rather than a two-dimensional</w:t>
      </w:r>
      <w:r>
        <w:t xml:space="preserve"> </w:t>
      </w:r>
      <w:r>
        <w:t xml:space="preserve">class-separation task.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nchmark data sets and fitted row counts in workflow campaign 20260930T203319Z. All rows were fitted. ImageNet features are used primarily as a scalability and memory stress test rather than a two-dimensional class-separation task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 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Fitted 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COIL20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Handwritten digits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Handwritten digits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Clothing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cytometry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cytometry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1,281,167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1,281,167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DINOv2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FlowRepository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5,220,347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5,220,347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cytometry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 Muris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RNA-seq PCs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Macosko retina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RNA-seq PCs</w:t>
            </w:r>
          </w:p>
        </w:tc>
      </w:tr>
    </w:tbl>
    <w:bookmarkEnd w:id="47"/>
    <w:p>
      <w:pPr>
        <w:pStyle w:val="BodyText"/>
      </w:pPr>
      <w:r>
        <w:t xml:space="preserve">Linux CPU and CUDA jobs ran on the University of Cape Town high-performance</w:t>
      </w:r>
      <w:r>
        <w:t xml:space="preserve"> </w:t>
      </w:r>
      <w:r>
        <w:t xml:space="preserve">computing facility. CPU nodes used Intel Xeon Gold 6442Y processors; the main</w:t>
      </w:r>
      <w:r>
        <w:t xml:space="preserve"> </w:t>
      </w:r>
      <w:r>
        <w:t xml:space="preserve">comparison allocated four cores. CUDA jobs used one NVIDIA L40S with 46,068</w:t>
      </w:r>
      <w:r>
        <w:t xml:space="preserve"> </w:t>
      </w:r>
      <w:r>
        <w:t xml:space="preserve">MiB memory and compute capability 8.9. The environment contained Debian 13,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4.6.1, OpenBLAS,</w:t>
      </w:r>
      <w:r>
        <w:t xml:space="preserve"> </w:t>
      </w:r>
      <w:r>
        <w:rPr>
          <w:rStyle w:val="VerbatimChar"/>
        </w:rPr>
        <w:t xml:space="preserve">uwot</w:t>
      </w:r>
      <w:r>
        <w:t xml:space="preserve"> </w:t>
      </w:r>
      <w:r>
        <w:t xml:space="preserve">0.2.5,</w:t>
      </w:r>
      <w:r>
        <w:t xml:space="preserve"> </w:t>
      </w:r>
      <w:r>
        <w:rPr>
          <w:rStyle w:val="VerbatimChar"/>
        </w:rPr>
        <w:t xml:space="preserve">Rtsne</w:t>
      </w:r>
      <w:r>
        <w:t xml:space="preserve"> </w:t>
      </w:r>
      <w:r>
        <w:t xml:space="preserve">0.17,</w:t>
      </w:r>
      <w:r>
        <w:t xml:space="preserve"> </w:t>
      </w:r>
      <w:r>
        <w:rPr>
          <w:rStyle w:val="VerbatimChar"/>
        </w:rPr>
        <w:t xml:space="preserve">umap</w:t>
      </w:r>
      <w:r>
        <w:t xml:space="preserve"> </w:t>
      </w:r>
      <w:r>
        <w:t xml:space="preserve">0.2.10.0,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 </w:t>
      </w:r>
      <w:r>
        <w:t xml:space="preserve">1.46.0, and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0.3.3. Metal</w:t>
      </w:r>
      <w:r>
        <w:t xml:space="preserve"> </w:t>
      </w:r>
      <w:r>
        <w:t xml:space="preserve">tests used an Apple M3 with 8 GB unified memory. Accelerator timing was</w:t>
      </w:r>
      <w:r>
        <w:t xml:space="preserve"> </w:t>
      </w:r>
      <w:r>
        <w:t xml:space="preserve">synchronized before stopping the timer.</w:t>
      </w:r>
    </w:p>
    <w:p>
      <w:pPr>
        <w:pStyle w:val="BodyText"/>
      </w:pPr>
      <w:r>
        <w:t xml:space="preserve">The result manifest identifies every comparator independently of its display</w:t>
      </w:r>
      <w:r>
        <w:t xml:space="preserve"> </w:t>
      </w:r>
      <w:r>
        <w:t xml:space="preserve">label. Python comparisons used Python 3.12.13, NumPy 2.2.6, openTSNE 1.0.4,</w:t>
      </w:r>
      <w:r>
        <w:t xml:space="preserve"> </w:t>
      </w:r>
      <w:r>
        <w:t xml:space="preserve">scikit-learn 1.9.0, umap-learn 0.5.12, and RAPIDS cuML 26.6.0. FIt-SNE 1.2.1</w:t>
      </w:r>
      <w:r>
        <w:t xml:space="preserve"> </w:t>
      </w:r>
      <w:r>
        <w:t xml:space="preserve">was built from commit</w:t>
      </w:r>
      <w:r>
        <w:t xml:space="preserve"> </w:t>
      </w:r>
      <w:r>
        <w:rPr>
          <w:rStyle w:val="VerbatimChar"/>
        </w:rPr>
        <w:t xml:space="preserve">47ff14f1de</w:t>
      </w:r>
      <w:r>
        <w:rPr>
          <w:rStyle w:val="VerbatimChar"/>
        </w:rPr>
        <w:t xml:space="preserve">fc1ff3a806</w:t>
      </w:r>
      <w:r>
        <w:t xml:space="preserve"> </w:t>
      </w:r>
      <w:r>
        <w:rPr>
          <w:rStyle w:val="VerbatimChar"/>
        </w:rPr>
        <w:t xml:space="preserve">5c8b7baaf4</w:t>
      </w:r>
      <w:r>
        <w:rPr>
          <w:rStyle w:val="VerbatimChar"/>
        </w:rPr>
        <w:t xml:space="preserve">5c33e7e0b2</w:t>
      </w:r>
      <w:r>
        <w:t xml:space="preserve">; its executable has SHA-256</w:t>
      </w:r>
      <w:r>
        <w:t xml:space="preserve"> </w:t>
      </w:r>
      <w:r>
        <w:rPr>
          <w:rStyle w:val="VerbatimChar"/>
        </w:rPr>
        <w:t xml:space="preserve">b14ce0ba53</w:t>
      </w:r>
      <w:r>
        <w:rPr>
          <w:rStyle w:val="VerbatimChar"/>
        </w:rPr>
        <w:t xml:space="preserve">10adf0a120</w:t>
      </w:r>
      <w:r>
        <w:t xml:space="preserve"> </w:t>
      </w:r>
      <w:r>
        <w:rPr>
          <w:rStyle w:val="VerbatimChar"/>
        </w:rPr>
        <w:t xml:space="preserve">7d2c114f94</w:t>
      </w:r>
      <w:r>
        <w:rPr>
          <w:rStyle w:val="VerbatimChar"/>
        </w:rPr>
        <w:t xml:space="preserve">038812cd20</w:t>
      </w:r>
      <w:r>
        <w:t xml:space="preserve"> </w:t>
      </w:r>
      <w:r>
        <w:rPr>
          <w:rStyle w:val="VerbatimChar"/>
        </w:rPr>
        <w:t xml:space="preserve">fb93ccc76e</w:t>
      </w:r>
      <w:r>
        <w:rPr>
          <w:rStyle w:val="VerbatimChar"/>
        </w:rPr>
        <w:t xml:space="preserve">fa599528dd</w:t>
      </w:r>
      <w:r>
        <w:rPr>
          <w:rStyle w:val="VerbatimChar"/>
        </w:rPr>
        <w:t xml:space="preserve">af91</w:t>
      </w:r>
      <w:r>
        <w:t xml:space="preserve">.</w:t>
      </w:r>
      <w:r>
        <w:t xml:space="preserve"> </w:t>
      </w:r>
      <w:r>
        <w:t xml:space="preserve">Missing comparator identity is treated as an unavailable benchmark condition</w:t>
      </w:r>
      <w:r>
        <w:t xml:space="preserve"> </w:t>
      </w:r>
      <w:r>
        <w:t xml:space="preserve">and is not eligible for comparative ratios.</w:t>
      </w:r>
      <w:r>
        <w:t xml:space="preserve"> </w:t>
      </w:r>
      <w:r>
        <w:t xml:space="preserve">The publication-data builder also requires a passing campaign audit. That</w:t>
      </w:r>
      <w:r>
        <w:t xml:space="preserve"> </w:t>
      </w:r>
      <w:r>
        <w:t xml:space="preserve">audit checks expected method–data-set combinations, successful statuses,</w:t>
      </w:r>
      <w:r>
        <w:t xml:space="preserve"> </w:t>
      </w:r>
      <w:r>
        <w:t xml:space="preserve">nonempty layout and timing artifacts, finite elapsed times, and agreement</w:t>
      </w:r>
      <w:r>
        <w:t xml:space="preserve"> </w:t>
      </w:r>
      <w:r>
        <w:t xml:space="preserve">between each method’s declared family and its recorded result.</w:t>
      </w:r>
    </w:p>
    <w:bookmarkEnd w:id="48"/>
    <w:bookmarkStart w:id="49" w:name="timing-boundaries-and-metrics"/>
    <w:p>
      <w:pPr>
        <w:pStyle w:val="Heading2"/>
      </w:pPr>
      <w:r>
        <w:t xml:space="preserve">Timing boundaries and metrics</w:t>
      </w:r>
    </w:p>
    <w:p>
      <w:pPr>
        <w:pStyle w:val="FirstParagraph"/>
      </w:pPr>
      <w:r>
        <w:t xml:space="preserve">The primary benchmark measures the complete public function: input</w:t>
      </w:r>
      <w:r>
        <w:t xml:space="preserve"> </w:t>
      </w:r>
      <w:r>
        <w:t xml:space="preserve">preparation, transfer, neighbor search and index tuning, initialization, graph</w:t>
      </w:r>
      <w:r>
        <w:t xml:space="preserve"> </w:t>
      </w:r>
      <w:r>
        <w:t xml:space="preserve">or affinity construction, optimization, and returned-layout materialization.</w:t>
      </w:r>
      <w:r>
        <w:t xml:space="preserve"> </w:t>
      </w:r>
      <w:r>
        <w:t xml:space="preserve">These are workflow-level comparisons under each package’s reported</w:t>
      </w:r>
      <w:r>
        <w:t xml:space="preserve"> </w:t>
      </w:r>
      <w:r>
        <w:t xml:space="preserve">configuration, not isolated optimizer comparisons. R-mediated Python total</w:t>
      </w:r>
      <w:r>
        <w:t xml:space="preserve"> </w:t>
      </w:r>
      <w:r>
        <w:t xml:space="preserve">calls, direct-Python fit time, and direct-process wall time remain distinct</w:t>
      </w:r>
      <w:r>
        <w:t xml:space="preserve"> </w:t>
      </w:r>
      <w:r>
        <w:t xml:space="preserve">timing scopes.</w:t>
      </w:r>
    </w:p>
    <w:p>
      <w:pPr>
        <w:pStyle w:val="BodyText"/>
      </w:pPr>
      <w:r>
        <w:t xml:space="preserve">Each benchmark runs in an isolated worker. Host peak resident set size (RSS)</w:t>
      </w:r>
      <w:r>
        <w:t xml:space="preserve"> </w:t>
      </w:r>
      <w:r>
        <w:t xml:space="preserve">is obtained from GNU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when available; on heterogeneous Slurm nodes</w:t>
      </w:r>
      <w:r>
        <w:t xml:space="preserve"> </w:t>
      </w:r>
      <w:r>
        <w:t xml:space="preserve">without that utility, the wrapper records elapsed wall time itself and reads</w:t>
      </w:r>
      <w:r>
        <w:t xml:space="preserve"> </w:t>
      </w:r>
      <w:r>
        <w:t xml:space="preserve">the completed batch step’s MaxRSS from</w:t>
      </w:r>
      <w:r>
        <w:t xml:space="preserve"> </w:t>
      </w:r>
      <w:r>
        <w:rPr>
          <w:rStyle w:val="VerbatimChar"/>
        </w:rPr>
        <w:t xml:space="preserve">sstat</w:t>
      </w:r>
      <w:r>
        <w:t xml:space="preserve">. The measurement source is</w:t>
      </w:r>
      <w:r>
        <w:t xml:space="preserve"> </w:t>
      </w:r>
      <w:r>
        <w:t xml:space="preserve">stored with every row, and absence of both measurements is explicit rather</w:t>
      </w:r>
      <w:r>
        <w:t xml:space="preserve"> </w:t>
      </w:r>
      <w:r>
        <w:t xml:space="preserve">than interpreted as zero. CUDA calls synchronize before timing stops;</w:t>
      </w:r>
      <w:r>
        <w:t xml:space="preserve"> </w:t>
      </w:r>
      <w:r>
        <w:t xml:space="preserve">direct-Python calls materialize the returned layout on the host for the same</w:t>
      </w:r>
      <w:r>
        <w:t xml:space="preserve"> </w:t>
      </w:r>
      <w:r>
        <w:t xml:space="preserve">reason. GPU memory is sampled every 0.2 seconds with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on an</w:t>
      </w:r>
      <w:r>
        <w:t xml:space="preserve"> </w:t>
      </w:r>
      <w:r>
        <w:t xml:space="preserve">exclusive device, recording the device-wide baseline before launch, the peak,</w:t>
      </w:r>
      <w:r>
        <w:t xml:space="preserve"> </w:t>
      </w:r>
      <w:r>
        <w:t xml:space="preserve">and the nonnegative peak-minus-baseline value. The baseline includes any</w:t>
      </w:r>
      <w:r>
        <w:t xml:space="preserve"> </w:t>
      </w:r>
      <w:r>
        <w:t xml:space="preserve">initialized runtime or allocator cache. Absolute and baseline-adjusted GPU</w:t>
      </w:r>
      <w:r>
        <w:t xml:space="preserve"> </w:t>
      </w:r>
      <w:r>
        <w:t xml:space="preserve">values are retained because container PID namespaces do not provide reliable</w:t>
      </w:r>
      <w:r>
        <w:t xml:space="preserve"> </w:t>
      </w:r>
      <w:r>
        <w:t xml:space="preserve">per-process device accounting.</w:t>
      </w:r>
    </w:p>
    <w:p>
      <w:pPr>
        <w:pStyle w:val="BodyText"/>
      </w:pPr>
      <w:r>
        <w:t xml:space="preserve">Controlled comparisons separately reuse neighbors, support, initial</w:t>
      </w:r>
      <w:r>
        <w:t xml:space="preserve"> </w:t>
      </w:r>
      <w:r>
        <w:t xml:space="preserve">coordinates, metric, seed, and iteration or epoch count wherever the APIs</w:t>
      </w:r>
      <w:r>
        <w:t xml:space="preserve"> </w:t>
      </w:r>
      <w:r>
        <w:t xml:space="preserve">allow. A method that cannot satisfy a control is marked unmatched and is not</w:t>
      </w:r>
      <w:r>
        <w:t xml:space="preserve"> </w:t>
      </w:r>
      <w:r>
        <w:t xml:space="preserve">used for a matched-boundary speed ratio. In each fastEmbedR quality-diagnostic</w:t>
      </w:r>
      <w:r>
        <w:t xml:space="preserve"> </w:t>
      </w:r>
      <w:r>
        <w:t xml:space="preserve">workflow, the neighbor object is retained after timing has stopped. Fixed</w:t>
      </w:r>
      <w:r>
        <w:t xml:space="preserve"> </w:t>
      </w:r>
      <w:r>
        <w:t xml:space="preserve">stratified query rows are</w:t>
      </w:r>
      <w:r>
        <w:t xml:space="preserve"> </w:t>
      </w:r>
      <w:r>
        <w:t xml:space="preserve">compared with exact neighbors computed against the complete benchmark matrix.</w:t>
      </w:r>
      <w:r>
        <w:t xml:space="preserve"> </w:t>
      </w:r>
      <w:r>
        <w:t xml:space="preserve">Mean, median, fifth-percentile, and minimum recall at the fitted neighborhood</w:t>
      </w:r>
      <w:r>
        <w:t xml:space="preserve"> </w:t>
      </w:r>
      <w:r>
        <w:t xml:space="preserve">size are reported with the search engine, exact or approximate status, target</w:t>
      </w:r>
      <w:r>
        <w:t xml:space="preserve"> </w:t>
      </w:r>
      <w:r>
        <w:t xml:space="preserve">recall, and resolved HNSW or IVF parameters. Exact-reference computation and</w:t>
      </w:r>
      <w:r>
        <w:t xml:space="preserve"> </w:t>
      </w:r>
      <w:r>
        <w:t xml:space="preserve">device-to-host materialization are excluded from workflow runtime. The</w:t>
      </w:r>
      <w:r>
        <w:t xml:space="preserve"> </w:t>
      </w:r>
      <w:r>
        <w:t xml:space="preserve">separate cuVS search diagnostic is not divided by a fit time. Stage</w:t>
      </w:r>
      <w:r>
        <w:t xml:space="preserve"> </w:t>
      </w:r>
      <w:r>
        <w:t xml:space="preserve">times in a workflow comparison must come from that same timed call.</w:t>
      </w:r>
    </w:p>
    <w:p>
      <w:pPr>
        <w:pStyle w:val="BodyText"/>
      </w:pPr>
      <w:r>
        <w:t xml:space="preserve">Quality metrics include trustworthiness</w:t>
      </w:r>
      <w:r>
        <w:t xml:space="preserve"> </w:t>
      </w:r>
      <w:r>
        <w:t xml:space="preserve">(Venna and Kaski 2001)</w:t>
      </w:r>
      <w:r>
        <w:t xml:space="preserve">, overlap between</w:t>
      </w:r>
      <w:r>
        <w:t xml:space="preserve"> </w:t>
      </w:r>
      <w:r>
        <w:t xml:space="preserve">high- and low-dimensional neighbor sets, silhouette when labels are available</w:t>
      </w:r>
      <w:r>
        <w:t xml:space="preserve"> </w:t>
      </w:r>
      <w:r>
        <w:t xml:space="preserve">(Rousseeuw 1987)</w:t>
      </w:r>
      <w:r>
        <w:t xml:space="preserve">, embedding-space label KNN accuracy, t-SNE KL, affinity</w:t>
      </w:r>
      <w:r>
        <w:t xml:space="preserve"> </w:t>
      </w:r>
      <w:r>
        <w:t xml:space="preserve">agreement, fuzzy-graph agreement, and Procrustes-aligned layout similarity.</w:t>
      </w:r>
      <w:r>
        <w:t xml:space="preserve"> </w:t>
      </w:r>
      <w:r>
        <w:t xml:space="preserve">Labels are never used for fitting. Comparator metrics use deterministic,</w:t>
      </w:r>
      <w:r>
        <w:t xml:space="preserve"> </w:t>
      </w:r>
      <w:r>
        <w:t xml:space="preserve">stratified samples of 500–2,000 observations per data set; backend-quality</w:t>
      </w:r>
      <w:r>
        <w:t xml:space="preserve"> </w:t>
      </w:r>
      <w:r>
        <w:t xml:space="preserve">tests may use larger fixed samples. The one-based row</w:t>
      </w:r>
      <w:r>
        <w:t xml:space="preserve"> </w:t>
      </w:r>
      <w:r>
        <w:t xml:space="preserve">identifiers are stored in both RDS and CSV form, and the CSV SHA-256 is copied</w:t>
      </w:r>
      <w:r>
        <w:t xml:space="preserve"> </w:t>
      </w:r>
      <w:r>
        <w:t xml:space="preserve">into every result row. The same observations are therefore reused across</w:t>
      </w:r>
      <w:r>
        <w:t xml:space="preserve"> </w:t>
      </w:r>
      <w:r>
        <w:t xml:space="preserve">methods, backends, timing repetitions, and embedding seeds.</w:t>
      </w:r>
    </w:p>
    <w:p>
      <w:pPr>
        <w:pStyle w:val="BodyText"/>
      </w:pPr>
      <w:r>
        <w:t xml:space="preserve">Embedding seeds 4, 17, and 42 quantify seed-associated variation and are not</w:t>
      </w:r>
      <w:r>
        <w:t xml:space="preserve"> </w:t>
      </w:r>
      <w:r>
        <w:t xml:space="preserve">treated as independent timing repetitions. Deterministic initialization and</w:t>
      </w:r>
      <w:r>
        <w:t xml:space="preserve"> </w:t>
      </w:r>
      <w:r>
        <w:t xml:space="preserve">optimization can produce identical layouts across these seeds; such rows do</w:t>
      </w:r>
      <w:r>
        <w:t xml:space="preserve"> </w:t>
      </w:r>
      <w:r>
        <w:t xml:space="preserve">not constitute independent stability observations. The complete-workflow</w:t>
      </w:r>
      <w:r>
        <w:t xml:space="preserve"> </w:t>
      </w:r>
      <w:r>
        <w:t xml:space="preserve">protocol specifies one excluded warm-up and five same-seed repetitions for</w:t>
      </w:r>
      <w:r>
        <w:t xml:space="preserve"> </w:t>
      </w:r>
      <w:r>
        <w:t xml:space="preserve">R and direct-Python calls. The September 30 workflow campaign contains these</w:t>
      </w:r>
      <w:r>
        <w:t xml:space="preserve"> </w:t>
      </w:r>
      <w:r>
        <w:t xml:space="preserve">repetitions for timing-eligible methods. Long jobs completed once under</w:t>
      </w:r>
      <w:r>
        <w:t xml:space="preserve"> </w:t>
      </w:r>
      <w:r>
        <w:t xml:space="preserve">the two-hour method budget are identified separately; the final audit failed.</w:t>
      </w:r>
      <w:r>
        <w:t xml:space="preserve"> </w:t>
      </w:r>
      <w:r>
        <w:t xml:space="preserve">The matched t-SNE embedding-only study used five CPU</w:t>
      </w:r>
      <w:r>
        <w:t xml:space="preserve"> </w:t>
      </w:r>
      <w:r>
        <w:t xml:space="preserve">and Python repetitions and ten CUDA repetitions after warm-up. Timing</w:t>
      </w:r>
      <w:r>
        <w:t xml:space="preserve"> </w:t>
      </w:r>
      <w:r>
        <w:t xml:space="preserve">variation and embedding-seed variation are reported separately.</w:t>
      </w:r>
    </w:p>
    <w:bookmarkEnd w:id="49"/>
    <w:bookmarkStart w:id="51" w:name="principal-parameters"/>
    <w:p>
      <w:pPr>
        <w:pStyle w:val="Heading2"/>
      </w:pPr>
      <w:r>
        <w:t xml:space="preserve">Principal parameters</w:t>
      </w:r>
    </w:p>
    <w:p>
      <w:pPr>
        <w:pStyle w:val="FirstParagraph"/>
      </w:pPr>
      <w:r>
        <w:t xml:space="preserve">All principal workflows used Euclidean distance, perplexity or neighborhood</w:t>
      </w:r>
      <w:r>
        <w:t xml:space="preserve"> </w:t>
      </w:r>
      <w:r>
        <w:t xml:space="preserve">size 30, seeds 4, 17, and 42, and four CPU threads or one GPU. The revised</w:t>
      </w:r>
      <w:r>
        <w:t xml:space="preserve"> </w:t>
      </w:r>
      <w:r>
        <w:t xml:space="preserve">fastEmbedR t-SNE protocol uses compact support (</w:t>
      </w:r>
      <m:oMath>
        <m:r>
          <m:t>k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30</m:t>
        </m:r>
      </m:oMath>
      <w:r>
        <w:t xml:space="preserve">), 250 exaggerated</w:t>
      </w:r>
      <w:r>
        <w:t xml:space="preserve"> </w:t>
      </w:r>
      <w:r>
        <w:t xml:space="preserve">and 750 normal iterations, learning rate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12</m:t>
            </m:r>
            <m:r>
              <m:rPr>
                <m:sty m:val="p"/>
              </m:rPr>
              <m:t>,</m:t>
            </m:r>
            <m:r>
              <m:t>200</m:t>
            </m:r>
          </m:e>
        </m:d>
      </m:oMath>
      <w:r>
        <w:t xml:space="preserve">, and</w:t>
      </w:r>
      <w:r>
        <w:t xml:space="preserve"> </w:t>
      </w:r>
      <w:r>
        <w:t xml:space="preserve">exaggeration 12.</w:t>
      </w:r>
      <w:r>
        <w:t xml:space="preserve"> </w:t>
      </w:r>
      <w:r>
        <w:rPr>
          <w:rStyle w:val="VerbatimChar"/>
        </w:rPr>
        <w:t xml:space="preserve">Rtsne</w:t>
      </w:r>
      <w:r>
        <w:t xml:space="preserve"> </w:t>
      </w:r>
      <w:r>
        <w:t xml:space="preserve">uses 1,000 iterations, learning rate 200, PCA layout</w:t>
      </w:r>
      <w:r>
        <w:t xml:space="preserve"> </w:t>
      </w:r>
      <w:r>
        <w:t xml:space="preserve">initialization, and no PCA feature preprocessing before its VP-tree</w:t>
      </w:r>
      <w:r>
        <w:t xml:space="preserve"> </w:t>
      </w:r>
      <w:r>
        <w:t xml:space="preserve">workflow. FIt-SNE uses 1,000 iterations, automatic learning rate, PCA layout</w:t>
      </w:r>
      <w:r>
        <w:t xml:space="preserve"> </w:t>
      </w:r>
      <w:r>
        <w:t xml:space="preserve">initialization, and Annoy. fastEmbedR fuzzy and binary UMAP used 500 epochs</w:t>
      </w:r>
      <w:r>
        <w:t xml:space="preserve"> </w:t>
      </w:r>
      <w:r>
        <w:t xml:space="preserve">below 10,000 rows and 200 otherwise, with a documented 300-epoch</w:t>
      </w:r>
      <w:r>
        <w:t xml:space="preserve"> </w:t>
      </w:r>
      <w:r>
        <w:t xml:space="preserve">high-variability profile;</w:t>
      </w:r>
      <w:r>
        <w:t xml:space="preserve"> </w:t>
      </w:r>
      <w:r>
        <w:rPr>
          <w:rStyle w:val="VerbatimChar"/>
        </w:rPr>
        <w:t xml:space="preserve">uwot</w:t>
      </w:r>
      <w:r>
        <w:t xml:space="preserve"> </w:t>
      </w:r>
      <w:r>
        <w:t xml:space="preserve">used its default or</w:t>
      </w:r>
      <w:r>
        <w:t xml:space="preserve"> </w:t>
      </w:r>
      <w:r>
        <w:rPr>
          <w:rStyle w:val="VerbatimChar"/>
        </w:rPr>
        <w:t xml:space="preserve">fast_sgd = TRUE</w:t>
      </w:r>
      <w:r>
        <w:t xml:space="preserve"> </w:t>
      </w:r>
      <w:r>
        <w:t xml:space="preserve">schedule.</w:t>
      </w:r>
    </w:p>
    <w:p>
      <w:pPr>
        <w:pStyle w:val="BodyText"/>
      </w:pPr>
      <w:r>
        <w:t xml:space="preserve">Table </w:t>
      </w:r>
      <w:hyperlink w:anchor="tab:workflow-parameter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separates layout initialization from</w:t>
      </w:r>
      <w:r>
        <w:t xml:space="preserve"> </w:t>
      </w:r>
      <w:r>
        <w:t xml:space="preserve">feature preprocessing and records other settings that materially affect</w:t>
      </w:r>
      <w:r>
        <w:t xml:space="preserve"> </w:t>
      </w:r>
      <w:r>
        <w:t xml:space="preserve">runtime and quality.</w:t>
      </w:r>
      <w:r>
        <w:t xml:space="preserve"> </w:t>
      </w:r>
      <w:r>
        <w:t xml:space="preserve">“Policy matched”</w:t>
      </w:r>
      <w:r>
        <w:t xml:space="preserve"> </w:t>
      </w:r>
      <w:r>
        <w:t xml:space="preserve">means that methods use the same class</w:t>
      </w:r>
      <w:r>
        <w:t xml:space="preserve"> </w:t>
      </w:r>
      <w:r>
        <w:t xml:space="preserve">of initialization, such as PCA or spectral initialization, but compute their</w:t>
      </w:r>
      <w:r>
        <w:t xml:space="preserve"> </w:t>
      </w:r>
      <w:r>
        <w:t xml:space="preserve">starting coordinates independently. Exact initial coordinates are shared only</w:t>
      </w:r>
      <w:r>
        <w:t xml:space="preserve"> </w:t>
      </w:r>
      <w:r>
        <w:t xml:space="preserve">in the controlled numerical comparisons described above. They are not shared</w:t>
      </w:r>
      <w:r>
        <w:t xml:space="preserve"> </w:t>
      </w:r>
      <w:r>
        <w:t xml:space="preserve">in complete-workflow timings because doing so would remove each package’s</w:t>
      </w:r>
      <w:r>
        <w:t xml:space="preserve"> </w:t>
      </w:r>
      <w:r>
        <w:t xml:space="preserve">initialization cost from the public call. The complete machine-readable table</w:t>
      </w:r>
      <w:r>
        <w:t xml:space="preserve"> </w:t>
      </w:r>
      <w:r>
        <w:t xml:space="preserve">also records momentum, optimizer, precision, thread control, and the resolved</w:t>
      </w:r>
      <w:r>
        <w:t xml:space="preserve"> </w:t>
      </w:r>
      <w:r>
        <w:t xml:space="preserve">data-set-specific UMAP policy.</w:t>
      </w:r>
    </w:p>
    <w:bookmarkStart w:id="50" w:name="tab:workflow-parameters"/>
    <w:p>
      <w:pPr>
        <w:pStyle w:val="TableCaption"/>
      </w:pPr>
      <w:r>
        <w:t xml:space="preserve">Principal settings in the revised complete-workflow protocol. PCA in the</w:t>
      </w:r>
      <w:r>
        <w:t xml:space="preserve"> </w:t>
      </w:r>
      <w:r>
        <w:t xml:space="preserve">preprocessing column reduces input features; PCA in the initialization</w:t>
      </w:r>
      <w:r>
        <w:t xml:space="preserve"> </w:t>
      </w:r>
      <w:r>
        <w:t xml:space="preserve">column supplies starting layout coordinates. Independent PCA or spectral</w:t>
      </w:r>
      <w:r>
        <w:t xml:space="preserve"> </w:t>
      </w:r>
      <w:r>
        <w:t xml:space="preserve">coordinates are policy matched, not numerically identical.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Caption w:val="Principal settings in the revised complete-workflow protocol. PCA in the preprocessing column reduces input features; PCA in the initialization column supplies starting layout coordinates. Independent PCA or spectral coordinates are policy matched, not numerically identical."/>
      </w:tblPr>
      <w:tblGrid>
        <w:gridCol w:w="1584"/>
        <w:gridCol w:w="1440"/>
        <w:gridCol w:w="1368"/>
        <w:gridCol w:w="1584"/>
        <w:gridCol w:w="1800"/>
        <w:gridCol w:w="1584"/>
      </w:tblGrid>
      <w:tr>
        <w:trPr>
          <w:tblHeader w:val="on"/>
        </w:trP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Method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Layout initialization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PCA preprocessing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Optimization budget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Neighborhood or support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Learning-rate policy</w:t>
            </w:r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fastEmbedR t-SNE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PCA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250 exaggerated + 750 normal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e>
              </m:d>
            </m:oMath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Rtsne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PCA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1,000 total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Internal</w:t>
            </w:r>
            <w:r>
              <w:rPr>
                <w:sz w:val="16"/>
              </w:rPr>
              <w:t xml:space="preserve"> </w:t>
            </w:r>
            <m:oMath>
              <m:r>
                <m:t>3</m:t>
              </m:r>
              <m:r>
                <m:t>P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Fixed 200</w:t>
            </w:r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FIt-SNE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PCA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1,000 total; 250 exaggerated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Internal</w:t>
            </w:r>
            <w:r>
              <w:rPr>
                <w:sz w:val="16"/>
              </w:rPr>
              <w:t xml:space="preserve"> </w:t>
            </w:r>
            <m:oMath>
              <m:r>
                <m:t>3</m:t>
              </m:r>
              <m:r>
                <m:t>P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Automatic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e>
              </m:d>
            </m:oMath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Python openTSNE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PCA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250 exaggerated + 750 normal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Internal</w:t>
            </w:r>
            <w:r>
              <w:rPr>
                <w:sz w:val="16"/>
              </w:rPr>
              <w:t xml:space="preserve"> </w:t>
            </w:r>
            <m:oMath>
              <m:r>
                <m:t>3</m:t>
              </m:r>
              <m:r>
                <m:t>P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Automatic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e>
              </m:d>
            </m:oMath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scikit-learn t-SNE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PCA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1,000 total; 250 exaggerated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Internal</w:t>
            </w:r>
            <w:r>
              <w:rPr>
                <w:sz w:val="16"/>
              </w:rPr>
              <w:t xml:space="preserve"> </w:t>
            </w:r>
            <m:oMath>
              <m:r>
                <m:t>3</m:t>
              </m:r>
              <m:r>
                <m:t>P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Automatic, implementation-scaled</w:t>
            </w:r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RAPIDS cuML t-SNE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PCA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1,000 total; 250 exaggerated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90 (cuML default;</w:t>
            </w:r>
            <w:r>
              <w:rPr>
                <w:sz w:val="16"/>
              </w:rPr>
              <w:t xml:space="preserve"> </w:t>
            </w:r>
            <m:oMath>
              <m:r>
                <m:t>3</m:t>
              </m:r>
              <m:r>
                <m:t>P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here)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Capped</w:t>
            </w:r>
            <w:r>
              <w:rPr>
                <w:sz w:val="16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/</m:t>
              </m:r>
              <m:r>
                <m:t>48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(50–200)</w:t>
            </w:r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fastEmbedR fuzzy UMAP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Spectral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500, 300, or 200 epochs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Package policy, 1 or 1.25</w:t>
            </w:r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uwot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Spectral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Size-dependent default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Fixed 1</w:t>
            </w:r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umap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Spectral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200 epochs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Fixed 1</w:t>
            </w:r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umap-learn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Spectral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500 or 200 epochs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Fixed 1</w:t>
            </w:r>
          </w:p>
        </w:tc>
      </w:tr>
      <w:tr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RAPIDS cuML UMAP</w:t>
            </w:r>
          </w:p>
        </w:tc>
        <w:tc>
          <w:tcPr>
            <w:tcW w:type="dxa" w:w="1440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Spectral</w:t>
            </w:r>
          </w:p>
        </w:tc>
        <w:tc>
          <w:tcPr>
            <w:tcW w:type="dxa" w:w="1368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500 or 200 epochs</w:t>
            </w:r>
          </w:p>
        </w:tc>
        <w:tc>
          <w:tcPr>
            <w:tcW w:type="dxa" w:w="1800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>
            <w:tcW w:type="dxa" w:w="158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Fixed 1</w:t>
            </w:r>
          </w:p>
        </w:tc>
      </w:tr>
    </w:tbl>
    <w:bookmarkEnd w:id="50"/>
    <w:bookmarkEnd w:id="51"/>
    <w:bookmarkEnd w:id="52"/>
    <w:bookmarkStart w:id="71" w:name="benchmark-results"/>
    <w:p>
      <w:pPr>
        <w:pStyle w:val="Heading1"/>
      </w:pPr>
      <w:r>
        <w:t xml:space="preserve">Benchmark results</w:t>
      </w:r>
    </w:p>
    <w:bookmarkStart w:id="65" w:name="workflow-runtime-and-quality"/>
    <w:p>
      <w:pPr>
        <w:pStyle w:val="Heading2"/>
      </w:pPr>
      <w:r>
        <w:t xml:space="preserve">Workflow runtime and quality</w:t>
      </w:r>
    </w:p>
    <w:p>
      <w:pPr>
        <w:pStyle w:val="FirstParagraph"/>
      </w:pPr>
      <w:r>
        <w:t xml:space="preserve">Campaign</w:t>
      </w:r>
      <w:r>
        <w:t xml:space="preserve"> </w:t>
      </w:r>
      <w:r>
        <w:rPr>
          <w:rStyle w:val="VerbatimChar"/>
        </w:rPr>
        <w:t xml:space="preserve">20260930T203319Z</w:t>
      </w:r>
      <w:r>
        <w:t xml:space="preserve"> </w:t>
      </w:r>
      <w:r>
        <w:t xml:space="preserve">fitted the complete matrix for each of</w:t>
      </w:r>
      <w:r>
        <w:t xml:space="preserve"> </w:t>
      </w:r>
      <w:r>
        <w:t xml:space="preserve">the 11 data sets. On MNIST, median fastEmbedR R public-call times were</w:t>
      </w:r>
      <w:r>
        <w:t xml:space="preserve"> </w:t>
      </w:r>
      <w:r>
        <w:t xml:space="preserve">1.401 seconds for t-SNE and 1.030 seconds for fuzzy UMAP. Direct-Python</w:t>
      </w:r>
      <w:r>
        <w:t xml:space="preserve"> </w:t>
      </w:r>
      <w:r>
        <w:t xml:space="preserve">cuML fit-only times were 2.394 and 0.867 seconds, respectively. These</w:t>
      </w:r>
      <w:r>
        <w:t xml:space="preserve"> </w:t>
      </w:r>
      <w:r>
        <w:t xml:space="preserve">measurements have different boundaries and do not define a speed ratio.</w:t>
      </w:r>
      <w:r>
        <w:t xml:space="preserve"> </w:t>
      </w:r>
      <w:r>
        <w:t xml:space="preserve">Likewise, t-SNE support and independently computed initial coordinates</w:t>
      </w:r>
      <w:r>
        <w:t xml:space="preserve"> </w:t>
      </w:r>
      <w:r>
        <w:t xml:space="preserve">differ between implementations. Figures </w:t>
      </w:r>
      <w:hyperlink w:anchor="fig:diagnostic-runtime-pca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:diagnostic-runtime-tsne">
        <w:r>
          <w:rPr>
            <w:rStyle w:val="Hyperlink"/>
          </w:rPr>
          <w:t xml:space="preserve">2</w:t>
        </w:r>
      </w:hyperlink>
      <w:r>
        <w:t xml:space="preserve">, and</w:t>
      </w:r>
      <w:r>
        <w:t xml:space="preserve"> </w:t>
      </w:r>
      <w:hyperlink w:anchor="fig:diagnostic-runtime-uma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combine the R and Python observations</w:t>
      </w:r>
      <w:r>
        <w:t xml:space="preserve"> </w:t>
      </w:r>
      <w:r>
        <w:t xml:space="preserve">within each method family. Marker shape distinguishes public R calls from</w:t>
      </w:r>
      <w:r>
        <w:t xml:space="preserve"> </w:t>
      </w:r>
      <w:r>
        <w:t xml:space="preserve">direct Python fits and repeated timings from completed single fits. The</w:t>
      </w:r>
      <w:r>
        <w:t xml:space="preserve"> </w:t>
      </w:r>
      <w:r>
        <w:t xml:space="preserve">merged data-set-level times and explicit failure codes are in Supplementary</w:t>
      </w:r>
      <w:r>
        <w:t xml:space="preserve"> </w:t>
      </w:r>
      <w:r>
        <w:t xml:space="preserve">Table S1. Missing points are never filled from another campaign.</w:t>
      </w:r>
      <w:r>
        <w:t xml:space="preserve"> </w:t>
      </w:r>
      <w:r>
        <w:t xml:space="preserve">These displays remain diagnostic because the campaign audit failed.</w:t>
      </w:r>
    </w:p>
    <w:bookmarkStart w:id="56" w:name="fig:diagnostic-runtime-pca"/>
    <w:p>
      <w:pPr>
        <w:pStyle w:val="CaptionedFigure"/>
      </w:pPr>
      <w:r>
        <w:drawing>
          <wp:inline>
            <wp:extent cx="5227320" cy="493691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diagnostic_runtime_pc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93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PCA elapsed times in diagnostic campaign</w:t>
      </w:r>
      <w:r>
        <w:t xml:space="preserve"> </w:t>
      </w:r>
      <w:r>
        <w:t xml:space="preserve">20260930T203319Z. Circles denote complete R public calls and triangles</w:t>
      </w:r>
      <w:r>
        <w:t xml:space="preserve"> </w:t>
      </w:r>
      <w:r>
        <w:t xml:space="preserve">direct Python fits; filled markers have five same-seed repetitions and</w:t>
      </w:r>
      <w:r>
        <w:t xml:space="preserve"> </w:t>
      </w:r>
      <w:r>
        <w:t xml:space="preserve">hollow markers show a completed single fit. Both scopes share an axis</w:t>
      </w:r>
      <w:r>
        <w:t xml:space="preserve"> </w:t>
      </w:r>
      <w:r>
        <w:t xml:space="preserve">for inventory, not for a cross-scope speed ratio. Missing results and</w:t>
      </w:r>
      <w:r>
        <w:t xml:space="preserve"> </w:t>
      </w:r>
      <w:r>
        <w:t xml:space="preserve">failures are identified in Supplementary Table S1.</w:t>
      </w:r>
    </w:p>
    <w:bookmarkEnd w:id="56"/>
    <w:bookmarkStart w:id="60" w:name="fig:diagnostic-runtime-tsne"/>
    <w:p>
      <w:pPr>
        <w:pStyle w:val="CaptionedFigure"/>
      </w:pPr>
      <w:r>
        <w:drawing>
          <wp:inline>
            <wp:extent cx="5227320" cy="4936913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/diagnostic_runtime_tsn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93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two-dimensional t-SNE elapsed times in the same</w:t>
      </w:r>
      <w:r>
        <w:t xml:space="preserve"> </w:t>
      </w:r>
      <w:r>
        <w:t xml:space="preserve">full-data diagnostic campaign. R public-call and direct-Python fit</w:t>
      </w:r>
      <w:r>
        <w:t xml:space="preserve"> </w:t>
      </w:r>
      <w:r>
        <w:t xml:space="preserve">measurements appear together but have distinct marker shapes and are</w:t>
      </w:r>
      <w:r>
        <w:t xml:space="preserve"> </w:t>
      </w:r>
      <w:r>
        <w:t xml:space="preserve">not directly comparable. Hollow markers indicate completed single fits;</w:t>
      </w:r>
      <w:r>
        <w:t xml:space="preserve"> </w:t>
      </w:r>
      <w:r>
        <w:t xml:space="preserve">missing results are coded in Supplementary Table S1.</w:t>
      </w:r>
    </w:p>
    <w:bookmarkEnd w:id="60"/>
    <w:bookmarkStart w:id="64" w:name="fig:diagnostic-runtime-umap"/>
    <w:p>
      <w:pPr>
        <w:pStyle w:val="CaptionedFigure"/>
      </w:pPr>
      <w:r>
        <w:drawing>
          <wp:inline>
            <wp:extent cx="5227320" cy="493691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diagnostic_runtime_umap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93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two-dimensional UMAP elapsed times in the same</w:t>
      </w:r>
      <w:r>
        <w:t xml:space="preserve"> </w:t>
      </w:r>
      <w:r>
        <w:t xml:space="preserve">full-data diagnostic campaign. Fuzzy and secondary binary UMAP routes,</w:t>
      </w:r>
      <w:r>
        <w:t xml:space="preserve"> </w:t>
      </w:r>
      <w:r>
        <w:t xml:space="preserve">R and Python methods, and completed single fits are included. Timing</w:t>
      </w:r>
      <w:r>
        <w:t xml:space="preserve"> </w:t>
      </w:r>
      <w:r>
        <w:t xml:space="preserve">boundaries and missing-result codes follow</w:t>
      </w:r>
      <w:r>
        <w:t xml:space="preserve"> </w:t>
      </w:r>
      <w:r>
        <w:t xml:space="preserve">Figure </w:t>
      </w:r>
      <w:hyperlink w:anchor="fig:diagnostic-runtime-pca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Supplementary Table S1.</w:t>
      </w:r>
    </w:p>
    <w:bookmarkEnd w:id="64"/>
    <w:p>
      <w:pPr>
        <w:pStyle w:val="BodyText"/>
      </w:pPr>
      <w:r>
        <w:t xml:space="preserve">Peak host resident memory and sampled CUDA device-memory increases are</w:t>
      </w:r>
      <w:r>
        <w:t xml:space="preserve"> </w:t>
      </w:r>
      <w:r>
        <w:t xml:space="preserve">reported in Supplementary Table S9. They cover the</w:t>
      </w:r>
      <w:r>
        <w:t xml:space="preserve"> </w:t>
      </w:r>
      <w:r>
        <w:t xml:space="preserve">complete worker, including preparation and quality assessment, rather than</w:t>
      </w:r>
      <w:r>
        <w:t xml:space="preserve"> </w:t>
      </w:r>
      <w:r>
        <w:t xml:space="preserve">the direct-Python fit-only boundary. Short GPU peaks may escape sampling.</w:t>
      </w:r>
    </w:p>
    <w:p>
      <w:pPr>
        <w:pStyle w:val="BodyText"/>
      </w:pPr>
      <w:r>
        <w:t xml:space="preserve">The campaign used a 7,200-second per-method limit. Its final audit is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with 34 failed or timed-out tasks across the campaign and</w:t>
      </w:r>
      <w:r>
        <w:t xml:space="preserve"> </w:t>
      </w:r>
      <w:r>
        <w:t xml:space="preserve">four output-audit failures. Supplementary Table S1 distinguishes timeout,</w:t>
      </w:r>
      <w:r>
        <w:t xml:space="preserve"> </w:t>
      </w:r>
      <w:r>
        <w:t xml:space="preserve">memory limit, other failure, and completed single fit. Some CUDA memory</w:t>
      </w:r>
      <w:r>
        <w:t xml:space="preserve"> </w:t>
      </w:r>
      <w:r>
        <w:t xml:space="preserve">peaks were not sampled adequately; missing values remain missing rather</w:t>
      </w:r>
      <w:r>
        <w:t xml:space="preserve"> </w:t>
      </w:r>
      <w:r>
        <w:t xml:space="preserve">than zero. Publication-level timing claims remain unresolved.</w:t>
      </w:r>
    </w:p>
    <w:p>
      <w:pPr>
        <w:pStyle w:val="BodyText"/>
      </w:pPr>
      <w:r>
        <w:t xml:space="preserve">ImageNet is treated primarily as a runtime and memory stress test. Every</w:t>
      </w:r>
      <w:r>
        <w:t xml:space="preserve"> </w:t>
      </w:r>
      <w:r>
        <w:t xml:space="preserve">workflow fit in this campaign used the complete source matrix; source and</w:t>
      </w:r>
      <w:r>
        <w:t xml:space="preserve"> </w:t>
      </w:r>
      <w:r>
        <w:t xml:space="preserve">fitted row counts are displayed in Table </w:t>
      </w:r>
      <w:hyperlink w:anchor="tab:data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Observed recall@30 was measured against exact full-reference neighbors.</w:t>
      </w:r>
      <w:r>
        <w:t xml:space="preserve"> </w:t>
      </w:r>
      <w:r>
        <w:t xml:space="preserve">The CUDA routes reached at least 0.9982; the CPU ImageNet and retina HNSW</w:t>
      </w:r>
      <w:r>
        <w:t xml:space="preserve"> </w:t>
      </w:r>
      <w:r>
        <w:t xml:space="preserve">routes reached 0.9672 and 0.9831, below the target 0.99. These sampled</w:t>
      </w:r>
      <w:r>
        <w:t xml:space="preserve"> </w:t>
      </w:r>
      <w:r>
        <w:t xml:space="preserve">checks are diagnostic and cannot be attributed to the optimizer.</w:t>
      </w:r>
    </w:p>
    <w:p>
      <w:pPr>
        <w:pStyle w:val="BodyText"/>
      </w:pPr>
      <w:r>
        <w:t xml:space="preserve">Diagnostic median host peak RSS across complete CPU comparator workers was</w:t>
      </w:r>
      <w:r>
        <w:t xml:space="preserve"> </w:t>
      </w:r>
      <w:r>
        <w:t xml:space="preserve">1.53 GiB for fastEmbedR t-SNE and 1.50 GiB for fuzzy UMAP, compared with</w:t>
      </w:r>
      <w:r>
        <w:t xml:space="preserve"> </w:t>
      </w:r>
      <w:r>
        <w:t xml:space="preserve">1.38 GiB for</w:t>
      </w:r>
      <w:r>
        <w:t xml:space="preserve"> </w:t>
      </w:r>
      <w:r>
        <w:rPr>
          <w:rStyle w:val="VerbatimChar"/>
        </w:rPr>
        <w:t xml:space="preserve">Rtsne</w:t>
      </w:r>
      <w:r>
        <w:t xml:space="preserve"> </w:t>
      </w:r>
      <w:r>
        <w:t xml:space="preserve">and 5.32 GiB for the R</w:t>
      </w:r>
      <w:r>
        <w:t xml:space="preserve"> </w:t>
      </w:r>
      <w:r>
        <w:rPr>
          <w:rStyle w:val="VerbatimChar"/>
        </w:rPr>
        <w:t xml:space="preserve">umap</w:t>
      </w:r>
      <w:r>
        <w:t xml:space="preserve"> </w:t>
      </w:r>
      <w:r>
        <w:t xml:space="preserve">package.</w:t>
      </w:r>
      <w:r>
        <w:t xml:space="preserve"> </w:t>
      </w:r>
      <w:r>
        <w:t xml:space="preserve">Device-wide median incremental memory in sampled CUDA workers was</w:t>
      </w:r>
      <w:r>
        <w:t xml:space="preserve"> </w:t>
      </w:r>
      <w:r>
        <w:t xml:space="preserve">1.03 and 0.78 GiB for fastEmbedR t-SNE and UMAP, versus 1.28 and</w:t>
      </w:r>
      <w:r>
        <w:t xml:space="preserve"> </w:t>
      </w:r>
      <w:r>
        <w:t xml:space="preserve">0.73 GiB for direct cuML fits. These are whole-worker and sampled-device</w:t>
      </w:r>
      <w:r>
        <w:t xml:space="preserve"> </w:t>
      </w:r>
      <w:r>
        <w:t xml:space="preserve">observations, not fit-only or process-level memory ratios.</w:t>
      </w:r>
    </w:p>
    <w:p>
      <w:pPr>
        <w:pStyle w:val="BodyText"/>
      </w:pPr>
      <w:r>
        <w:t xml:space="preserve">Across the ten data sets with successful full-workflow CPU and CUDA fits,</w:t>
      </w:r>
      <w:r>
        <w:t xml:space="preserve"> </w:t>
      </w:r>
      <w:r>
        <w:t xml:space="preserve">median CUDA-minus-CPU trustworthiness differences were +0.0037 for t-SNE</w:t>
      </w:r>
      <w:r>
        <w:t xml:space="preserve"> </w:t>
      </w:r>
      <w:r>
        <w:t xml:space="preserve">and -0.0027 for fuzzy UMAP; Preserve@30 differences were +0.0020 and</w:t>
      </w:r>
      <w:r>
        <w:t xml:space="preserve"> </w:t>
      </w:r>
      <w:r>
        <w:t xml:space="preserve">-0.0058. These are paired quality observations, not proof of identical</w:t>
      </w:r>
      <w:r>
        <w:t xml:space="preserve"> </w:t>
      </w:r>
      <w:r>
        <w:t xml:space="preserve">objectives or trajectories. Dataset-level values and the CUDA/cuML</w:t>
      </w:r>
      <w:r>
        <w:t xml:space="preserve"> </w:t>
      </w:r>
      <w:r>
        <w:t xml:space="preserve">comparison are in Supplementary Tables S3 and S2, respectively.</w:t>
      </w:r>
    </w:p>
    <w:bookmarkEnd w:id="65"/>
    <w:bookmarkStart w:id="66" w:name="compact-support-sensitivity"/>
    <w:p>
      <w:pPr>
        <w:pStyle w:val="Heading2"/>
      </w:pPr>
      <w:r>
        <w:t xml:space="preserve">Compact-support sensitivity</w:t>
      </w:r>
    </w:p>
    <w:p>
      <w:pPr>
        <w:pStyle w:val="FirstParagraph"/>
      </w:pPr>
      <w:r>
        <w:t xml:space="preserve">When t-SNE has exactly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candidate neighbors, its requested perplexity</w:t>
      </w:r>
      <w:r>
        <w:t xml:space="preserve"> </w:t>
      </w:r>
      <w:r>
        <w:t xml:space="preserve">equals the maximum possible perplexity on that support. Conditional</w:t>
      </w:r>
      <w:r>
        <w:t xml:space="preserve"> </w:t>
      </w:r>
      <w:r>
        <w:t xml:space="preserve">probabilities therefore approach uniform weights; reducing support changes</w:t>
      </w:r>
      <w:r>
        <w:t xml:space="preserve"> </w:t>
      </w:r>
      <w:r>
        <w:t xml:space="preserve">the affinity objective, not only its computational cost. In an exact-neighbor</w:t>
      </w:r>
      <w:r>
        <w:t xml:space="preserve"> </w:t>
      </w:r>
      <w:r>
        <w:t xml:space="preserve">affinity diagnostic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30</m:t>
        </m:r>
      </m:oMath>
      <w:r>
        <w:t xml:space="preserve">, the median normalized conditional entropy was</w:t>
      </w:r>
      <w:r>
        <w:t xml:space="preserve"> </w:t>
      </w:r>
      <w:r>
        <w:t xml:space="preserve">approximately 1.000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and 0.761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t>P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, 20, and 30, fixed-neighbor sensitivity experiments generally</w:t>
      </w:r>
      <w:r>
        <w:t xml:space="preserve"> </w:t>
      </w:r>
      <w:r>
        <w:t xml:space="preserve">favored compact support for runtime and neighborhood preservation, whereas</w:t>
      </w:r>
      <w:r>
        <w:t xml:space="preserve"> </w:t>
      </w:r>
      <w:r>
        <w:t xml:space="preserve">wider support produced lower sampled KL for its different affinity objective.</w:t>
      </w:r>
      <w:r>
        <w:t xml:space="preserve"> </w:t>
      </w:r>
      <w:r>
        <w:t xml:space="preserve">The paired data-set counts and iteration budget are given in Supplementary</w:t>
      </w:r>
      <w:r>
        <w:t xml:space="preserve"> </w:t>
      </w:r>
      <w:r>
        <w:t xml:space="preserve">Table S4; these calls are not complete workflows.</w:t>
      </w:r>
    </w:p>
    <w:bookmarkEnd w:id="66"/>
    <w:bookmarkStart w:id="67" w:name="multicore-scaling"/>
    <w:p>
      <w:pPr>
        <w:pStyle w:val="Heading2"/>
      </w:pPr>
      <w:r>
        <w:t xml:space="preserve">Multicore scaling</w:t>
      </w:r>
    </w:p>
    <w:p>
      <w:pPr>
        <w:pStyle w:val="FirstParagraph"/>
      </w:pPr>
      <w:r>
        <w:t xml:space="preserve">On COIL20, MNIST, flow18, and ImageNet, four CPU threads gave median</w:t>
      </w:r>
      <w:r>
        <w:t xml:space="preserve"> </w:t>
      </w:r>
      <w:r>
        <w:t xml:space="preserve">full-workflow speedups of 2.24 for t-SNE and 2.26 for fuzzy UMAP over one</w:t>
      </w:r>
      <w:r>
        <w:t xml:space="preserve"> </w:t>
      </w:r>
      <w:r>
        <w:t xml:space="preserve">thread. Scaling was not monotonic across 1, 2, 4, 8, and 12 threads; stage</w:t>
      </w:r>
      <w:r>
        <w:t xml:space="preserve"> </w:t>
      </w:r>
      <w:r>
        <w:t xml:space="preserve">times and per-data-set efficiency appear in Supplementary</w:t>
      </w:r>
      <w:r>
        <w:t xml:space="preserve"> </w:t>
      </w:r>
      <w:r>
        <w:t xml:space="preserve">Table S5.</w:t>
      </w:r>
    </w:p>
    <w:bookmarkEnd w:id="67"/>
    <w:bookmarkStart w:id="68" w:name="apple-metal"/>
    <w:p>
      <w:pPr>
        <w:pStyle w:val="Heading2"/>
      </w:pPr>
      <w:r>
        <w:t xml:space="preserve">Apple Metal</w:t>
      </w:r>
    </w:p>
    <w:p>
      <w:pPr>
        <w:pStyle w:val="FirstParagraph"/>
      </w:pPr>
      <w:r>
        <w:t xml:space="preserve">The Apple M3 study covered MetRef, COIL20, USPS, MNIST, Fashion-MNIST,</w:t>
      </w:r>
      <w:r>
        <w:t xml:space="preserve"> </w:t>
      </w:r>
      <w:r>
        <w:t xml:space="preserve">Macosko retina, and Tabula Muris, spanning 873–100,102 observations and</w:t>
      </w:r>
      <w:r>
        <w:t xml:space="preserve"> </w:t>
      </w:r>
      <w:r>
        <w:t xml:space="preserve">50–16,384 variables. Median four-thread CPU-to-Metal speedup was 2.63</w:t>
      </w:r>
      <w:r>
        <w:t xml:space="preserve"> </w:t>
      </w:r>
      <w:r>
        <w:t xml:space="preserve">(IQR 1.62–2.88) for compact-support t-SNE, 1.97 (1.08–3.04) for fuzzy UMAP,</w:t>
      </w:r>
      <w:r>
        <w:t xml:space="preserve"> </w:t>
      </w:r>
      <w:r>
        <w:t xml:space="preserve">and 3.35</w:t>
      </w:r>
      <w:r>
        <w:t xml:space="preserve"> </w:t>
      </w:r>
      <w:r>
        <w:t xml:space="preserve">(1.63–5.85) for binary UMAP. Median Metal-minus-CPU trustworthiness</w:t>
      </w:r>
      <w:r>
        <w:t xml:space="preserve"> </w:t>
      </w:r>
      <w:r>
        <w:t xml:space="preserve">differences were +0.0006, +0.0027, and +0.0010. These results establish</w:t>
      </w:r>
      <w:r>
        <w:t xml:space="preserve"> </w:t>
      </w:r>
      <w:r>
        <w:t xml:space="preserve">performance on Apple M3 only. Other Apple Silicon systems are compatibility</w:t>
      </w:r>
      <w:r>
        <w:t xml:space="preserve"> </w:t>
      </w:r>
      <w:r>
        <w:t xml:space="preserve">targets unless separately benchmarked; Intel Macs are not supported by the</w:t>
      </w:r>
      <w:r>
        <w:t xml:space="preserve"> </w:t>
      </w:r>
      <w:r>
        <w:t xml:space="preserve">native Metal backend.</w:t>
      </w:r>
    </w:p>
    <w:bookmarkEnd w:id="68"/>
    <w:bookmarkStart w:id="69" w:name="landmarking-and-held-out-transformation"/>
    <w:p>
      <w:pPr>
        <w:pStyle w:val="Heading2"/>
      </w:pPr>
      <w:r>
        <w:t xml:space="preserve">Landmarking and held-out transformation</w:t>
      </w:r>
    </w:p>
    <w:p>
      <w:pPr>
        <w:pStyle w:val="FirstParagraph"/>
      </w:pPr>
      <w:r>
        <w:t xml:space="preserve">A stratified 80/20 held-out experiment covered all 11 data sets. Median</w:t>
      </w:r>
      <w:r>
        <w:t xml:space="preserve"> </w:t>
      </w:r>
      <w:r>
        <w:t xml:space="preserve">query-to-reference Preserve@30 was 0.371–0.374 for t-SNE and</w:t>
      </w:r>
      <w:r>
        <w:t xml:space="preserve"> </w:t>
      </w:r>
      <w:r>
        <w:t xml:space="preserve">0.343–0.351 for fuzzy UMAP across CPU and CUDA; the reference did not move.</w:t>
      </w:r>
      <w:r>
        <w:t xml:space="preserve"> </w:t>
      </w:r>
      <w:r>
        <w:t xml:space="preserve">This tests new observations, not reconstruction of omitted fit rows.</w:t>
      </w:r>
      <w:r>
        <w:t xml:space="preserve"> </w:t>
      </w:r>
      <w:r>
        <w:t xml:space="preserve">In the separate 20-percent landmark experiment, median landmark/full</w:t>
      </w:r>
      <w:r>
        <w:t xml:space="preserve"> </w:t>
      </w:r>
      <w:r>
        <w:t xml:space="preserve">runtime ratios were 0.41 and 0.77 for CPU/CUDA t-SNE, and 0.34 and 1.29 for</w:t>
      </w:r>
      <w:r>
        <w:t xml:space="preserve"> </w:t>
      </w:r>
      <w:r>
        <w:t xml:space="preserve">CPU/CUDA UMAP. Median host-RSS ratios were near or above one, so</w:t>
      </w:r>
      <w:r>
        <w:t xml:space="preserve"> </w:t>
      </w:r>
      <w:r>
        <w:t xml:space="preserve">landmarking was not a universal memory saving. Detailed quality and memory</w:t>
      </w:r>
      <w:r>
        <w:t xml:space="preserve"> </w:t>
      </w:r>
      <w:r>
        <w:t xml:space="preserve">results are in Supplementary Tables S6 and S7.</w:t>
      </w:r>
    </w:p>
    <w:bookmarkEnd w:id="69"/>
    <w:bookmarkStart w:id="70" w:name="supporting-pca-and-graph-utilities"/>
    <w:p>
      <w:pPr>
        <w:pStyle w:val="Heading2"/>
      </w:pPr>
      <w:r>
        <w:t xml:space="preserve">Supporting PCA and graph utilities</w:t>
      </w:r>
    </w:p>
    <w:p>
      <w:pPr>
        <w:pStyle w:val="FirstParagraph"/>
      </w:pPr>
      <w:r>
        <w:t xml:space="preserve">On fixed subsets of 11 data sets, CPU and CUDA rank-2 PCA scores had</w:t>
      </w:r>
      <w:r>
        <w:t xml:space="preserve"> </w:t>
      </w:r>
      <w:r>
        <w:t xml:space="preserve">median aligned agreement of 0.999972 and approximately 1.000000 with</w:t>
      </w:r>
      <w:r>
        <w:t xml:space="preserve"> </w:t>
      </w:r>
      <w:r>
        <w:t xml:space="preserve">dense centered singular value decomposition. CPU ImageNet was an outlier</w:t>
      </w:r>
      <w:r>
        <w:t xml:space="preserve"> </w:t>
      </w:r>
      <w:r>
        <w:t xml:space="preserve">(0.783 score correlation). The latest campaign completed the</w:t>
      </w:r>
      <w:r>
        <w:t xml:space="preserve"> </w:t>
      </w:r>
      <w:r>
        <w:t xml:space="preserve">stored-graph clustering comparison on only two data sets, so it does not</w:t>
      </w:r>
      <w:r>
        <w:t xml:space="preserve"> </w:t>
      </w:r>
      <w:r>
        <w:t xml:space="preserve">support a broad clustering-performance claim. PCA accuracy, clustering</w:t>
      </w:r>
      <w:r>
        <w:t xml:space="preserve"> </w:t>
      </w:r>
      <w:r>
        <w:t xml:space="preserve">denominators, and graph-construction scope are documented in Supplementary</w:t>
      </w:r>
      <w:r>
        <w:t xml:space="preserve"> </w:t>
      </w:r>
      <w:r>
        <w:t xml:space="preserve">Tables S10 and S11.</w:t>
      </w:r>
    </w:p>
    <w:bookmarkEnd w:id="70"/>
    <w:bookmarkEnd w:id="71"/>
    <w:bookmarkStart w:id="72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fastEmbedR demonstrates that a single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package can expose</w:t>
      </w:r>
      <w:r>
        <w:t xml:space="preserve"> </w:t>
      </w:r>
      <w:r>
        <w:t xml:space="preserve">multicore CPU, Apple Metal, and NVIDIA CUDA implementations of fuzzy UMAP and</w:t>
      </w:r>
      <w:r>
        <w:t xml:space="preserve"> </w:t>
      </w:r>
      <w:r>
        <w:t xml:space="preserve">compact-support interpolation-based t-SNE while maintaining one typed</w:t>
      </w:r>
      <w:r>
        <w:t xml:space="preserve"> </w:t>
      </w:r>
      <w:r>
        <w:t xml:space="preserve">interface. The strongest</w:t>
      </w:r>
      <w:r>
        <w:t xml:space="preserve"> </w:t>
      </w:r>
      <w:r>
        <w:t xml:space="preserve">engineering gains come from reusing sparse structures, using float32</w:t>
      </w:r>
      <w:r>
        <w:t xml:space="preserve"> </w:t>
      </w:r>
      <w:r>
        <w:t xml:space="preserve">throughout the numerical payload, avoiding repeated</w:t>
      </w:r>
      <w:r>
        <w:t xml:space="preserve"> </w:t>
      </w:r>
      <w:r>
        <w:rPr>
          <w:rStyle w:val="VerbatimChar"/>
        </w:rPr>
        <w:t xml:space="preserve">R</w:t>
      </w:r>
      <w:r>
        <w:t xml:space="preserve">-native</w:t>
      </w:r>
      <w:r>
        <w:t xml:space="preserve"> </w:t>
      </w:r>
      <w:r>
        <w:t xml:space="preserve">copies, retaining accelerator state, pooling temporary memory, and reducing</w:t>
      </w:r>
      <w:r>
        <w:t xml:space="preserve"> </w:t>
      </w:r>
      <w:r>
        <w:t xml:space="preserve">kernel and synchronization overhead. The package does not introduce a new</w:t>
      </w:r>
      <w:r>
        <w:t xml:space="preserve"> </w:t>
      </w:r>
      <w:r>
        <w:t xml:space="preserve">UMAP or t-SNE objective; its contribution is a native, validated, and</w:t>
      </w:r>
      <w:r>
        <w:t xml:space="preserve"> </w:t>
      </w:r>
      <w:r>
        <w:t xml:space="preserve">backend-aware implementation and workflow.</w:t>
      </w:r>
    </w:p>
    <w:p>
      <w:pPr>
        <w:pStyle w:val="BodyText"/>
      </w:pPr>
      <w:r>
        <w:t xml:space="preserve">The full-data workflow campaign is insufficient for a release-level speed</w:t>
      </w:r>
      <w:r>
        <w:t xml:space="preserve"> </w:t>
      </w:r>
      <w:r>
        <w:t xml:space="preserve">claim. Its failed final audit, incomplete memory sampling, and mixed</w:t>
      </w:r>
      <w:r>
        <w:t xml:space="preserve"> </w:t>
      </w:r>
      <w:r>
        <w:t xml:space="preserve">R/Python timing boundaries preclude reliable cross-method ratios,</w:t>
      </w:r>
      <w:r>
        <w:t xml:space="preserve"> </w:t>
      </w:r>
      <w:r>
        <w:t xml:space="preserve">despite useful stage and quality observations. A workflow ratio</w:t>
      </w:r>
      <w:r>
        <w:t xml:space="preserve"> </w:t>
      </w:r>
      <w:r>
        <w:t xml:space="preserve">combines implementation, search policy, precision, initialization, and</w:t>
      </w:r>
      <w:r>
        <w:t xml:space="preserve"> </w:t>
      </w:r>
      <w:r>
        <w:t xml:space="preserve">hardware; it does not isolate optimizer speed. Complete R calls and</w:t>
      </w:r>
      <w:r>
        <w:t xml:space="preserve"> </w:t>
      </w:r>
      <w:r>
        <w:t xml:space="preserve">direct-Python fit times answer different questions and are not pooled.</w:t>
      </w:r>
    </w:p>
    <w:p>
      <w:pPr>
        <w:pStyle w:val="BodyText"/>
      </w:pPr>
      <w:r>
        <w:t xml:space="preserve">Compact support reduces affinity storage and attractive-force work while</w:t>
      </w:r>
      <w:r>
        <w:t xml:space="preserve"> </w:t>
      </w:r>
      <w:r>
        <w:t xml:space="preserve">making conditional probabilities nearly uniform within each selected row.</w:t>
      </w:r>
      <w:r>
        <w:t xml:space="preserve"> </w:t>
      </w:r>
      <w:r>
        <w:t xml:space="preserve">The t-SNE timing results therefore characterize the stated compact-support</w:t>
      </w:r>
      <w:r>
        <w:t xml:space="preserve"> </w:t>
      </w:r>
      <w:r>
        <w:t xml:space="preserve">method, not an affinity-equivalent replacement for conventional wider-support</w:t>
      </w:r>
      <w:r>
        <w:t xml:space="preserve"> </w:t>
      </w:r>
      <w:r>
        <w:t xml:space="preserve">t-SNE. Practical neighborhood quality and KL are reported with runtime for</w:t>
      </w:r>
      <w:r>
        <w:t xml:space="preserve"> </w:t>
      </w:r>
      <w:r>
        <w:t xml:space="preserve">every valid paired data set.</w:t>
      </w:r>
    </w:p>
    <w:p>
      <w:pPr>
        <w:pStyle w:val="BodyText"/>
      </w:pPr>
      <w:r>
        <w:t xml:space="preserve">The production payload uses float32, so trajectories need not reproduce a</w:t>
      </w:r>
      <w:r>
        <w:t xml:space="preserve"> </w:t>
      </w:r>
      <w:r>
        <w:t xml:space="preserve">float64 implementation exactly. Accelerator atomics prevent a fixed seed from</w:t>
      </w:r>
      <w:r>
        <w:t xml:space="preserve"> </w:t>
      </w:r>
      <w:r>
        <w:t xml:space="preserve">guaranteeing bitwise GPU reproducibility. Metal performance evidence is</w:t>
      </w:r>
      <w:r>
        <w:t xml:space="preserve"> </w:t>
      </w:r>
      <w:r>
        <w:t xml:space="preserve">currently limited to one Apple M3 system. Native GPU installation depends on</w:t>
      </w:r>
      <w:r>
        <w:t xml:space="preserve"> </w:t>
      </w:r>
      <w:r>
        <w:t xml:space="preserve">matching SDKs, compilers, drivers, linked libraries, and architecture flags.</w:t>
      </w:r>
      <w:r>
        <w:t xml:space="preserve"> </w:t>
      </w:r>
      <w:r>
        <w:t xml:space="preserve">The UMAP interface exposes scientifically central neighborhood, metric,</w:t>
      </w:r>
      <w:r>
        <w:t xml:space="preserve"> </w:t>
      </w:r>
      <w:r>
        <w:t xml:space="preserve">initialization, graph, backend, and seed controls but keeps several optimizer</w:t>
      </w:r>
      <w:r>
        <w:t xml:space="preserve"> </w:t>
      </w:r>
      <w:r>
        <w:t xml:space="preserve">parameters under a validated release policy. Landmarking can reduce CPU work</w:t>
      </w:r>
      <w:r>
        <w:t xml:space="preserve"> </w:t>
      </w:r>
      <w:r>
        <w:t xml:space="preserve">but is not guaranteed to accelerate a resident GPU pipeline or preserve local</w:t>
      </w:r>
      <w:r>
        <w:t xml:space="preserve"> </w:t>
      </w:r>
      <w:r>
        <w:t xml:space="preserve">quality on every data set. These constraints should guide method selection</w:t>
      </w:r>
      <w:r>
        <w:t xml:space="preserve"> </w:t>
      </w:r>
      <w:r>
        <w:t xml:space="preserve">and reporting.</w:t>
      </w:r>
    </w:p>
    <w:p>
      <w:pPr>
        <w:pStyle w:val="BodyText"/>
      </w:pPr>
      <w:r>
        <w:t xml:space="preserve">The file-backed routes are experimental rather than part of the headline</w:t>
      </w:r>
      <w:r>
        <w:t xml:space="preserve"> </w:t>
      </w:r>
      <w:r>
        <w:t xml:space="preserve">workflow comparison. Bounded-memory component tests have processed inputs</w:t>
      </w:r>
      <w:r>
        <w:t xml:space="preserve"> </w:t>
      </w:r>
      <w:r>
        <w:t xml:space="preserve">larger than host RAM, but a converged full-data t-SNE and UMAP comparison</w:t>
      </w:r>
      <w:r>
        <w:t xml:space="preserve"> </w:t>
      </w:r>
      <w:r>
        <w:t xml:space="preserve">on a real beyond-RAM data set is not established here. Multi-GPU row</w:t>
      </w:r>
      <w:r>
        <w:t xml:space="preserve"> </w:t>
      </w:r>
      <w:r>
        <w:t xml:space="preserve">partitioning of PCA, search, or landmark projection does not demonstrate</w:t>
      </w:r>
      <w:r>
        <w:t xml:space="preserve"> </w:t>
      </w:r>
      <w:r>
        <w:t xml:space="preserve">a multi-GPU full embedding. Disk capacity and graph-construction time</w:t>
      </w:r>
      <w:r>
        <w:t xml:space="preserve"> </w:t>
      </w:r>
      <w:r>
        <w:t xml:space="preserve">remain important limits even when the input itself can be streamed.</w:t>
      </w:r>
    </w:p>
    <w:p>
      <w:pPr>
        <w:pStyle w:val="BodyText"/>
      </w:pPr>
      <w:r>
        <w:t xml:space="preserve">Observed approximate-neighbor recall is another limitation. The lowest</w:t>
      </w:r>
      <w:r>
        <w:t xml:space="preserve"> </w:t>
      </w:r>
      <w:r>
        <w:t xml:space="preserve">CPU recall@30 was 0.9672 on full-source ImageNet, below the target 0.99.</w:t>
      </w:r>
      <w:r>
        <w:t xml:space="preserve"> </w:t>
      </w:r>
      <w:r>
        <w:t xml:space="preserve">Search recall is consequently reported beside embedding quality,</w:t>
      </w:r>
      <w:r>
        <w:t xml:space="preserve"> </w:t>
      </w:r>
      <w:r>
        <w:t xml:space="preserve">and no claim treats ImageNet CPU results as optimizer-only evidence. Strong</w:t>
      </w:r>
      <w:r>
        <w:t xml:space="preserve"> </w:t>
      </w:r>
      <w:r>
        <w:t xml:space="preserve">CPU scaling was also nonmonotonic: eight threads had higher median</w:t>
      </w:r>
      <w:r>
        <w:t xml:space="preserve"> </w:t>
      </w:r>
      <w:r>
        <w:t xml:space="preserve">total-workflow speedup than twelve across the measured data sets.</w:t>
      </w:r>
    </w:p>
    <w:p>
      <w:pPr>
        <w:pStyle w:val="BodyText"/>
      </w:pPr>
      <w:r>
        <w:t xml:space="preserve">Backend-native PCA removes a separate preprocessing boundary and can return a</w:t>
      </w:r>
      <w:r>
        <w:t xml:space="preserve"> </w:t>
      </w:r>
      <w:r>
        <w:t xml:space="preserve">t-SNE-ready initialization. Optional graph clustering reuses a graph already</w:t>
      </w:r>
      <w:r>
        <w:t xml:space="preserve"> </w:t>
      </w:r>
      <w:r>
        <w:t xml:space="preserve">constructed for an embedding workflow, but remains logically separate from</w:t>
      </w:r>
      <w:r>
        <w:t xml:space="preserve"> </w:t>
      </w:r>
      <w:r>
        <w:t xml:space="preserve">evidence for UMAP or t-SNE correctness. Walktrap is most appropriate for</w:t>
      </w:r>
      <w:r>
        <w:t xml:space="preserve"> </w:t>
      </w:r>
      <w:r>
        <w:t xml:space="preserve">smaller graphs because its agglomerative stage is CPU-only and has a denser</w:t>
      </w:r>
      <w:r>
        <w:t xml:space="preserve"> </w:t>
      </w:r>
      <w:r>
        <w:t xml:space="preserve">working set than the multilevel Louvain and Leiden paths.</w:t>
      </w:r>
    </w:p>
    <w:bookmarkEnd w:id="72"/>
    <w:bookmarkStart w:id="77" w:name="X756349ca4a7bacfeb3ad8bbff73a42af3d54091"/>
    <w:p>
      <w:pPr>
        <w:pStyle w:val="Heading1"/>
      </w:pPr>
      <w:r>
        <w:t xml:space="preserve">Reproducibility, availability, and sustainability</w:t>
      </w:r>
    </w:p>
    <w:p>
      <w:pPr>
        <w:pStyle w:val="FirstParagraph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package source</w:t>
        </w:r>
      </w:hyperlink>
      <w:r>
        <w:t xml:space="preserve"> </w:t>
      </w:r>
      <w:r>
        <w:t xml:space="preserve">is available</w:t>
      </w:r>
      <w:r>
        <w:t xml:space="preserve"> </w:t>
      </w:r>
      <w:r>
        <w:t xml:space="preserve">under the MIT license. An</w:t>
      </w:r>
      <w:r>
        <w:t xml:space="preserve"> </w:t>
      </w:r>
      <w:hyperlink r:id="rId74">
        <w:r>
          <w:rPr>
            <w:rStyle w:val="Hyperlink"/>
          </w:rPr>
          <w:t xml:space="preserve">online tutorial and function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</w:hyperlink>
      <w:r>
        <w:t xml:space="preserve"> </w:t>
      </w:r>
      <w:r>
        <w:t xml:space="preserve">documents installation, backend selection, and principal workflows.</w:t>
      </w:r>
      <w:r>
        <w:t xml:space="preserve"> </w:t>
      </w:r>
      <w:r>
        <w:t xml:space="preserve">Questions and bug reports are handled through the public</w:t>
      </w:r>
      <w:r>
        <w:t xml:space="preserve"> </w:t>
      </w:r>
      <w:hyperlink r:id="rId75">
        <w:r>
          <w:rPr>
            <w:rStyle w:val="Hyperlink"/>
          </w:rPr>
          <w:t xml:space="preserve">issue tracker</w:t>
        </w:r>
      </w:hyperlink>
      <w:r>
        <w:t xml:space="preserve">.</w:t>
      </w:r>
      <w:r>
        <w:t xml:space="preserve"> </w:t>
      </w:r>
      <w:r>
        <w:t xml:space="preserve">Benchmark code, preprocessing instructions, environment recipes, parameter</w:t>
      </w:r>
      <w:r>
        <w:t xml:space="preserve"> </w:t>
      </w:r>
      <w:r>
        <w:t xml:space="preserve">manifests, and aggregation scripts are maintained in a separate</w:t>
      </w:r>
      <w:r>
        <w:t xml:space="preserve"> </w:t>
      </w:r>
      <w:hyperlink r:id="rId76">
        <w:r>
          <w:rPr>
            <w:rStyle w:val="Hyperlink"/>
          </w:rPr>
          <w:t xml:space="preserve">benchmark repository</w:t>
        </w:r>
      </w:hyperlink>
      <w:r>
        <w:t xml:space="preserve">.</w:t>
      </w:r>
      <w:r>
        <w:t xml:space="preserve"> </w:t>
      </w:r>
      <w:r>
        <w:t xml:space="preserve">Raw benchmark data, credentials, container images, and restricted inputs are</w:t>
      </w:r>
      <w:r>
        <w:t xml:space="preserve"> </w:t>
      </w:r>
      <w:r>
        <w:t xml:space="preserve">not redistributed.</w:t>
      </w:r>
    </w:p>
    <w:p>
      <w:pPr>
        <w:pStyle w:val="BodyText"/>
      </w:pPr>
      <w:r>
        <w:t xml:space="preserve">The corrected campaign launcher records the package-source commit,</w:t>
      </w:r>
      <w:r>
        <w:t xml:space="preserve"> </w:t>
      </w:r>
      <w:r>
        <w:t xml:space="preserve">embedded source-tarball and container hashes, and benchmark-suite manifest.</w:t>
      </w:r>
      <w:r>
        <w:t xml:space="preserve"> </w:t>
      </w:r>
      <w:r>
        <w:t xml:space="preserve">It also records any container-build source patch; a Git commit alone is</w:t>
      </w:r>
      <w:r>
        <w:t xml:space="preserve"> </w:t>
      </w:r>
      <w:r>
        <w:t xml:space="preserve">insufficient to identify a patched installation. Campaign evidence includes</w:t>
      </w:r>
      <w:r>
        <w:t xml:space="preserve"> </w:t>
      </w:r>
      <w:r>
        <w:t xml:space="preserve">session information, compiler and linker</w:t>
      </w:r>
      <w:r>
        <w:t xml:space="preserve"> </w:t>
      </w:r>
      <w:r>
        <w:t xml:space="preserve">commands, hardware identity, seeds, parameters, input checksums, status for</w:t>
      </w:r>
      <w:r>
        <w:t xml:space="preserve"> </w:t>
      </w:r>
      <w:r>
        <w:t xml:space="preserve">every requested row, and repetition-level outputs. Public data are</w:t>
      </w:r>
      <w:r>
        <w:t xml:space="preserve"> </w:t>
      </w:r>
      <w:r>
        <w:t xml:space="preserve">reconstructed from their original sources with versioned scripts. Restricted</w:t>
      </w:r>
      <w:r>
        <w:t xml:space="preserve"> </w:t>
      </w:r>
      <w:r>
        <w:t xml:space="preserve">data must be obtained under the provider’s terms; missing data produce an</w:t>
      </w:r>
      <w:r>
        <w:t xml:space="preserve"> </w:t>
      </w:r>
      <w:r>
        <w:t xml:space="preserve">explicit unavailable status rather than substitution.</w:t>
      </w:r>
    </w:p>
    <w:p>
      <w:pPr>
        <w:pStyle w:val="BodyText"/>
      </w:pPr>
      <w:r>
        <w:t xml:space="preserve">The diagnostic campaign was</w:t>
      </w:r>
      <w:r>
        <w:t xml:space="preserve"> </w:t>
      </w:r>
      <w:r>
        <w:rPr>
          <w:rStyle w:val="VerbatimChar"/>
        </w:rPr>
        <w:t xml:space="preserve">20260930T203319Z</w:t>
      </w:r>
      <w:r>
        <w:t xml:space="preserve">, built from source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7f22c52b</w:t>
      </w:r>
      <w:r>
        <w:t xml:space="preserve"> </w:t>
      </w:r>
      <w:r>
        <w:t xml:space="preserve">with a recorded container-build patch. Its</w:t>
      </w:r>
      <w:r>
        <w:t xml:space="preserve"> </w:t>
      </w:r>
      <w:r>
        <w:t xml:space="preserve">complete source, archive, library, container, and</w:t>
      </w:r>
      <w:r>
        <w:t xml:space="preserve"> </w:t>
      </w:r>
      <w:r>
        <w:t xml:space="preserve">benchmark-suite SHA-256 identifiers are in Supplementary</w:t>
      </w:r>
      <w:r>
        <w:t xml:space="preserve"> </w:t>
      </w:r>
      <w:r>
        <w:t xml:space="preserve">Table S12; comparator identities and</w:t>
      </w:r>
      <w:r>
        <w:t xml:space="preserve"> </w:t>
      </w:r>
      <w:r>
        <w:t xml:space="preserve">quality-sample row identifiers are in the machine-readable campaign.</w:t>
      </w:r>
    </w:p>
    <w:p>
      <w:pPr>
        <w:pStyle w:val="BodyText"/>
      </w:pPr>
      <w:r>
        <w:t xml:space="preserve">Each campaign status inventory records its requested rows. Unsuccessful</w:t>
      </w:r>
      <w:r>
        <w:t xml:space="preserve"> </w:t>
      </w:r>
      <w:r>
        <w:t xml:space="preserve">combinations remain explicit in the machine-readable archives; no speedup</w:t>
      </w:r>
      <w:r>
        <w:t xml:space="preserve"> </w:t>
      </w:r>
      <w:r>
        <w:t xml:space="preserve">ratio is reported as a release-level result from the failed campaign.</w:t>
      </w:r>
    </w:p>
    <w:p>
      <w:pPr>
        <w:pStyle w:val="BodyText"/>
      </w:pPr>
      <w:r>
        <w:t xml:space="preserve">The package test suite covers public R behavior and portable native code.</w:t>
      </w:r>
      <w:r>
        <w:t xml:space="preserve"> </w:t>
      </w:r>
      <w:r>
        <w:t xml:space="preserve">Strict hardware jobs verify requested-versus-observed backend identity and run</w:t>
      </w:r>
      <w:r>
        <w:t xml:space="preserve"> </w:t>
      </w:r>
      <w:r>
        <w:t xml:space="preserve">PCA, neighbor search, matrix-input and precomputed-KNN UMAP and t-SNE,</w:t>
      </w:r>
      <w:r>
        <w:t xml:space="preserve"> </w:t>
      </w:r>
      <w:r>
        <w:t xml:space="preserve">held-out landmark projection, graph clustering, and numerical checks on real</w:t>
      </w:r>
      <w:r>
        <w:t xml:space="preserve"> </w:t>
      </w:r>
      <w:r>
        <w:t xml:space="preserve">Metal and CUDA hardware. CPU checks run on macOS, Linux, and Windows.</w:t>
      </w:r>
      <w:r>
        <w:t xml:space="preserve"> </w:t>
      </w:r>
      <w:r>
        <w:t xml:space="preserve">Hardware logs, source packages, binaries, and SHA-256 manifests accompany the</w:t>
      </w:r>
      <w:r>
        <w:t xml:space="preserve"> </w:t>
      </w:r>
      <w:r>
        <w:t xml:space="preserve">benchmark evidence. The replication bundle includes a small deterministic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script that completes on a standard CPU and separate instructions</w:t>
      </w:r>
      <w:r>
        <w:t xml:space="preserve"> </w:t>
      </w:r>
      <w:r>
        <w:t xml:space="preserve">for the large hardware benchmark.</w:t>
      </w:r>
    </w:p>
    <w:p>
      <w:pPr>
        <w:pStyle w:val="BodyText"/>
      </w:pPr>
      <w:r>
        <w:t xml:space="preserve">Host-side line coverage is reported separately for R and portable native</w:t>
      </w:r>
      <w:r>
        <w:t xml:space="preserve"> </w:t>
      </w:r>
      <w:r>
        <w:t xml:space="preserve">code. Metal and CUDA device kernels are not credited by host instrumentation;</w:t>
      </w:r>
      <w:r>
        <w:t xml:space="preserve"> </w:t>
      </w:r>
      <w:r>
        <w:t xml:space="preserve">their current evidence consists of strict real-device execution and numerical</w:t>
      </w:r>
      <w:r>
        <w:t xml:space="preserve"> </w:t>
      </w:r>
      <w:r>
        <w:t xml:space="preserve">tests. Device-aware Metal and CUDA kernel coverage is consequently reported as</w:t>
      </w:r>
      <w:r>
        <w:t xml:space="preserve"> </w:t>
      </w:r>
      <w:r>
        <w:t xml:space="preserve">not measured rather than inferred from host-side bridge execution.</w:t>
      </w:r>
    </w:p>
    <w:bookmarkEnd w:id="77"/>
    <w:bookmarkStart w:id="7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fastEmbedR provides native float32 UMAP and compact-support</w:t>
      </w:r>
      <w:r>
        <w:t xml:space="preserve"> </w:t>
      </w:r>
      <w:r>
        <w:t xml:space="preserve">interpolation-based t-SNE for</w:t>
      </w:r>
      <w:r>
        <w:t xml:space="preserve"> </w:t>
      </w:r>
      <w:r>
        <w:t xml:space="preserve">multicore CPU, Apple Metal, and NVIDIA CUDA execution from</w:t>
      </w:r>
      <w:r>
        <w:t xml:space="preserve"> </w:t>
      </w:r>
      <w:r>
        <w:rPr>
          <w:rStyle w:val="VerbatimChar"/>
        </w:rPr>
        <w:t xml:space="preserve">R</w:t>
      </w:r>
      <w:r>
        <w:t xml:space="preserve">. Its</w:t>
      </w:r>
      <w:r>
        <w:t xml:space="preserve"> </w:t>
      </w:r>
      <w:r>
        <w:t xml:space="preserve">matrix, reusable-neighbor, PCA, landmark, transformation, graph-construction,</w:t>
      </w:r>
      <w:r>
        <w:t xml:space="preserve"> </w:t>
      </w:r>
      <w:r>
        <w:t xml:space="preserve">and community-detection interfaces share strict backend reporting and typed</w:t>
      </w:r>
      <w:r>
        <w:t xml:space="preserve"> </w:t>
      </w:r>
      <w:r>
        <w:t xml:space="preserve">metadata. Metal performance evidence is specific to the tested Apple M3</w:t>
      </w:r>
      <w:r>
        <w:t xml:space="preserve"> </w:t>
      </w:r>
      <w:r>
        <w:t xml:space="preserve">system and is not generalized to all Apple Silicon hardware. Numerical tests</w:t>
      </w:r>
      <w:r>
        <w:t xml:space="preserve"> </w:t>
      </w:r>
      <w:r>
        <w:t xml:space="preserve">support CPU and CUDA PCA projections, graph construction, clustering,</w:t>
      </w:r>
      <w:r>
        <w:t xml:space="preserve"> </w:t>
      </w:r>
      <w:r>
        <w:t xml:space="preserve">affinities, forces, and backend-specific optimization; a separate M3 study</w:t>
      </w:r>
      <w:r>
        <w:t xml:space="preserve"> </w:t>
      </w:r>
      <w:r>
        <w:t xml:space="preserve">supports the Metal route on that system. The diagnostic campaign does not</w:t>
      </w:r>
      <w:r>
        <w:t xml:space="preserve"> </w:t>
      </w:r>
      <w:r>
        <w:t xml:space="preserve">establish release-level runtime reductions. The CPU</w:t>
      </w:r>
      <w:r>
        <w:t xml:space="preserve"> </w:t>
      </w:r>
      <w:r>
        <w:t xml:space="preserve">ImageNet PCA and HNSW-recall outliers show why data-set-level diagnostics must</w:t>
      </w:r>
      <w:r>
        <w:t xml:space="preserve"> </w:t>
      </w:r>
      <w:r>
        <w:t xml:space="preserve">accompany aggregate summaries.</w:t>
      </w:r>
    </w:p>
    <w:bookmarkEnd w:id="78"/>
    <w:bookmarkStart w:id="111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The authors thank the University of Cape Town ICTS High Performance Computing</w:t>
      </w:r>
      <w:r>
        <w:t xml:space="preserve"> </w:t>
      </w:r>
      <w:r>
        <w:t xml:space="preserve">team for providing a high-performance computing facility for this study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https://ucthpc.uct.ac.za/</w:t>
        </w:r>
      </w:hyperlink>
      <w:r>
        <w:t xml:space="preserve">).</w:t>
      </w:r>
    </w:p>
    <w:bookmarkStart w:id="110" w:name="refs"/>
    <w:bookmarkStart w:id="81" w:name="ref-irlba2026"/>
    <w:p>
      <w:pPr>
        <w:pStyle w:val="Bibliography"/>
      </w:pPr>
      <w:r>
        <w:t xml:space="preserve">Baglama, Jim, Lothar Reichel, and B. W. Lewis. 2026.</w:t>
      </w:r>
      <w:r>
        <w:t xml:space="preserve"> </w:t>
      </w:r>
      <w:r>
        <w:rPr>
          <w:i/>
          <w:iCs/>
        </w:rPr>
        <w:t xml:space="preserve">Irlba: Fast Truncated Singular Value Decomposition and Principal Components Analysis for Large Dense and Sparse Matrices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https://doi.org/10.32614/CRAN.package.irlba</w:t>
        </w:r>
      </w:hyperlink>
      <w:r>
        <w:t xml:space="preserve">.</w:t>
      </w:r>
    </w:p>
    <w:bookmarkEnd w:id="81"/>
    <w:bookmarkStart w:id="83" w:name="ref-blondel2008"/>
    <w:p>
      <w:pPr>
        <w:pStyle w:val="Bibliography"/>
      </w:pPr>
      <w:r>
        <w:t xml:space="preserve">Blondel, Vincent D., Jean-Loup Guillaume, Renaud Lambiotte, and Etienne Lefebvre. 2008.</w:t>
      </w:r>
      <w:r>
        <w:t xml:space="preserve"> </w:t>
      </w:r>
      <w:r>
        <w:t xml:space="preserve">“Fast Unfolding of Communities in Large Networks.”</w:t>
      </w:r>
      <w:r>
        <w:t xml:space="preserve"> </w:t>
      </w:r>
      <w:r>
        <w:rPr>
          <w:i/>
          <w:iCs/>
        </w:rPr>
        <w:t xml:space="preserve">Journal of Statistical Mechanics: Theory and Experiment</w:t>
      </w:r>
      <w:r>
        <w:t xml:space="preserve"> </w:t>
      </w:r>
      <w:r>
        <w:t xml:space="preserve">2008 (10): P10008.</w:t>
      </w:r>
      <w:r>
        <w:t xml:space="preserve"> </w:t>
      </w:r>
      <w:hyperlink r:id="rId82">
        <w:r>
          <w:rPr>
            <w:rStyle w:val="Hyperlink"/>
          </w:rPr>
          <w:t xml:space="preserve">https://doi.org/10.1088/1742-5468/2008/10/P10008</w:t>
        </w:r>
      </w:hyperlink>
      <w:r>
        <w:t xml:space="preserve">.</w:t>
      </w:r>
    </w:p>
    <w:bookmarkEnd w:id="83"/>
    <w:bookmarkStart w:id="85" w:name="ref-chan2018"/>
    <w:p>
      <w:pPr>
        <w:pStyle w:val="Bibliography"/>
      </w:pPr>
      <w:r>
        <w:t xml:space="preserve">Chan, David M., Roshan Rao, Forrest Huang, and John F. Canny. 2018.</w:t>
      </w:r>
      <w:r>
        <w:t xml:space="preserve"> </w:t>
      </w:r>
      <w:r>
        <w:t xml:space="preserve">“T-</w:t>
      </w:r>
      <w:r>
        <w:t xml:space="preserve">SNE</w:t>
      </w:r>
      <w:r>
        <w:t xml:space="preserve">-</w:t>
      </w:r>
      <w:r>
        <w:t xml:space="preserve">CUDA</w:t>
      </w:r>
      <w:r>
        <w:t xml:space="preserve">:</w:t>
      </w:r>
      <w:r>
        <w:t xml:space="preserve"> </w:t>
      </w:r>
      <w:r>
        <w:t xml:space="preserve">GPU</w:t>
      </w:r>
      <w:r>
        <w:t xml:space="preserve">-Accelerated t-</w:t>
      </w:r>
      <w:r>
        <w:t xml:space="preserve">SNE</w:t>
      </w:r>
      <w:r>
        <w:t xml:space="preserve"> </w:t>
      </w:r>
      <w:r>
        <w:t xml:space="preserve">and Its Applications to Modern Data.”</w:t>
      </w:r>
      <w:r>
        <w:t xml:space="preserve"> </w:t>
      </w:r>
      <w:r>
        <w:rPr>
          <w:i/>
          <w:iCs/>
        </w:rPr>
        <w:t xml:space="preserve">arXiv Preprint arXiv:1807.11824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https://doi.org/10.48550/arXiv.1807.11824</w:t>
        </w:r>
      </w:hyperlink>
      <w:r>
        <w:t xml:space="preserve">.</w:t>
      </w:r>
    </w:p>
    <w:bookmarkEnd w:id="85"/>
    <w:bookmarkStart w:id="87" w:name="ref-halko2011"/>
    <w:p>
      <w:pPr>
        <w:pStyle w:val="Bibliography"/>
      </w:pPr>
      <w:r>
        <w:t xml:space="preserve">Halko, Nathan, Per-Gunnar Martinsson, and Joel A. Tropp. 2011.</w:t>
      </w:r>
      <w:r>
        <w:t xml:space="preserve"> </w:t>
      </w:r>
      <w:r>
        <w:t xml:space="preserve">“Finding Structure with Randomness: Probabilistic Algorithms for Constructing Approximate Matrix Decompositions.”</w:t>
      </w:r>
      <w:r>
        <w:t xml:space="preserve"> </w:t>
      </w:r>
      <w:r>
        <w:rPr>
          <w:i/>
          <w:iCs/>
        </w:rPr>
        <w:t xml:space="preserve">SIAM Review</w:t>
      </w:r>
      <w:r>
        <w:t xml:space="preserve"> </w:t>
      </w:r>
      <w:r>
        <w:t xml:space="preserve">53 (2): 217–88.</w:t>
      </w:r>
      <w:r>
        <w:t xml:space="preserve"> </w:t>
      </w:r>
      <w:hyperlink r:id="rId86">
        <w:r>
          <w:rPr>
            <w:rStyle w:val="Hyperlink"/>
          </w:rPr>
          <w:t xml:space="preserve">https://doi.org/10.1137/090771806</w:t>
        </w:r>
      </w:hyperlink>
      <w:r>
        <w:t xml:space="preserve">.</w:t>
      </w:r>
    </w:p>
    <w:bookmarkEnd w:id="87"/>
    <w:bookmarkStart w:id="89" w:name="ref-kobak2019"/>
    <w:p>
      <w:pPr>
        <w:pStyle w:val="Bibliography"/>
      </w:pPr>
      <w:r>
        <w:t xml:space="preserve">Kobak, Dmitry, and Philipp Berens. 2019.</w:t>
      </w:r>
      <w:r>
        <w:t xml:space="preserve"> </w:t>
      </w:r>
      <w:r>
        <w:t xml:space="preserve">“The Art of Using t-</w:t>
      </w:r>
      <w:r>
        <w:t xml:space="preserve">SNE</w:t>
      </w:r>
      <w:r>
        <w:t xml:space="preserve"> </w:t>
      </w:r>
      <w:r>
        <w:t xml:space="preserve">for Single-Cell Transcriptomics.”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10: 5416.</w:t>
      </w:r>
      <w:r>
        <w:t xml:space="preserve"> </w:t>
      </w:r>
      <w:hyperlink r:id="rId88">
        <w:r>
          <w:rPr>
            <w:rStyle w:val="Hyperlink"/>
          </w:rPr>
          <w:t xml:space="preserve">https://doi.org/10.1038/s41467-019-13056-x</w:t>
        </w:r>
      </w:hyperlink>
      <w:r>
        <w:t xml:space="preserve">.</w:t>
      </w:r>
    </w:p>
    <w:bookmarkEnd w:id="89"/>
    <w:bookmarkStart w:id="91" w:name="ref-linderman2019"/>
    <w:p>
      <w:pPr>
        <w:pStyle w:val="Bibliography"/>
      </w:pPr>
      <w:r>
        <w:t xml:space="preserve">Linderman, George C., Manas Rachh, Jeremy G. Hoskins, Stefan Steinerberger, and Yuval Kluger. 2019.</w:t>
      </w:r>
      <w:r>
        <w:t xml:space="preserve"> </w:t>
      </w:r>
      <w:r>
        <w:t xml:space="preserve">“Fast Interpolation-Based t-</w:t>
      </w:r>
      <w:r>
        <w:t xml:space="preserve">SNE</w:t>
      </w:r>
      <w:r>
        <w:t xml:space="preserve"> </w:t>
      </w:r>
      <w:r>
        <w:t xml:space="preserve">for Improved Visualization of Single-Cell</w:t>
      </w:r>
      <w:r>
        <w:t xml:space="preserve"> </w:t>
      </w:r>
      <w:r>
        <w:t xml:space="preserve">RNA</w:t>
      </w:r>
      <w:r>
        <w:t xml:space="preserve">-Seq Data.”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16: 243–45.</w:t>
      </w:r>
      <w:r>
        <w:t xml:space="preserve"> </w:t>
      </w:r>
      <w:hyperlink r:id="rId90">
        <w:r>
          <w:rPr>
            <w:rStyle w:val="Hyperlink"/>
          </w:rPr>
          <w:t xml:space="preserve">https://doi.org/10.1038/s41592-018-0308-4</w:t>
        </w:r>
      </w:hyperlink>
      <w:r>
        <w:t xml:space="preserve">.</w:t>
      </w:r>
    </w:p>
    <w:bookmarkEnd w:id="91"/>
    <w:bookmarkStart w:id="93" w:name="ref-vandermaaten2014"/>
    <w:p>
      <w:pPr>
        <w:pStyle w:val="Bibliography"/>
      </w:pPr>
      <w:r>
        <w:t xml:space="preserve">Maaten, Laurens van der. 2014.</w:t>
      </w:r>
      <w:r>
        <w:t xml:space="preserve"> </w:t>
      </w:r>
      <w:r>
        <w:t xml:space="preserve">“Accelerating t-</w:t>
      </w:r>
      <w:r>
        <w:t xml:space="preserve">SNE</w:t>
      </w:r>
      <w:r>
        <w:t xml:space="preserve"> </w:t>
      </w:r>
      <w:r>
        <w:t xml:space="preserve">Using Tree-Based Algorithms.”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15: 3221–45.</w:t>
      </w:r>
      <w:r>
        <w:t xml:space="preserve"> </w:t>
      </w:r>
      <w:hyperlink r:id="rId92">
        <w:r>
          <w:rPr>
            <w:rStyle w:val="Hyperlink"/>
          </w:rPr>
          <w:t xml:space="preserve">https://www.jmlr.org/papers/v15/vandermaaten14a.html</w:t>
        </w:r>
      </w:hyperlink>
      <w:r>
        <w:t xml:space="preserve">.</w:t>
      </w:r>
    </w:p>
    <w:bookmarkEnd w:id="93"/>
    <w:bookmarkStart w:id="95" w:name="ref-vandermaaten2008"/>
    <w:p>
      <w:pPr>
        <w:pStyle w:val="Bibliography"/>
      </w:pPr>
      <w:r>
        <w:t xml:space="preserve">Maaten, Laurens van der, and Geoffrey Hinton. 2008.</w:t>
      </w:r>
      <w:r>
        <w:t xml:space="preserve"> </w:t>
      </w:r>
      <w:r>
        <w:t xml:space="preserve">“Visualizing Data Using t-</w:t>
      </w:r>
      <w:r>
        <w:t xml:space="preserve">SNE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9: 2579–2605.</w:t>
      </w:r>
      <w:r>
        <w:t xml:space="preserve"> </w:t>
      </w:r>
      <w:hyperlink r:id="rId94">
        <w:r>
          <w:rPr>
            <w:rStyle w:val="Hyperlink"/>
          </w:rPr>
          <w:t xml:space="preserve">https://www.jmlr.org/papers/v9/vandermaaten08a.html</w:t>
        </w:r>
      </w:hyperlink>
      <w:r>
        <w:t xml:space="preserve">.</w:t>
      </w:r>
    </w:p>
    <w:bookmarkEnd w:id="95"/>
    <w:bookmarkStart w:id="97" w:name="ref-mcinnes2018"/>
    <w:p>
      <w:pPr>
        <w:pStyle w:val="Bibliography"/>
      </w:pPr>
      <w:r>
        <w:t xml:space="preserve">McInnes, Leland, John Healy, and James Melville. 2018.</w:t>
      </w:r>
      <w:r>
        <w:t xml:space="preserve"> </w:t>
      </w:r>
      <w:r>
        <w:t xml:space="preserve">“</w:t>
      </w:r>
      <w:r>
        <w:t xml:space="preserve">UMAP</w:t>
      </w:r>
      <w:r>
        <w:t xml:space="preserve">: Uniform Manifold Approximation and Projection for Dimension Reduction.”</w:t>
      </w:r>
      <w:r>
        <w:t xml:space="preserve"> </w:t>
      </w:r>
      <w:r>
        <w:rPr>
          <w:i/>
          <w:iCs/>
        </w:rPr>
        <w:t xml:space="preserve">arXiv Preprint arXiv:1802.03426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https://doi.org/10.48550/arXiv.1802.03426</w:t>
        </w:r>
      </w:hyperlink>
      <w:r>
        <w:t xml:space="preserve">.</w:t>
      </w:r>
    </w:p>
    <w:bookmarkEnd w:id="97"/>
    <w:bookmarkStart w:id="99" w:name="ref-nolet2020"/>
    <w:p>
      <w:pPr>
        <w:pStyle w:val="Bibliography"/>
      </w:pPr>
      <w:r>
        <w:t xml:space="preserve">Nolet, Corey J., Victor Lafargue, Edward Raff, Thejaswi Nanditale, Tim Oates, John Zedlewski, and Joshua Patterson. 2020.</w:t>
      </w:r>
      <w:r>
        <w:t xml:space="preserve"> </w:t>
      </w:r>
      <w:r>
        <w:t xml:space="preserve">“Bringing</w:t>
      </w:r>
      <w:r>
        <w:t xml:space="preserve"> </w:t>
      </w:r>
      <w:r>
        <w:t xml:space="preserve">UMAP</w:t>
      </w:r>
      <w:r>
        <w:t xml:space="preserve"> </w:t>
      </w:r>
      <w:r>
        <w:t xml:space="preserve">Closer to the Speed of Light with</w:t>
      </w:r>
      <w:r>
        <w:t xml:space="preserve"> </w:t>
      </w:r>
      <w:r>
        <w:t xml:space="preserve">GPU</w:t>
      </w:r>
      <w:r>
        <w:t xml:space="preserve"> </w:t>
      </w:r>
      <w:r>
        <w:t xml:space="preserve">Acceleration.”</w:t>
      </w:r>
      <w:r>
        <w:t xml:space="preserve"> </w:t>
      </w:r>
      <w:r>
        <w:rPr>
          <w:i/>
          <w:iCs/>
        </w:rPr>
        <w:t xml:space="preserve">arXiv Preprint arXiv:2008.00325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https://doi.org/10.48550/arXiv.2008.00325</w:t>
        </w:r>
      </w:hyperlink>
      <w:r>
        <w:t xml:space="preserve">.</w:t>
      </w:r>
    </w:p>
    <w:bookmarkEnd w:id="99"/>
    <w:bookmarkStart w:id="101" w:name="ref-policar2021"/>
    <w:p>
      <w:pPr>
        <w:pStyle w:val="Bibliography"/>
      </w:pPr>
      <w:r>
        <w:t xml:space="preserve">Poličar, Pavlin G., Martin Stražar, and Blaž Zupan. 2021.</w:t>
      </w:r>
      <w:r>
        <w:t xml:space="preserve"> </w:t>
      </w:r>
      <w:r>
        <w:t xml:space="preserve">“Embedding to Reference t-</w:t>
      </w:r>
      <w:r>
        <w:t xml:space="preserve">SNE</w:t>
      </w:r>
      <w:r>
        <w:t xml:space="preserve"> </w:t>
      </w:r>
      <w:r>
        <w:t xml:space="preserve">Space Addresses Batch Effects in Single-Cell Classification.”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110: 1211–31.</w:t>
      </w:r>
      <w:r>
        <w:t xml:space="preserve"> </w:t>
      </w:r>
      <w:hyperlink r:id="rId100">
        <w:r>
          <w:rPr>
            <w:rStyle w:val="Hyperlink"/>
          </w:rPr>
          <w:t xml:space="preserve">https://doi.org/10.1007/s10994-021-06043-1</w:t>
        </w:r>
      </w:hyperlink>
      <w:r>
        <w:t xml:space="preserve">.</w:t>
      </w:r>
    </w:p>
    <w:bookmarkEnd w:id="101"/>
    <w:bookmarkStart w:id="103" w:name="ref-pons2006"/>
    <w:p>
      <w:pPr>
        <w:pStyle w:val="Bibliography"/>
      </w:pPr>
      <w:r>
        <w:t xml:space="preserve">Pons, Pascal, and Matthieu Latapy. 2006.</w:t>
      </w:r>
      <w:r>
        <w:t xml:space="preserve"> </w:t>
      </w:r>
      <w:r>
        <w:t xml:space="preserve">“Computing Communities in Large Networks Using Random Walks.”</w:t>
      </w:r>
      <w:r>
        <w:t xml:space="preserve"> </w:t>
      </w:r>
      <w:r>
        <w:rPr>
          <w:i/>
          <w:iCs/>
        </w:rPr>
        <w:t xml:space="preserve">Journal of Graph Algorithms and Applications</w:t>
      </w:r>
      <w:r>
        <w:t xml:space="preserve"> </w:t>
      </w:r>
      <w:r>
        <w:t xml:space="preserve">10 (2): 191–218.</w:t>
      </w:r>
      <w:r>
        <w:t xml:space="preserve"> </w:t>
      </w:r>
      <w:hyperlink r:id="rId102">
        <w:r>
          <w:rPr>
            <w:rStyle w:val="Hyperlink"/>
          </w:rPr>
          <w:t xml:space="preserve">https://doi.org/10.7155/jgaa.00124</w:t>
        </w:r>
      </w:hyperlink>
      <w:r>
        <w:t xml:space="preserve">.</w:t>
      </w:r>
    </w:p>
    <w:bookmarkEnd w:id="103"/>
    <w:bookmarkStart w:id="105" w:name="ref-rousseeuw1987"/>
    <w:p>
      <w:pPr>
        <w:pStyle w:val="Bibliography"/>
      </w:pPr>
      <w:r>
        <w:t xml:space="preserve">Rousseeuw, Peter J. 1987.</w:t>
      </w:r>
      <w:r>
        <w:t xml:space="preserve"> </w:t>
      </w:r>
      <w:r>
        <w:t xml:space="preserve">“Silhouettes: A Graphical Aid to the Interpretation and Validation of Cluster Analysis.”</w:t>
      </w:r>
      <w:r>
        <w:t xml:space="preserve"> </w:t>
      </w:r>
      <w:r>
        <w:rPr>
          <w:i/>
          <w:iCs/>
        </w:rPr>
        <w:t xml:space="preserve">Journal of Computational and Applied Mathematics</w:t>
      </w:r>
      <w:r>
        <w:t xml:space="preserve"> </w:t>
      </w:r>
      <w:r>
        <w:t xml:space="preserve">20: 53–65.</w:t>
      </w:r>
      <w:r>
        <w:t xml:space="preserve"> </w:t>
      </w:r>
      <w:hyperlink r:id="rId104">
        <w:r>
          <w:rPr>
            <w:rStyle w:val="Hyperlink"/>
          </w:rPr>
          <w:t xml:space="preserve">https://doi.org/10.1016/0377-0427(87)90125-7</w:t>
        </w:r>
      </w:hyperlink>
      <w:r>
        <w:t xml:space="preserve">.</w:t>
      </w:r>
    </w:p>
    <w:bookmarkEnd w:id="105"/>
    <w:bookmarkStart w:id="107" w:name="ref-traag2019"/>
    <w:p>
      <w:pPr>
        <w:pStyle w:val="Bibliography"/>
      </w:pPr>
      <w:r>
        <w:t xml:space="preserve">Traag, Vincent A., Ludo Waltman, and Nees Jan van Eck. 2019.</w:t>
      </w:r>
      <w:r>
        <w:t xml:space="preserve"> </w:t>
      </w:r>
      <w:r>
        <w:t xml:space="preserve">“From Louvain to Leiden: Guaranteeing Well-Connected Communities.”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9: 5233.</w:t>
      </w:r>
      <w:r>
        <w:t xml:space="preserve"> </w:t>
      </w:r>
      <w:hyperlink r:id="rId106">
        <w:r>
          <w:rPr>
            <w:rStyle w:val="Hyperlink"/>
          </w:rPr>
          <w:t xml:space="preserve">https://doi.org/10.1038/s41598-019-41695-z</w:t>
        </w:r>
      </w:hyperlink>
      <w:r>
        <w:t xml:space="preserve">.</w:t>
      </w:r>
    </w:p>
    <w:bookmarkEnd w:id="107"/>
    <w:bookmarkStart w:id="109" w:name="ref-venna2001"/>
    <w:p>
      <w:pPr>
        <w:pStyle w:val="Bibliography"/>
      </w:pPr>
      <w:r>
        <w:t xml:space="preserve">Venna, Jarkko, and Samuel Kaski. 2001.</w:t>
      </w:r>
      <w:r>
        <w:t xml:space="preserve"> </w:t>
      </w:r>
      <w:r>
        <w:t xml:space="preserve">“Neighborhood Preservation in Nonlinear Projection Methods: An Experimental Study.”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Artificial Neural Networks – ICANN 2001</w:t>
      </w:r>
      <w:r>
        <w:t xml:space="preserve">, 485–91.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https://doi.org/10.1007/3-540-44668-0_68</w:t>
        </w:r>
      </w:hyperlink>
      <w:r>
        <w:t xml:space="preserve">.</w:t>
      </w:r>
    </w:p>
    <w:bookmarkEnd w:id="109"/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3" Type="http://schemas.openxmlformats.org/officeDocument/2006/relationships/image" Target="media/rId53.png"/><Relationship Id="rId57" Type="http://schemas.openxmlformats.org/officeDocument/2006/relationships/image" Target="media/rId57.png"/><Relationship Id="rId61" Type="http://schemas.openxmlformats.org/officeDocument/2006/relationships/image" Target="media/rId61.png"/><Relationship Id="rId108" Type="http://schemas.openxmlformats.org/officeDocument/2006/relationships/hyperlink" Target="https://doi.org/10.1007/3-540-44668-0_68" TargetMode="External"/><Relationship Id="rId100" Type="http://schemas.openxmlformats.org/officeDocument/2006/relationships/hyperlink" Target="https://doi.org/10.1007/s10994-021-06043-1" TargetMode="External"/><Relationship Id="rId104" Type="http://schemas.openxmlformats.org/officeDocument/2006/relationships/hyperlink" Target="https://doi.org/10.1016/0377-0427(87)90125-7" TargetMode="External"/><Relationship Id="rId88" Type="http://schemas.openxmlformats.org/officeDocument/2006/relationships/hyperlink" Target="https://doi.org/10.1038/s41467-019-13056-x" TargetMode="External"/><Relationship Id="rId90" Type="http://schemas.openxmlformats.org/officeDocument/2006/relationships/hyperlink" Target="https://doi.org/10.1038/s41592-018-0308-4" TargetMode="External"/><Relationship Id="rId106" Type="http://schemas.openxmlformats.org/officeDocument/2006/relationships/hyperlink" Target="https://doi.org/10.1038/s41598-019-41695-z" TargetMode="External"/><Relationship Id="rId82" Type="http://schemas.openxmlformats.org/officeDocument/2006/relationships/hyperlink" Target="https://doi.org/10.1088/1742-5468/2008/10/P10008" TargetMode="External"/><Relationship Id="rId86" Type="http://schemas.openxmlformats.org/officeDocument/2006/relationships/hyperlink" Target="https://doi.org/10.1137/090771806" TargetMode="External"/><Relationship Id="rId80" Type="http://schemas.openxmlformats.org/officeDocument/2006/relationships/hyperlink" Target="https://doi.org/10.32614/CRAN.package.irlba" TargetMode="External"/><Relationship Id="rId96" Type="http://schemas.openxmlformats.org/officeDocument/2006/relationships/hyperlink" Target="https://doi.org/10.48550/arXiv.1802.03426" TargetMode="External"/><Relationship Id="rId84" Type="http://schemas.openxmlformats.org/officeDocument/2006/relationships/hyperlink" Target="https://doi.org/10.48550/arXiv.1807.11824" TargetMode="External"/><Relationship Id="rId98" Type="http://schemas.openxmlformats.org/officeDocument/2006/relationships/hyperlink" Target="https://doi.org/10.48550/arXiv.2008.00325" TargetMode="External"/><Relationship Id="rId102" Type="http://schemas.openxmlformats.org/officeDocument/2006/relationships/hyperlink" Target="https://doi.org/10.7155/jgaa.00124" TargetMode="External"/><Relationship Id="rId73" Type="http://schemas.openxmlformats.org/officeDocument/2006/relationships/hyperlink" Target="https://github.com/tkcaccia/fastEmbedR" TargetMode="External"/><Relationship Id="rId76" Type="http://schemas.openxmlformats.org/officeDocument/2006/relationships/hyperlink" Target="https://github.com/tkcaccia/fastEmbedR-extra" TargetMode="External"/><Relationship Id="rId75" Type="http://schemas.openxmlformats.org/officeDocument/2006/relationships/hyperlink" Target="https://github.com/tkcaccia/fastEmbedR/issues" TargetMode="External"/><Relationship Id="rId74" Type="http://schemas.openxmlformats.org/officeDocument/2006/relationships/hyperlink" Target="https://tkcaccia.github.io/fastEmbedR/" TargetMode="External"/><Relationship Id="rId79" Type="http://schemas.openxmlformats.org/officeDocument/2006/relationships/hyperlink" Target="https://ucthpc.uct.ac.za/" TargetMode="External"/><Relationship Id="rId92" Type="http://schemas.openxmlformats.org/officeDocument/2006/relationships/hyperlink" Target="https://www.jmlr.org/papers/v15/vandermaaten14a.html" TargetMode="External"/><Relationship Id="rId94" Type="http://schemas.openxmlformats.org/officeDocument/2006/relationships/hyperlink" Target="https://www.jmlr.org/papers/v9/vandermaaten08a.html" TargetMode="External"/></Relationships>
</file>

<file path=word/_rels/footnotes.xml.rels><?xml version='1.0' encoding='UTF-8' standalone='yes'?>
<Relationships xmlns="http://schemas.openxmlformats.org/package/2006/relationships"><Relationship Id="rId108" Type="http://schemas.openxmlformats.org/officeDocument/2006/relationships/hyperlink" Target="https://doi.org/10.1007/3-540-44668-0_68" TargetMode="External"/><Relationship Id="rId100" Type="http://schemas.openxmlformats.org/officeDocument/2006/relationships/hyperlink" Target="https://doi.org/10.1007/s10994-021-06043-1" TargetMode="External"/><Relationship Id="rId104" Type="http://schemas.openxmlformats.org/officeDocument/2006/relationships/hyperlink" Target="https://doi.org/10.1016/0377-0427(87)90125-7" TargetMode="External"/><Relationship Id="rId88" Type="http://schemas.openxmlformats.org/officeDocument/2006/relationships/hyperlink" Target="https://doi.org/10.1038/s41467-019-13056-x" TargetMode="External"/><Relationship Id="rId90" Type="http://schemas.openxmlformats.org/officeDocument/2006/relationships/hyperlink" Target="https://doi.org/10.1038/s41592-018-0308-4" TargetMode="External"/><Relationship Id="rId106" Type="http://schemas.openxmlformats.org/officeDocument/2006/relationships/hyperlink" Target="https://doi.org/10.1038/s41598-019-41695-z" TargetMode="External"/><Relationship Id="rId82" Type="http://schemas.openxmlformats.org/officeDocument/2006/relationships/hyperlink" Target="https://doi.org/10.1088/1742-5468/2008/10/P10008" TargetMode="External"/><Relationship Id="rId86" Type="http://schemas.openxmlformats.org/officeDocument/2006/relationships/hyperlink" Target="https://doi.org/10.1137/090771806" TargetMode="External"/><Relationship Id="rId80" Type="http://schemas.openxmlformats.org/officeDocument/2006/relationships/hyperlink" Target="https://doi.org/10.32614/CRAN.package.irlba" TargetMode="External"/><Relationship Id="rId96" Type="http://schemas.openxmlformats.org/officeDocument/2006/relationships/hyperlink" Target="https://doi.org/10.48550/arXiv.1802.03426" TargetMode="External"/><Relationship Id="rId84" Type="http://schemas.openxmlformats.org/officeDocument/2006/relationships/hyperlink" Target="https://doi.org/10.48550/arXiv.1807.11824" TargetMode="External"/><Relationship Id="rId98" Type="http://schemas.openxmlformats.org/officeDocument/2006/relationships/hyperlink" Target="https://doi.org/10.48550/arXiv.2008.00325" TargetMode="External"/><Relationship Id="rId102" Type="http://schemas.openxmlformats.org/officeDocument/2006/relationships/hyperlink" Target="https://doi.org/10.7155/jgaa.00124" TargetMode="External"/><Relationship Id="rId73" Type="http://schemas.openxmlformats.org/officeDocument/2006/relationships/hyperlink" Target="https://github.com/tkcaccia/fastEmbedR" TargetMode="External"/><Relationship Id="rId76" Type="http://schemas.openxmlformats.org/officeDocument/2006/relationships/hyperlink" Target="https://github.com/tkcaccia/fastEmbedR-extra" TargetMode="External"/><Relationship Id="rId75" Type="http://schemas.openxmlformats.org/officeDocument/2006/relationships/hyperlink" Target="https://github.com/tkcaccia/fastEmbedR/issues" TargetMode="External"/><Relationship Id="rId74" Type="http://schemas.openxmlformats.org/officeDocument/2006/relationships/hyperlink" Target="https://tkcaccia.github.io/fastEmbedR/" TargetMode="External"/><Relationship Id="rId79" Type="http://schemas.openxmlformats.org/officeDocument/2006/relationships/hyperlink" Target="https://ucthpc.uct.ac.za/" TargetMode="External"/><Relationship Id="rId92" Type="http://schemas.openxmlformats.org/officeDocument/2006/relationships/hyperlink" Target="https://www.jmlr.org/papers/v15/vandermaaten14a.html" TargetMode="External"/><Relationship Id="rId94" Type="http://schemas.openxmlformats.org/officeDocument/2006/relationships/hyperlink" Target="https://www.jmlr.org/papers/v9/vandermaaten08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fastEmbedR: Multicore and GPU UMAP and Compact-Support t-SNE in R</dc:title>
  <dc:creator>Moussa Kassim Mohamed^{1,2,*} Martin Ocharo^{1,2,*} Giulia Canarutto^{3,4} Dalia Ahmed^1 Dupe Ojo^1 Alessia Vignoli^{5,6} Leonardo Tenori^{5,6,\dagger} Dinesh Gupta^{7} Silvano Piazza^{3,8} Stefano Cacciatore^{1,2,\dagger}</dc:creator>
  <cp:keywords/>
  <dcterms:created xsi:type="dcterms:W3CDTF">2026-10-06T17:50:51Z</dcterms:created>
  <dcterms:modified xsi:type="dcterms:W3CDTF">2026-10-06T17:50:51Z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/private/tmp/fastembedr-extra-manuscript/manuscript/jss/fastEmbedR_JSS.bib</vt:lpwstr>
  </property>
</Properties>
</file>