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Benchmark Results for fastEmbedR</w:t>
      </w:r>
    </w:p>
    <w:p>
      <w:pPr>
        <w:pStyle w:val="Author"/>
      </w:pPr>
      <w:r>
        <w:t xml:space="preserve">Moussa Kassim Mohamed</w:t>
      </w:r>
      <w:r>
        <w:rPr>
          <w:vertAlign w:val="superscript"/>
        </w:rPr>
        <w:t>1,2,*</w:t>
      </w:r>
      <w:r>
        <w:t xml:space="preserve"> </w:t>
      </w:r>
      <w:r>
        <w:t xml:space="preserve">Martin Ocharo</w:t>
      </w:r>
      <w:r>
        <w:rPr>
          <w:vertAlign w:val="superscript"/>
        </w:rPr>
        <w:t>1,2,*</w:t>
      </w:r>
      <w:r>
        <w:br/>
      </w:r>
      <w:r>
        <w:t xml:space="preserve">Giulia Canarutto</w:t>
      </w:r>
      <w:r>
        <w:rPr>
          <w:vertAlign w:val="superscript"/>
        </w:rPr>
        <w:t>3,4</w:t>
      </w:r>
      <w:r>
        <w:t xml:space="preserve"> </w:t>
      </w:r>
      <w:r>
        <w:t xml:space="preserve">Dalia Ahmed</w:t>
      </w:r>
      <w:r>
        <w:rPr>
          <w:vertAlign w:val="superscript"/>
        </w:rPr>
        <w:t>1</w:t>
      </w:r>
      <w:r>
        <w:t xml:space="preserve"> </w:t>
      </w:r>
      <w:r>
        <w:t xml:space="preserve">Dupe Ojo</w:t>
      </w:r>
      <w:r>
        <w:rPr>
          <w:vertAlign w:val="superscript"/>
        </w:rPr>
        <w:t>1</w:t>
      </w:r>
      <w:r>
        <w:br/>
      </w:r>
      <w:r>
        <w:t xml:space="preserve">Alessia Vignoli</w:t>
      </w:r>
      <w:r>
        <w:rPr>
          <w:vertAlign w:val="superscript"/>
        </w:rPr>
        <w:t>5,6</w:t>
      </w:r>
      <w:r>
        <w:t xml:space="preserve"> </w:t>
      </w:r>
      <w:r>
        <w:t xml:space="preserve">Leonardo Tenori</w:t>
      </w:r>
      <w:r>
        <w:rPr>
          <w:vertAlign w:val="superscript"/>
        </w:rPr>
        <w:t>5,6,†</w:t>
      </w:r>
      <w:r>
        <w:br/>
      </w:r>
      <w:r>
        <w:t xml:space="preserve">Dinesh Gupta</w:t>
      </w:r>
      <w:r>
        <w:rPr>
          <w:vertAlign w:val="superscript"/>
        </w:rPr>
        <w:t>7</w:t>
      </w:r>
      <w:r>
        <w:t xml:space="preserve"> </w:t>
      </w:r>
      <w:r>
        <w:t xml:space="preserve">Silvano Piazza</w:t>
      </w:r>
      <w:r>
        <w:rPr>
          <w:vertAlign w:val="superscript"/>
        </w:rPr>
        <w:t>3,8</w:t>
      </w:r>
      <w:r>
        <w:br/>
      </w:r>
      <w:r>
        <w:t xml:space="preserve">Stefano Cacciatore</w:t>
      </w:r>
      <w:r>
        <w:rPr>
          <w:vertAlign w:val="superscript"/>
        </w:rPr>
        <w:t>1,2,†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supplement records the completed observations and explicit failures</w:t>
      </w:r>
      <w:r>
        <w:t xml:space="preserve"> </w:t>
      </w:r>
      <w:r>
        <w:t xml:space="preserve">of diagnostic campaign 20260930T203319Z: workflow timing and memory,</w:t>
      </w:r>
      <w:r>
        <w:t xml:space="preserve"> </w:t>
      </w:r>
      <w:r>
        <w:t xml:space="preserve">embedding quality, neighbor recall, support width, CPU scaling, held-out</w:t>
      </w:r>
      <w:r>
        <w:t xml:space="preserve"> </w:t>
      </w:r>
      <w:r>
        <w:t xml:space="preserve">transformation, landmarking, PCA, and graph clustering. A separate</w:t>
      </w:r>
      <w:r>
        <w:t xml:space="preserve"> </w:t>
      </w:r>
      <w:r>
        <w:t xml:space="preserve">September 29 campaign supplies the illustrative embedding gallery.</w:t>
      </w:r>
      <w:r>
        <w:t xml:space="preserve"> </w:t>
      </w:r>
      <w:r>
        <w:t xml:space="preserve">Neither campaign passed its final audit; results are not release-level</w:t>
      </w:r>
      <w:r>
        <w:t xml:space="preserve"> </w:t>
      </w:r>
      <w:r>
        <w:t xml:space="preserve">speed claims.</w:t>
      </w:r>
    </w:p>
    <w:bookmarkEnd w:id="20"/>
    <w:bookmarkStart w:id="21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dimensionality reduction, t-SNE, UMAP, reproducible benchmarks</w:t>
      </w:r>
    </w:p>
    <w:bookmarkEnd w:id="21"/>
    <w:bookmarkStart w:id="22" w:name="workflow-elapsed-times"/>
    <w:p>
      <w:pPr>
        <w:pStyle w:val="Heading1"/>
      </w:pPr>
      <w:r>
        <w:t xml:space="preserve">Workflow elapsed times</w:t>
      </w:r>
    </w:p>
    <w:p>
      <w:pPr>
        <w:pStyle w:val="FirstParagraph"/>
      </w:pPr>
      <w:r>
        <w:t>Table S1 combines the R and direct-Python results for PCA, t-SNE, and UMAP without treating their timing boundaries as equivalent. It gives every observed completed time, marks single-fit measurements, and identifies failed or missing combinations. The source campaign used full data-set matrices and failed its final audit; the times are descriptive diagnostics, not publication-grade speed ratios. “R call” is the complete public fit; “Py fit” is the direct Python estimator fit, excluding process startup. An asterisk marks a completed single fit without timing repetitions. T denotes a time limit, M a confirmed memory limit, F another failure, K an unclassified kill, U unsupported, C cancelled, I a completed fit without usable time, and – not run or no status.</w:t>
      </w:r>
    </w:p>
    <w:p>
      <w:pPr>
        <w:pageBreakBefore/>
      </w:pPr>
      <w:r>
        <w:t>Table S1. Observed elapsed times (seconds), campaign 20260930T203319Z. R and Python timing scopes differ.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92"/>
        <w:gridCol w:w="864"/>
        <w:gridCol w:w="864"/>
        <w:gridCol w:w="864"/>
        <w:gridCol w:w="864"/>
        <w:gridCol w:w="864"/>
        <w:gridCol w:w="864"/>
      </w:tblGrid>
      <w:tr>
        <w:trPr>
          <w:cantSplit/>
          <w:tblHeader w:val="true"/>
        </w:trPr>
        <w:tc>
          <w:tcPr>
            <w:tcW w:type="dxa" w:w="864"/>
            <w:gridSpan w:val="8"/>
          </w:tcPr>
          <w:p>
            <w:r>
              <w:rPr>
                <w:sz w:val="15"/>
              </w:rPr>
              <w:t>PCA, data sets 1/2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Method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COIL-20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USPS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Fashion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FlowRepo.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flow18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MNIST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2.89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0.26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7.64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19.9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0.63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7.52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irlba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0.89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0.099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1.78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455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0.75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1.77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0.020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0.006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0.039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1.56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0.042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0.043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scikit-learn PCA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0.45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0.050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0.96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19.0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1.10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1.03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cuML PCA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6.05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0.027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0.33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2.68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0.070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0.34</w:t>
            </w:r>
          </w:p>
        </w:tc>
      </w:tr>
      <w:tr>
        <w:trPr>
          <w:cantSplit/>
        </w:trPr>
        <w:tc>
          <w:tcPr>
            <w:tcW w:type="dxa" w:w="864"/>
            <w:gridSpan w:val="8"/>
          </w:tcPr>
          <w:p>
            <w:r>
              <w:rPr>
                <w:sz w:val="15"/>
              </w:rPr>
              <w:t>PCA, data sets 2/2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Method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ImageNet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MetRef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mass41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Tabula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Retina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230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0.035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0.72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0.81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0.38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irlba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0.026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38.7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0.61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0.46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0.89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0.054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0.017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0.010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scikit-learn PCA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16.0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0.006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0.68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0.31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0.086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cuML PCA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19.7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0.10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0.044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0.021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864"/>
            <w:gridSpan w:val="8"/>
          </w:tcPr>
          <w:p>
            <w:r>
              <w:rPr>
                <w:sz w:val="15"/>
              </w:rPr>
              <w:t>TSNE, data sets 1/2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Method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COIL-20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USPS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Fashion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FlowRepo.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flow18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MNIST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Rtsne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12.0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15.4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426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1726*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825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FIt-SNE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15.0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6.64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84.1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3702*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736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109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18.8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11.9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125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3354*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129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0.86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0.22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1.39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6.07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1.40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scikit-learn t-SNE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5.19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66.8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711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774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openTSNE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40.9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108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242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1098*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241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cuML t-SNE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5.94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0.41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2.42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51.4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2.39</w:t>
            </w:r>
          </w:p>
        </w:tc>
      </w:tr>
      <w:tr>
        <w:trPr>
          <w:cantSplit/>
        </w:trPr>
        <w:tc>
          <w:tcPr>
            <w:tcW w:type="dxa" w:w="864"/>
            <w:gridSpan w:val="8"/>
          </w:tcPr>
          <w:p>
            <w:r>
              <w:rPr>
                <w:sz w:val="15"/>
              </w:rPr>
              <w:t>TSNE, data sets 2/2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Method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ImageNet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MetRef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mass41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Tabula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Retina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Rtsne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0.86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2746*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157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70.1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FIt-SNE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2541*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3.81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390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59.1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1672*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9.80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86.5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27.7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0.16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6.29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3.24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0.42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scikit-learn t-SNE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1.54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648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226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openTSNE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1484*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11.8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584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125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97.0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cuML t-SNE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183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0.19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48.7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2.63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1.27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864"/>
            <w:gridSpan w:val="8"/>
          </w:tcPr>
          <w:p>
            <w:r>
              <w:rPr>
                <w:sz w:val="15"/>
              </w:rPr>
              <w:t>UMAP, data sets 1/2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Method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COIL-20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USPS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Fashion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FlowRepo.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flow18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MNIST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umap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181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145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2704*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2223*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uwot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14.6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7.12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62.8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6016*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1302*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65.9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uwot fast SGD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13.7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4.56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51.4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3958*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729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52.6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fuzzy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6.77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3.29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79.7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2987*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319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86.2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binary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6.99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7.60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127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5212*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762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113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fuzzy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0.77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0.12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1.14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1.03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binary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0.80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0.12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1.09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1.69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1.10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umap-learn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11.6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8.36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85.5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1636*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52.1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cuML UMAP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0.18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0.14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0.87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9.11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0.87</w:t>
            </w:r>
          </w:p>
        </w:tc>
      </w:tr>
      <w:tr>
        <w:trPr>
          <w:cantSplit/>
        </w:trPr>
        <w:tc>
          <w:tcPr>
            <w:tcW w:type="dxa" w:w="864"/>
            <w:gridSpan w:val="8"/>
          </w:tcPr>
          <w:p>
            <w:r>
              <w:rPr>
                <w:sz w:val="15"/>
              </w:rPr>
              <w:t>UMAP, data sets 2/2</w:t>
            </w:r>
          </w:p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Method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ImageNet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MetRef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mass41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Tabula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Retina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umap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4.13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1806*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469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uwot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2643*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1.36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590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106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25.5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uwot fast SGD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1710*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0.80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485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61.9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13.5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fuzzy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1559*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0.22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307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26.5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17.6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binary [CPU]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2320*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0.44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756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75.8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34.3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fuzzy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506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0.086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1.51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0.35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0.14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fastEmbedR binary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R call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497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0.088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2.10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0.44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0.19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umap-learn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5654*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1.48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885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64.3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28.1</w:t>
            </w:r>
          </w:p>
        </w:tc>
        <w:tc>
          <w:tcPr>
            <w:tcW w:type="dxa" w:w="864"/>
          </w:tcPr>
          <w:p/>
        </w:tc>
      </w:tr>
      <w:tr>
        <w:trPr>
          <w:cantSplit/>
        </w:trPr>
        <w:tc>
          <w:tcPr>
            <w:tcW w:type="dxa" w:w="2736"/>
          </w:tcPr>
          <w:p>
            <w:r>
              <w:rPr>
                <w:sz w:val="15"/>
              </w:rPr>
              <w:t>cuML UMAP [CUDA]</w:t>
            </w:r>
          </w:p>
        </w:tc>
        <w:tc>
          <w:tcPr>
            <w:tcW w:type="dxa" w:w="792"/>
          </w:tcPr>
          <w:p>
            <w:r>
              <w:rPr>
                <w:sz w:val="15"/>
              </w:rPr>
              <w:t>Py fit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307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0.18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6.51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0.72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0.30</w:t>
            </w:r>
          </w:p>
        </w:tc>
        <w:tc>
          <w:tcPr>
            <w:tcW w:type="dxa" w:w="864"/>
          </w:tcPr>
          <w:p/>
        </w:tc>
      </w:tr>
    </w:tbl>
    <w:bookmarkEnd w:id="22"/>
    <w:bookmarkStart w:id="23" w:name="comparator-grid-and-timing-boundaries"/>
    <w:p>
      <w:pPr>
        <w:pStyle w:val="Heading1"/>
      </w:pPr>
      <w:r>
        <w:t xml:space="preserve">Comparator grid and timing boundaries</w:t>
      </w:r>
    </w:p>
    <w:p>
      <w:pPr>
        <w:pStyle w:val="FirstParagraph"/>
      </w:pPr>
      <w:r>
        <w:t xml:space="preserve">In the revised two-dimensional t-SNE protocol,</w:t>
      </w:r>
      <w:r>
        <w:t xml:space="preserve"> </w:t>
      </w:r>
      <w:r>
        <w:rPr>
          <w:rStyle w:val="VerbatimChar"/>
        </w:rPr>
        <w:t xml:space="preserve">fastEmbedR</w:t>
      </w:r>
      <w:r>
        <w:t xml:space="preserve"> </w:t>
      </w:r>
      <w:r>
        <w:t xml:space="preserve">reports its</w:t>
      </w:r>
      <w:r>
        <w:t xml:space="preserve"> </w:t>
      </w:r>
      <w:r>
        <w:t xml:space="preserve">selected grid in each fit. The pinned FIt-SNE wrapper exposes interpolation</w:t>
      </w:r>
      <w:r>
        <w:t xml:space="preserve"> </w:t>
      </w:r>
      <w:r>
        <w:t xml:space="preserve">points, minimum intervals, and intervals per coordinate unit. The benchmark</w:t>
      </w:r>
      <w:r>
        <w:t xml:space="preserve"> </w:t>
      </w:r>
      <w:r>
        <w:t xml:space="preserve">requests three interpolation points and minimum interval counts of 43 below</w:t>
      </w:r>
      <w:r>
        <w:t xml:space="preserve"> </w:t>
      </w:r>
      <w:r>
        <w:t xml:space="preserve">40,000 rows and 86 otherwise. FIt-SNE rounds these to supported box counts</w:t>
      </w:r>
      <w:r>
        <w:t xml:space="preserve"> </w:t>
      </w:r>
      <w:r>
        <w:t xml:space="preserve">of at least 50 and 90, respectively, corresponding to at least 150 and 270</w:t>
      </w:r>
      <w:r>
        <w:t xml:space="preserve"> </w:t>
      </w:r>
      <w:r>
        <w:t xml:space="preserve">interpolation nodes per axis. The realized grid can be larger if the current</w:t>
      </w:r>
      <w:r>
        <w:t xml:space="preserve"> </w:t>
      </w:r>
      <w:r>
        <w:t xml:space="preserve">coordinate span requires it; the wrapper does not return that size. These</w:t>
      </w:r>
      <w:r>
        <w:t xml:space="preserve"> </w:t>
      </w:r>
      <w:r>
        <w:t xml:space="preserve">settings approximate rather than exactly match the</w:t>
      </w:r>
      <w:r>
        <w:t xml:space="preserve"> </w:t>
      </w:r>
      <w:r>
        <w:rPr>
          <w:rStyle w:val="VerbatimChar"/>
        </w:rPr>
        <w:t xml:space="preserve">fastEmbedR</w:t>
      </w:r>
      <w:r>
        <w:t xml:space="preserve"> </w:t>
      </w:r>
      <w:r>
        <w:t xml:space="preserve">CPU</w:t>
      </w:r>
      <w:r>
        <w:t xml:space="preserve"> </w:t>
      </w:r>
      <w:r>
        <w:t xml:space="preserve">128- and 256-cell policies. FIt-SNE three-dimensional Barnes–Hut runs do</w:t>
      </w:r>
      <w:r>
        <w:t xml:space="preserve"> </w:t>
      </w:r>
      <w:r>
        <w:t xml:space="preserve">not use the interpolation grid.</w:t>
      </w:r>
    </w:p>
    <w:p>
      <w:pPr>
        <w:pStyle w:val="BodyText"/>
      </w:pPr>
      <w:r>
        <w:t xml:space="preserve">The tested cuML 26.6.0 implementation fixes three interpolation points and</w:t>
      </w:r>
      <w:r>
        <w:t xml:space="preserve"> </w:t>
      </w:r>
      <w:r>
        <w:t xml:space="preserve">50 intervals per axis in its two-dimensional FFT source, yielding a</w:t>
      </w:r>
      <w:r>
        <w:t xml:space="preserve"> </w:t>
      </w:r>
      <w:r>
        <w:t xml:space="preserve">300-cell padded transform axis. Its public Python t-SNE constructor does not</w:t>
      </w:r>
      <w:r>
        <w:t xml:space="preserve"> </w:t>
      </w:r>
      <w:r>
        <w:t xml:space="preserve">expose a grid-resolution parameter, so a matched-grid cuML comparison would</w:t>
      </w:r>
      <w:r>
        <w:t xml:space="preserve"> </w:t>
      </w:r>
      <w:r>
        <w:t xml:space="preserve">require modifying and rebuilding cuML. The benchmark records this fixed</w:t>
      </w:r>
      <w:r>
        <w:t xml:space="preserve"> </w:t>
      </w:r>
      <w:r>
        <w:t xml:space="preserve">source policy, but does not mislabel the runs as grid matched. UMAP methods</w:t>
      </w:r>
      <w:r>
        <w:t xml:space="preserve"> </w:t>
      </w:r>
      <w:r>
        <w:t xml:space="preserve">do not use this t-SNE FFT grid.</w:t>
      </w:r>
    </w:p>
    <w:p>
      <w:pPr>
        <w:pStyle w:val="BodyText"/>
      </w:pPr>
      <w:r>
        <w:t xml:space="preserve">The September 30 workflow campaign has five same-seed timing repetitions</w:t>
      </w:r>
      <w:r>
        <w:t xml:space="preserve"> </w:t>
      </w:r>
      <w:r>
        <w:t xml:space="preserve">after warm-up for timing-eligible methods; jobs reaching the long-run</w:t>
      </w:r>
      <w:r>
        <w:t xml:space="preserve"> </w:t>
      </w:r>
      <w:r>
        <w:t xml:space="preserve">budget may have one completed fit. All input matrices were fitted in full.</w:t>
      </w:r>
      <w:r>
        <w:t xml:space="preserve"> </w:t>
      </w:r>
      <w:r>
        <w:t xml:space="preserve">The 7,200-second per-method limit and failed campaign audit are reflected</w:t>
      </w:r>
      <w:r>
        <w:t xml:space="preserve"> </w:t>
      </w:r>
      <w:r>
        <w:t xml:space="preserve">in Table </w:t>
      </w:r>
      <w:hyperlink w:anchor="tab:all-method-performance">
        <w:r>
          <w:rPr>
            <w:rStyle w:val="Hyperlink"/>
          </w:rPr>
          <w:t xml:space="preserve">[tab:all-method-performance]</w:t>
        </w:r>
      </w:hyperlink>
      <w:r>
        <w:t xml:space="preserve">. The embedding gallery below</w:t>
      </w:r>
      <w:r>
        <w:t xml:space="preserve"> </w:t>
      </w:r>
      <w:r>
        <w:t xml:space="preserve">comes from a separate, capped September 29 campaign and must not be</w:t>
      </w:r>
      <w:r>
        <w:t xml:space="preserve"> </w:t>
      </w:r>
      <w:r>
        <w:t xml:space="preserve">read as visual evidence for the September 30 timings.</w:t>
      </w:r>
    </w:p>
    <w:bookmarkEnd w:id="23"/>
    <w:bookmarkStart w:id="26" w:name="data-set-level-cuda-embedding-quality"/>
    <w:p>
      <w:pPr>
        <w:pStyle w:val="Heading1"/>
      </w:pPr>
      <w:r>
        <w:t xml:space="preserve">Data-set-level CUDA embedding quality</w:t>
      </w:r>
    </w:p>
    <w:p>
      <w:pPr>
        <w:pStyle w:val="FirstParagraph"/>
      </w:pPr>
      <w:r>
        <w:t xml:space="preserve">Table </w:t>
      </w:r>
      <w:hyperlink w:anchor="tab:diagnostic-cuda-qualit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trustworthiness,</w:t>
      </w:r>
      <w:r>
        <w:t xml:space="preserve"> </w:t>
      </w:r>
      <w:r>
        <w:t xml:space="preserve">Preserve@30, and sampled t-SNE KL for every CUDA fastEmbedR and cuML</w:t>
      </w:r>
      <w:r>
        <w:t xml:space="preserve"> </w:t>
      </w:r>
      <w:r>
        <w:t xml:space="preserve">pair. The methods use the same fitted row count and evaluation sample</w:t>
      </w:r>
      <w:r>
        <w:t xml:space="preserve"> </w:t>
      </w:r>
      <w:r>
        <w:t xml:space="preserve">within a data set, but differ in affinity support and timing boundary.</w:t>
      </w:r>
      <w:r>
        <w:t xml:space="preserve"> </w:t>
      </w:r>
      <w:r>
        <w:t xml:space="preserve">KL values across those objectives are not directly comparable.</w:t>
      </w:r>
    </w:p>
    <w:p>
      <w:pPr>
        <w:pStyle w:val="BodyText"/>
      </w:pPr>
      <w:r>
        <w:rPr>
          <w:b/>
          <w:bCs/>
        </w:rPr>
        <w:t xml:space="preserve">A. Compact-support t-SNE / cuML t-SNE</w:t>
      </w:r>
    </w:p>
    <w:bookmarkStart w:id="24" w:name="tab:diagnostic-cuda-quality"/>
    <w:p>
      <w:pPr>
        <w:pStyle w:val="TableCaption"/>
      </w:pPr>
      <w:r>
        <w:t xml:space="preserve">CUDA embedding quality in diagnostic campaign 20260930T203319Z. Entries are fastEmbedR / cuML on fixed sampled rows;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fitted matrix size. Status is fastEmbedR / cuML; – marks unavailable metrics. Different affinity supports make sampled t-SNE KL descriptive, not a matched-objective test.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UDA embedding quality in diagnostic campaign 20260930T203319Z. Entries are fastEmbedR / cuML on fixed sampled rows; n is the fitted matrix size. Status is fastEmbedR / cuML; – marks unavailable metrics. Different affinity supports make sampled t-SNE KL descriptive, not a matched-objective tes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Fitted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Trustworthiness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Preserve@30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Sampled 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COIL-20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 / 0.934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 / 0.623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1.480 / 1.317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 / 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 / 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 / 2.006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Fashion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 / 0.966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 / 0.491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1.877 / 1.744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FlowRepo.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5,220,347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 / 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 / 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 / 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/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 / 0.951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 / 0.422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2.049 / 1.857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 / 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 / 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2.316 / 2.164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1,281,167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 / 0.635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 / 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3.510 / 3.310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 / 0.797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 / 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1.846 / 2.153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 / 0.949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 / 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2.128 / 1.960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 / 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 / 0.592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1.736 / 1.596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 / 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 / 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1.970 / 1.916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</w:tbl>
    <w:bookmarkEnd w:id="24"/>
    <w:p>
      <w:pPr>
        <w:pStyle w:val="BodyText"/>
      </w:pPr>
      <w:r>
        <w:rPr>
          <w:b/>
          <w:bCs/>
        </w:rPr>
        <w:t xml:space="preserve">B. Fuzzy UMAP / cuML UMAP</w:t>
      </w:r>
    </w:p>
    <w:bookmarkStart w:id="25" w:name="tab:diagnostic-cuda-quality"/>
    <w:p>
      <w:pPr>
        <w:pStyle w:val="TableCaption"/>
      </w:pPr>
      <w:r>
        <w:t xml:space="preserve">CUDA embedding quality in diagnostic campaign 20260930T203319Z. Entries are fastEmbedR / cuML on fixed sampled rows;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fitted matrix size. Status is fastEmbedR / cuML; – marks unavailable metrics. Different affinity supports make sampled t-SNE KL descriptive, not a matched-objective test.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UDA embedding quality in diagnostic campaign 20260930T203319Z. Entries are fastEmbedR / cuML on fixed sampled rows; n is the fitted matrix size. Status is fastEmbedR / cuML; – marks unavailable metrics. Different affinity supports make sampled t-SNE KL descriptive, not a matched-objective tes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Fitted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Trustworthiness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Preserve@30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COIL-20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 / 0.920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 / 0.620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 / 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 / 0.363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Fashion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 / 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 / 0.463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FlowRepo.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5,220,347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 / 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 / 0.443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 / 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 / 0.432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 / 0.935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 / 0.444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1,281,167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 / 0.647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 / 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 / 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 / 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 / 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 / 0.407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 / 0.970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 / 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 / 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 / 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success</w:t>
            </w:r>
          </w:p>
        </w:tc>
      </w:tr>
    </w:tbl>
    <w:bookmarkEnd w:id="25"/>
    <w:bookmarkEnd w:id="26"/>
    <w:bookmarkStart w:id="29" w:name="backend-quality-and-t-sne-support"/>
    <w:p>
      <w:pPr>
        <w:pStyle w:val="Heading1"/>
      </w:pPr>
      <w:r>
        <w:t xml:space="preserve">Backend quality and t-SNE support</w:t>
      </w:r>
    </w:p>
    <w:p>
      <w:pPr>
        <w:pStyle w:val="FirstParagraph"/>
      </w:pPr>
      <w:r>
        <w:t xml:space="preserve">Table </w:t>
      </w:r>
      <w:hyperlink w:anchor="tab:native-qualit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full-workflow quality for every</w:t>
      </w:r>
      <w:r>
        <w:t xml:space="preserve"> </w:t>
      </w:r>
      <w:r>
        <w:t xml:space="preserve">completed CPU and CUDA data-set pair. The CPU FlowRepository full-workflow</w:t>
      </w:r>
      <w:r>
        <w:t xml:space="preserve"> </w:t>
      </w:r>
      <w:r>
        <w:t xml:space="preserve">quality run was incomplete; matched-neighbor quality from a different</w:t>
      </w:r>
      <w:r>
        <w:t xml:space="preserve"> </w:t>
      </w:r>
      <w:r>
        <w:t xml:space="preserve">boundary is not substituted. Trustworthiness and Preserve@30 use fixed</w:t>
      </w:r>
      <w:r>
        <w:t xml:space="preserve"> </w:t>
      </w:r>
      <w:r>
        <w:t xml:space="preserve">quality-sample rows. The low ImageNet values reflect this feature matrix’s</w:t>
      </w:r>
      <w:r>
        <w:t xml:space="preserve"> </w:t>
      </w:r>
      <w:r>
        <w:t xml:space="preserve">limited two-dimensional neighborhood preservation; ImageNet is used</w:t>
      </w:r>
      <w:r>
        <w:t xml:space="preserve"> </w:t>
      </w:r>
      <w:r>
        <w:t xml:space="preserve">primarily as a scalability stress test. Final KL was not retained for the</w:t>
      </w:r>
      <w:r>
        <w:t xml:space="preserve"> </w:t>
      </w:r>
      <w:r>
        <w:t xml:space="preserve">CUDA full-workflow diagnostic and is shown as missing, not zero.</w:t>
      </w:r>
    </w:p>
    <w:bookmarkStart w:id="27" w:name="tab:native-quality"/>
    <w:p>
      <w:pPr>
        <w:pStyle w:val="TableCaption"/>
      </w:pPr>
      <w:r>
        <w:t xml:space="preserve">File-to-layout quality from campaign 20260930T203319Z. Each entry is CPU / CUDA, over successful full-workflow seeds. A missing CPU FlowRepository result is shown as –. KL is the production t-SNE objective; UMAP has no KL entry. The campaign audit failed.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le-to-layout quality from campaign 20260930T203319Z. Each entry is CPU / CUDA, over successful full-workflow seeds. A missing CPU FlowRepository result is shown as –. KL is the production t-SNE objective; UMAP has no KL entry. The campaign audit faile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Trustworthiness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Preserve@30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Final KL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Compact-support t-SNE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COIL-20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0.938 / 0.940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0.630 / 0.627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0.794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Fashion-MNIST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0.972 / 0.973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0.483 / 0.484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2.697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0.960 / 0.966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0.438 / 0.444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2.887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0.646 / 0.658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0.155 / 0.158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2.287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0.906 / 0.912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0.424 / 0.431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2.941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0.963 / 0.968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0.401 / 0.408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2.905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0.848 / 0.847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0.444 / 0.442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1.850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0.939 / 0.941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0.436 / 0.437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2.903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 Muris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0.949 / 0.960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0.619 / 0.634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2.183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0.949 / 0.951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0.467 / 0.467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2.167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FlowRepository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0.964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0.440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Fuzzy UMAP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COIL-20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 / 0.908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0.612 / 0.612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Fashion-MNIST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 / 0.961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0.480 / 0.465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0.960 / 0.961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0.443 / 0.436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0.582 / 0.589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0.105 / 0.107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0.905 / 0.902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0.416 / 0.408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 / 0.968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0.413 / 0.408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0.826 / 0.835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0.411 / 0.420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0.940 / 0.938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0.456 / 0.451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 Muris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0.934 / 0.922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0.613 / 0.599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0.889 / 0.882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0.358 / 0.354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FlowRepository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0.961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0.442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 / –</w:t>
            </w:r>
          </w:p>
        </w:tc>
      </w:tr>
    </w:tbl>
    <w:bookmarkEnd w:id="27"/>
    <w:p>
      <w:pPr>
        <w:pStyle w:val="BodyText"/>
      </w:pP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affinity support makes the target perplexity the maximum possible</w:t>
      </w:r>
      <w:r>
        <w:t xml:space="preserve"> </w:t>
      </w:r>
      <w:r>
        <w:t xml:space="preserve">entropy of each conditional distribution.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30</m:t>
        </m:r>
      </m:oMath>
      <w:r>
        <w:t xml:space="preserve">, normalized conditional</w:t>
      </w:r>
      <w:r>
        <w:t xml:space="preserve"> </w:t>
      </w:r>
      <w:r>
        <w:t xml:space="preserve">entropy was approximately 1.000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and 0.761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t>P</m:t>
        </m:r>
      </m:oMath>
      <w:r>
        <w:t xml:space="preserve"> </w:t>
      </w:r>
      <w:r>
        <w:t xml:space="preserve">in an</w:t>
      </w:r>
      <w:r>
        <w:t xml:space="preserve"> </w:t>
      </w:r>
      <w:r>
        <w:t xml:space="preserve">exact-neighbor affinity diagnostic. Table </w:t>
      </w:r>
      <w:hyperlink w:anchor="tab:support-width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paired time and quality summaries 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t xml:space="preserve">, 20, and 30. KL values across</w:t>
      </w:r>
      <w:r>
        <w:t xml:space="preserve"> </w:t>
      </w:r>
      <w:r>
        <w:t xml:space="preserve">support widths are objectives with different affinities, not comparable</w:t>
      </w:r>
      <w:r>
        <w:t xml:space="preserve"> </w:t>
      </w:r>
      <w:r>
        <w:t xml:space="preserve">optimization losses for one common objective.</w:t>
      </w:r>
    </w:p>
    <w:bookmarkStart w:id="28" w:name="tab:support-width"/>
    <w:p>
      <w:pPr>
        <w:pStyle w:val="TableCaption"/>
      </w:pPr>
      <w:r>
        <w:t xml:space="preserve">Support-width sensitivity in campaign 20260930T203319Z. Each median uses the same data sets with valid timing and quality at both support widths. Times cover precomputed-neighbor t-SNE calls with 250 exaggerated and 500 normal iterations, not matrix workflows. KL values describe different affinity objectives and are not matched-objective ratios.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ort-width sensitivity in campaign 20260930T203319Z. Each median uses the same data sets with valid timing and quality at both support widths. Times cover precomputed-neighbor t-SNE calls with 250 exaggerated and 500 normal iterations, not matrix workflows. KL values describe different affinity objectives and are not matched-objective ratios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Data 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Preserve@30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1.727</w:t>
            </w:r>
          </w:p>
        </w:tc>
      </w:tr>
    </w:tbl>
    <w:bookmarkEnd w:id="28"/>
    <w:bookmarkEnd w:id="29"/>
    <w:bookmarkStart w:id="33" w:name="scaling-transformation-and-landmarks"/>
    <w:p>
      <w:pPr>
        <w:pStyle w:val="Heading1"/>
      </w:pPr>
      <w:r>
        <w:t xml:space="preserve">Scaling, transformation, and landmarks</w:t>
      </w:r>
    </w:p>
    <w:p>
      <w:pPr>
        <w:pStyle w:val="FirstParagraph"/>
      </w:pPr>
      <w:r>
        <w:t xml:space="preserve">The strong-scaling experiment used identical inputs at 1, 2, 4, 8, and</w:t>
      </w:r>
      <w:r>
        <w:t xml:space="preserve"> </w:t>
      </w:r>
      <w:r>
        <w:t xml:space="preserve">12 CPU threads on COIL20, MNIST, flow18, and ImageNet. Times are complete</w:t>
      </w:r>
      <w:r>
        <w:t xml:space="preserve"> </w:t>
      </w:r>
      <w:r>
        <w:t xml:space="preserve">workflows; stage-level values, including search, initialization, graph or</w:t>
      </w:r>
      <w:r>
        <w:t xml:space="preserve"> </w:t>
      </w:r>
      <w:r>
        <w:t xml:space="preserve">affinity construction, and optimization, remain in the machine-readable</w:t>
      </w:r>
      <w:r>
        <w:t xml:space="preserve"> </w:t>
      </w:r>
      <w:r>
        <w:t xml:space="preserve">campaign. The ratios in Table </w:t>
      </w:r>
      <w:hyperlink w:anchor="tab:cpu-scaling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are relative to each</w:t>
      </w:r>
      <w:r>
        <w:t xml:space="preserve"> </w:t>
      </w:r>
      <w:r>
        <w:t xml:space="preserve">data set’s one-thread result.</w:t>
      </w:r>
    </w:p>
    <w:bookmarkStart w:id="30" w:name="tab:cpu-scaling"/>
    <w:p>
      <w:pPr>
        <w:pStyle w:val="TableCaption"/>
      </w:pPr>
      <w:r>
        <w:t xml:space="preserve">CPU full-workflow strong scaling in campaign</w:t>
      </w:r>
      <w:r>
        <w:t xml:space="preserve"> </w:t>
      </w:r>
      <w:r>
        <w:t xml:space="preserve">20260930T203319Z. Speedups at 2–12 threads are relative to the</w:t>
      </w:r>
      <w:r>
        <w:t xml:space="preserve"> </w:t>
      </w:r>
      <w:r>
        <w:t xml:space="preserve">one-thread elapsed time in the same row.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PU full-workflow strong scaling in campaign 20260930T203319Z. Speedups at 2–12 threads are relative to the one-thread elapsed time in the same row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1-core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8-core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4135.6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</w:tr>
    </w:tbl>
    <w:bookmarkEnd w:id="30"/>
    <w:p>
      <w:pPr>
        <w:pStyle w:val="BodyText"/>
      </w:pPr>
      <w:r>
        <w:t xml:space="preserve">Held-out transformation fits a reference on training rows and projects</w:t>
      </w:r>
      <w:r>
        <w:t xml:space="preserve"> </w:t>
      </w:r>
      <w:r>
        <w:t xml:space="preserve">genuinely unseen queries without moving the reference. Table</w:t>
      </w:r>
      <w:r>
        <w:t xml:space="preserve"> </w:t>
      </w:r>
      <w:hyperlink w:anchor="tab:transform-resul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contrasts query-to-reference Preserve@30 with</w:t>
      </w:r>
      <w:r>
        <w:t xml:space="preserve"> </w:t>
      </w:r>
      <w:r>
        <w:t xml:space="preserve">joint embedding of those queries. Times are transform calls, not complete</w:t>
      </w:r>
      <w:r>
        <w:t xml:space="preserve"> </w:t>
      </w:r>
      <w:r>
        <w:t xml:space="preserve">fit-plus-transform workflows.</w:t>
      </w:r>
    </w:p>
    <w:bookmarkStart w:id="31" w:name="tab:transform-results"/>
    <w:p>
      <w:pPr>
        <w:pStyle w:val="TableCaption"/>
      </w:pPr>
      <w:r>
        <w:t xml:space="preserve">Held-out transformation in campaign 20260930T203319Z. Each value is the median of data-set medians over successful seeds. Query/reference Preserve@30 is compared with joint embedding of the same queries; the reference is held fixed during transformation.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ld-out transformation in campaign 20260930T203319Z. Each value is the median of data-set medians over successful seeds. Query/reference Preserve@30 is compared with joint embedding of the same queries; the reference is held fixed during transformation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 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Transform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Preserve@30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Label KNN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Ref.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31"/>
    <w:p>
      <w:pPr>
        <w:pStyle w:val="BodyText"/>
      </w:pPr>
      <w:r>
        <w:t xml:space="preserve">The 20-percent landmark experiment instead reconstructs rows omitted from</w:t>
      </w:r>
      <w:r>
        <w:t xml:space="preserve"> </w:t>
      </w:r>
      <w:r>
        <w:t xml:space="preserve">the fitted subset. It is a different statistical task from held-out</w:t>
      </w:r>
      <w:r>
        <w:t xml:space="preserve"> </w:t>
      </w:r>
      <w:r>
        <w:t xml:space="preserve">prediction. In Table </w:t>
      </w:r>
      <w:hyperlink w:anchor="tab:landmark-results">
        <w:r>
          <w:rPr>
            <w:rStyle w:val="Hyperlink"/>
          </w:rPr>
          <w:t xml:space="preserve">7</w:t>
        </w:r>
      </w:hyperlink>
      <w:r>
        <w:t xml:space="preserve">, elapsed and host-RSS ratios</w:t>
      </w:r>
      <w:r>
        <w:t xml:space="preserve"> </w:t>
      </w:r>
      <w:r>
        <w:t xml:space="preserve">are landmark/full; ratios below one favor landmarking. The GPU peak ratio</w:t>
      </w:r>
      <w:r>
        <w:t xml:space="preserve"> </w:t>
      </w:r>
      <w:r>
        <w:t xml:space="preserve">is unavailable where device sampling was inadequate. In particular, the</w:t>
      </w:r>
      <w:r>
        <w:t xml:space="preserve"> </w:t>
      </w:r>
      <w:r>
        <w:t xml:space="preserve">CUDA UMAP median runtime and host-RSS ratios exceed one. Procrustes</w:t>
      </w:r>
      <w:r>
        <w:t xml:space="preserve"> </w:t>
      </w:r>
      <w:r>
        <w:t xml:space="preserve">agreement is especially modest for fuzzy UMAP.</w:t>
      </w:r>
    </w:p>
    <w:bookmarkStart w:id="32" w:name="tab:landmark-results"/>
    <w:p>
      <w:pPr>
        <w:pStyle w:val="TableCaption"/>
      </w:pPr>
      <w:r>
        <w:t xml:space="preserve">Landmark reconstruction over 11 data sets in campaign</w:t>
      </w:r>
      <w:r>
        <w:t xml:space="preserve"> </w:t>
      </w:r>
      <w:r>
        <w:t xml:space="preserve">20260930T203319Z. Each row is the median of data-set medians for a</w:t>
      </w:r>
      <w:r>
        <w:t xml:space="preserve"> </w:t>
      </w:r>
      <w:r>
        <w:t xml:space="preserve">20-percent landmark fraction. RSS covers isolated fit workers; – means</w:t>
      </w:r>
      <w:r>
        <w:t xml:space="preserve"> </w:t>
      </w:r>
      <w:r>
        <w:t xml:space="preserve">insufficient device-memory evidence.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andmark reconstruction over 11 data sets in campaign 20260930T203319Z. Each row is the median of data-set medians for a 20-percent landmark fraction. RSS covers isolated fit workers; – means insufficient device-memory evidence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 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Preserve@30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Procrustes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RSS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GPU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Fuzzy UMAP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Fuzzy UMAP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32"/>
    <w:bookmarkEnd w:id="33"/>
    <w:bookmarkStart w:id="39" w:name="secondary-analyses-and-memory"/>
    <w:p>
      <w:pPr>
        <w:pStyle w:val="Heading1"/>
      </w:pPr>
      <w:r>
        <w:t xml:space="preserve">Secondary analyses and memory</w:t>
      </w:r>
    </w:p>
    <w:p>
      <w:pPr>
        <w:pStyle w:val="FirstParagraph"/>
      </w:pPr>
      <w:r>
        <w:t xml:space="preserve">Binary UMAP discards fuzzy edge weights and therefore changes the</w:t>
      </w:r>
      <w:r>
        <w:t xml:space="preserve"> </w:t>
      </w:r>
      <w:r>
        <w:t xml:space="preserve">embedding objective. It is retained as an adjacency sensitivity analysis.</w:t>
      </w:r>
      <w:r>
        <w:t xml:space="preserve"> </w:t>
      </w:r>
      <w:r>
        <w:t xml:space="preserve">Table </w:t>
      </w:r>
      <w:hyperlink w:anchor="tab:binary-umap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reports its observed time and Preserve@30</w:t>
      </w:r>
      <w:r>
        <w:t xml:space="preserve"> </w:t>
      </w:r>
      <w:r>
        <w:t xml:space="preserve">change, without treating it as a faster fuzzy-UMAP setting.</w:t>
      </w:r>
    </w:p>
    <w:bookmarkStart w:id="34" w:name="tab:binary-umap"/>
    <w:p>
      <w:pPr>
        <w:pStyle w:val="TableCaption"/>
      </w:pPr>
      <w:r>
        <w:t xml:space="preserve">Binary-adjacency versus fuzzy UMAP in campaign 20260930T203319Z. Ratios and quality changes are diagnostic medians over completed data sets; binary UMAP changes the graph objective and is not a drop-in speed substitute.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inary-adjacency versus fuzzy UMAP in campaign 20260930T203319Z. Ratios and quality changes are diagnostic medians over completed data sets; binary UMAP changes the graph objective and is not a drop-in speed substitut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 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Binary/fuzzy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Preserve@30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</w:tbl>
    <w:bookmarkEnd w:id="34"/>
    <w:p>
      <w:pPr>
        <w:pStyle w:val="BodyText"/>
      </w:pPr>
      <w:r>
        <w:t xml:space="preserve">Table </w:t>
      </w:r>
      <w:hyperlink w:anchor="tab:peak-memory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separates complete-worker host RSS from sampled</w:t>
      </w:r>
      <w:r>
        <w:t xml:space="preserve"> </w:t>
      </w:r>
      <w:r>
        <w:t xml:space="preserve">device-wide CUDA memory above the pre-worker allocator baseline. Device</w:t>
      </w:r>
      <w:r>
        <w:t xml:space="preserve"> </w:t>
      </w:r>
      <w:r>
        <w:t xml:space="preserve">sampling may miss short peaks; missing samples remain missing. These</w:t>
      </w:r>
      <w:r>
        <w:t xml:space="preserve"> </w:t>
      </w:r>
      <w:r>
        <w:t xml:space="preserve">memory boundaries are not the direct-Python fit-only timing boundary.</w:t>
      </w:r>
    </w:p>
    <w:p>
      <w:pPr>
        <w:pStyle w:val="BodyText"/>
      </w:pPr>
      <w:r>
        <w:rPr>
          <w:b/>
          <w:bCs/>
        </w:rPr>
        <w:t xml:space="preserve">A. Host peak RSS</w:t>
      </w:r>
    </w:p>
    <w:bookmarkStart w:id="35" w:name="tab:peak-memory"/>
    <w:p>
      <w:pPr>
        <w:pStyle w:val="TableCaption"/>
      </w:pPr>
      <w:r>
        <w:t xml:space="preserve">Observed peak memory in campaign 20260930T203319Z (diagnostic, failed audit). Host RSS covers the complete worker, including data loading and quality assessment; it is not fit-only memory. CUDA values are sampled device-memory increases above the pre-worker baseline (nominal 0.2-s polling plus query time), so short peaks may be underestimated. Values are GiB; – indicates no valid measurement. Counts show valid data sets for each memory metric; missing measurements are archived separately.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bserved peak memory in campaign 20260930T203319Z (diagnostic, failed audit). Host RSS covers the complete worker, including data loading and quality assessment; it is not fit-only memory. CUDA values are sampled device-memory increases above the pre-worker baseline (nominal 0.2-s polling plus query time), so short peaks may be underestimated. Values are GiB; – indicates no valid measurement. Counts show valid data sets for each memory metric; missing measurements are archived separately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PCA [CPU]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irlba [CPU]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PCA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 PCA [Python]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RAPIDS cuML PCA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Rtsne [CPU]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FIt-SNE [CPU]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t-SNE [CPU]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t-SNE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 t-SNE [Python]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openTSNE [Python]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RAPIDS cuML t-SNE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umap [CPU]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uwot [CPU]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uwot fast SGD [CPU]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fuzzy UMAP [CPU]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binary UMAP [CPU]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fuzzy UMAP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binary UMAP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umap-learn [Python]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RAPIDS cuML UMAP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</w:t>
            </w:r>
          </w:p>
        </w:tc>
      </w:tr>
    </w:tbl>
    <w:bookmarkEnd w:id="35"/>
    <w:p>
      <w:pPr>
        <w:pStyle w:val="BodyText"/>
      </w:pPr>
      <w:r>
        <w:rPr>
          <w:b/>
          <w:bCs/>
        </w:rPr>
        <w:t xml:space="preserve">B. CUDA device-memory increase</w:t>
      </w:r>
    </w:p>
    <w:bookmarkStart w:id="36" w:name="tab:peak-memory"/>
    <w:p>
      <w:pPr>
        <w:pStyle w:val="TableCaption"/>
      </w:pPr>
      <w:r>
        <w:t xml:space="preserve">Observed peak memory in campaign 20260930T203319Z (diagnostic, failed audit). Host RSS covers the complete worker, including data loading and quality assessment; it is not fit-only memory. CUDA values are sampled device-memory increases above the pre-worker baseline (nominal 0.2-s polling plus query time), so short peaks may be underestimated. Values are GiB; – indicates no valid measurement. Counts show valid data sets for each memory metric; missing measurements are archived separately.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bserved peak memory in campaign 20260930T203319Z (diagnostic, failed audit). Host RSS covers the complete worker, including data loading and quality assessment; it is not fit-only memory. CUDA values are sampled device-memory increases above the pre-worker baseline (nominal 0.2-s polling plus query time), so short peaks may be underestimated. Values are GiB; – indicates no valid measurement. Counts show valid data sets for each memory metric; missing measurements are archived separately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PCA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RAPIDS cuML PCA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t-SNE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RAPIDS cuML t-SNE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fuzzy UMAP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fastEmbedR binary UMAP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RAPIDS cuML UMAP [CUDA]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11.96</w:t>
            </w:r>
          </w:p>
        </w:tc>
      </w:tr>
    </w:tbl>
    <w:bookmarkEnd w:id="36"/>
    <w:p>
      <w:pPr>
        <w:pStyle w:val="BodyText"/>
      </w:pPr>
      <w:r>
        <w:t xml:space="preserve">CPU and CUDA PCA were compared with dense centered singular value</w:t>
      </w:r>
      <w:r>
        <w:t xml:space="preserve"> </w:t>
      </w:r>
      <w:r>
        <w:t xml:space="preserve">decomposition on 11 fixed subsets. Signs and equivalent subspace</w:t>
      </w:r>
      <w:r>
        <w:t xml:space="preserve"> </w:t>
      </w:r>
      <w:r>
        <w:t xml:space="preserve">rotations were aligned before score and loading comparisons.</w:t>
      </w:r>
      <w:r>
        <w:t xml:space="preserve"> </w:t>
      </w:r>
      <w:r>
        <w:rPr>
          <w:rStyle w:val="VerbatimChar"/>
        </w:rPr>
        <w:t xml:space="preserve">irlba</w:t>
      </w:r>
      <w:r>
        <w:t xml:space="preserve"> </w:t>
      </w:r>
      <w:r>
        <w:t xml:space="preserve">is an approximate performance comparator, not the numerical</w:t>
      </w:r>
      <w:r>
        <w:t xml:space="preserve"> </w:t>
      </w:r>
      <w:r>
        <w:t xml:space="preserve">reference. ImageNet CPU rank-2 score agreement was 0.783, an unresolved</w:t>
      </w:r>
      <w:r>
        <w:t xml:space="preserve"> </w:t>
      </w:r>
      <w:r>
        <w:t xml:space="preserve">outlier for that configuration.</w:t>
      </w:r>
    </w:p>
    <w:bookmarkStart w:id="37" w:name="tab:diagnostic-pca-accuracy"/>
    <w:p>
      <w:pPr>
        <w:pStyle w:val="TableCaption"/>
      </w:pPr>
      <w:r>
        <w:t xml:space="preserve">PCA agreement with dense centered SVD on fixed subsets in campaign 20260930T203319Z. The effective rank may be below the requested rank.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CA agreement with dense centered SVD on fixed subsets in campaign 20260930T203319Z. The effective rank may be below the requested rank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Requested 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 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 correlation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Loading cosine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</w:tr>
    </w:tbl>
    <w:bookmarkEnd w:id="37"/>
    <w:p>
      <w:pPr>
        <w:pStyle w:val="BodyText"/>
      </w:pPr>
      <w:r>
        <w:t xml:space="preserve">Graph construction was saved separately from clustering. Only COIL20</w:t>
      </w:r>
      <w:r>
        <w:t xml:space="preserve"> </w:t>
      </w:r>
      <w:r>
        <w:t xml:space="preserve">and MetRef completed the latest same-graph clustering validation; the</w:t>
      </w:r>
      <w:r>
        <w:t xml:space="preserve"> </w:t>
      </w:r>
      <w:r>
        <w:t xml:space="preserve">other nine data-set jobs failed, so Table </w:t>
      </w:r>
      <w:hyperlink w:anchor="tab:diagnostic-clustering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is restricted to six seed runs per implementation. Native CPU Louvain,</w:t>
      </w:r>
      <w:r>
        <w:t xml:space="preserve"> </w:t>
      </w:r>
      <w:r>
        <w:t xml:space="preserve">Leiden, and Walktrap were compared with</w:t>
      </w:r>
      <w:r>
        <w:t xml:space="preserve"> </w:t>
      </w:r>
      <w:r>
        <w:rPr>
          <w:rStyle w:val="VerbatimChar"/>
        </w:rPr>
        <w:t xml:space="preserve">igraph</w:t>
      </w:r>
      <w:r>
        <w:t xml:space="preserve">; CUDA Louvain and</w:t>
      </w:r>
      <w:r>
        <w:t xml:space="preserve"> </w:t>
      </w:r>
      <w:r>
        <w:t xml:space="preserve">Leiden used the corresponding native CPU memberships as a reference.</w:t>
      </w:r>
      <w:r>
        <w:t xml:space="preserve"> </w:t>
      </w:r>
      <w:r>
        <w:t xml:space="preserve">Label adjusted Rand index compares the recovered communities with the</w:t>
      </w:r>
      <w:r>
        <w:t xml:space="preserve"> </w:t>
      </w:r>
      <w:r>
        <w:t xml:space="preserve">data-set labels; paired adjusted Rand index compares two partitions.</w:t>
      </w:r>
      <w:r>
        <w:t xml:space="preserve"> </w:t>
      </w:r>
      <w:r>
        <w:t xml:space="preserve">These are not end-to-end embedding speedups, and Metal clustering is</w:t>
      </w:r>
      <w:r>
        <w:t xml:space="preserve"> </w:t>
      </w:r>
      <w:r>
        <w:t xml:space="preserve">not represented.</w:t>
      </w:r>
    </w:p>
    <w:bookmarkStart w:id="38" w:name="tab:diagnostic-clustering"/>
    <w:p>
      <w:pPr>
        <w:pStyle w:val="TableCaption"/>
      </w:pPr>
      <w:r>
        <w:t xml:space="preserve">Clustering in campaign 20260930T203319Z. The Runs column counts completed data-set–seed fits; times exclude graph construction. Label ARI uses external data-set labels; paired ARI compares native CPU with igraph or an accelerator with native CPU. Graph sizes identify any fixed Walktrap subset. Missing runs are not zero.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ustering in campaign 20260930T203319Z. The Runs column counts completed data-set–seed fits; times exclude graph construction. Label ARI uses external data-set labels; paired ARI compares native CPU with igraph or an accelerator with native CPU. Graph sizes identify any fixed Walktrap subset. Missing runs are not zero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seconds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Label ARI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Paired 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louvain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fastEmbedR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873–1440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fastEmbedR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873–1440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louvain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873–1440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873–1440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louvain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fastEmbedR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873–1440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fastEmbedR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873–1440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louvain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fastEmbedR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fastEmbedR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fastEmbedR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873–1440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873–1440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</w:tr>
    </w:tbl>
    <w:bookmarkEnd w:id="38"/>
    <w:bookmarkEnd w:id="39"/>
    <w:bookmarkStart w:id="41" w:name="campaign-identity-and-unresolved-gates"/>
    <w:p>
      <w:pPr>
        <w:pStyle w:val="Heading1"/>
      </w:pPr>
      <w:r>
        <w:t xml:space="preserve">Campaign identity and unresolved gates</w:t>
      </w:r>
    </w:p>
    <w:p>
      <w:pPr>
        <w:pStyle w:val="FirstParagraph"/>
      </w:pPr>
      <w:r>
        <w:t xml:space="preserve">The source archive and the installed native library are recorded</w:t>
      </w:r>
      <w:r>
        <w:t xml:space="preserve"> </w:t>
      </w:r>
      <w:r>
        <w:t xml:space="preserve">separately because this image included a container-build patch.</w:t>
      </w:r>
      <w:r>
        <w:t xml:space="preserve"> </w:t>
      </w:r>
      <w:r>
        <w:t xml:space="preserve">Table </w:t>
      </w:r>
      <w:hyperlink w:anchor="tab:release-identity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fixes the exact diagnostic source and</w:t>
      </w:r>
      <w:r>
        <w:t xml:space="preserve"> </w:t>
      </w:r>
      <w:r>
        <w:t xml:space="preserve">benchmark identities. The campaign’s final audit reported 34 failed</w:t>
      </w:r>
      <w:r>
        <w:t xml:space="preserve"> </w:t>
      </w:r>
      <w:r>
        <w:t xml:space="preserve">or timed-out tasks and four output-audit failures. The replication</w:t>
      </w:r>
      <w:r>
        <w:t xml:space="preserve"> </w:t>
      </w:r>
      <w:r>
        <w:t xml:space="preserve">directory retains every unsuccessful method–data-set status.</w:t>
      </w:r>
    </w:p>
    <w:bookmarkStart w:id="40" w:name="tab:release-identity"/>
    <w:p>
      <w:pPr>
        <w:pStyle w:val="TableCaption"/>
      </w:pPr>
      <w:r>
        <w:t xml:space="preserve">Immutable identity of diagnostic campaign 20260930T203319Z.</w:t>
      </w:r>
      <w:r>
        <w:t xml:space="preserve"> </w:t>
      </w:r>
      <w:r>
        <w:t xml:space="preserve">The campaign failed its final audit.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mmutable identity of diagnostic campaign 20260930T203319Z. The campaign failed its final audi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fastEmbedR 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7f22c52b28400535c2a246de68e7189cd9880ea1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archive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a3bc4a09e6f60bb719cf49b5d91af876c084666ff1b390d06ea9c155d2e991b9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patch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8a725d2d2579425ff8d7edd3684f74c3fbb9ec1e5e3624c53e3eb3280b1188c7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54e9604d951ecb3d80f49671d9db7a35cf19f1342eb3ee7c708cbc0c3a7f0aa8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Installed library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d44f08b574a4932bd36f7afb1d0da0895ccaaa9e1e5ca3f4c040ef2357d649fc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manifest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d0dddde1d82fa3faa01a9617db55b4128f8a04de61b8fd4dfb6f117d99e6f44c</w:t>
            </w:r>
          </w:p>
        </w:tc>
      </w:tr>
    </w:tbl>
    <w:bookmarkEnd w:id="40"/>
    <w:p>
      <w:pPr>
        <w:pStyle w:val="BodyText"/>
      </w:pPr>
      <w:r>
        <w:t xml:space="preserve">The experimental file-backed phase was added after this image and campaign</w:t>
      </w:r>
      <w:r>
        <w:t xml:space="preserve"> </w:t>
      </w:r>
      <w:r>
        <w:t xml:space="preserve">were created. No BigANN 1-billion-row or two-GPU result from that phase</w:t>
      </w:r>
      <w:r>
        <w:t xml:space="preserve"> </w:t>
      </w:r>
      <w:r>
        <w:t xml:space="preserve">appears in these tables. Its six planned analyses are matched correctness,</w:t>
      </w:r>
      <w:r>
        <w:t xml:space="preserve"> </w:t>
      </w:r>
      <w:r>
        <w:t xml:space="preserve">real-data scaling, memory boundary, full versus landmark, multi-GPU, and</w:t>
      </w:r>
      <w:r>
        <w:t xml:space="preserve"> </w:t>
      </w:r>
      <w:r>
        <w:t xml:space="preserve">checkpoint recovery. The phase must be rerun with source and output</w:t>
      </w:r>
      <w:r>
        <w:t xml:space="preserve"> </w:t>
      </w:r>
      <w:r>
        <w:t xml:space="preserve">checksums before any result is included in a release-level comparison.</w:t>
      </w:r>
    </w:p>
    <w:bookmarkEnd w:id="41"/>
    <w:bookmarkStart w:id="141" w:name="embedding-gallery"/>
    <w:p>
      <w:pPr>
        <w:pStyle w:val="Heading1"/>
      </w:pPr>
      <w:r>
        <w:t xml:space="preserve">Embedding gallery</w:t>
      </w:r>
    </w:p>
    <w:p>
      <w:pPr>
        <w:pStyle w:val="FirstParagraph"/>
      </w:pPr>
      <w:r>
        <w:t xml:space="preserve">The gallery uses coordinates from campaign 20260929T210526Z, separate</w:t>
      </w:r>
      <w:r>
        <w:t xml:space="preserve"> </w:t>
      </w:r>
      <w:r>
        <w:t xml:space="preserve">from the full-data timing campaign in Table S1. Only seed-4 layouts are</w:t>
      </w:r>
      <w:r>
        <w:t xml:space="preserve"> </w:t>
      </w:r>
      <w:r>
        <w:t xml:space="preserve">shown. Other seeds contribute to numerical summaries but are not</w:t>
      </w:r>
      <w:r>
        <w:t xml:space="preserve"> </w:t>
      </w:r>
      <w:r>
        <w:t xml:space="preserve">illustrated. That campaign also failed its audit; these plots are</w:t>
      </w:r>
      <w:r>
        <w:t xml:space="preserve"> </w:t>
      </w:r>
      <w:r>
        <w:t xml:space="preserve">visual diagnostics, not release-level validation. Missing panels are</w:t>
      </w:r>
      <w:r>
        <w:t xml:space="preserve"> </w:t>
      </w:r>
      <w:r>
        <w:t xml:space="preserve">labelled and are never filled from another campaign.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embedding_all_methods/COIL20_pca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COIL-20 PCA outputs for the tested methods (seed 4; 1,440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ures/embedding_all_methods/COIL20_tsn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COIL-20 t-SNE outputs for the tested methods (seed 4; 1,440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embedding_all_methods/COIL20_umap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COIL-20 UMAP outputs for the tested methods (seed 4; 1,440 rows). Colors encode benchmark labels and were not used for fitting.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embedding_all_methods/USPS_pca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USPS PCA outputs for the tested methods (seed 4; 11,000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ures/embedding_all_methods/USPS_tsn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USPS t-SNE outputs for the tested methods (seed 4; 11,000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/embedding_all_methods/USPS_umap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USPS UMAP outputs for the tested methods (seed 4; 11,000 rows). Colors encode benchmark labels and were not used for fitting.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ures/embedding_all_methods/FashionMNIST_pca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Fashion-MNIST PCA outputs for the tested methods (seed 4; 70,000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ures/embedding_all_methods/FashionMNIST_tsn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Fashion-MNIST t-SNE outputs for the tested methods (seed 4; 70,000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igures/embedding_all_methods/FashionMNIST_umap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Fashion-MNIST UMAP outputs for the tested methods (seed 4; 70,000 rows). Colors encode benchmark labels and were not used for fitting.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ures/embedding_all_methods/FlowRepository_FR_FCM_ZYRM_files_pca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FlowRepository PCA outputs for the tested methods (seed 4; fitted 70,000 of 5,220,347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/embedding_all_methods/FlowRepository_FR_FCM_ZYRM_files_tsn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FlowRepository t-SNE outputs for the tested methods (seed 4; fitted 70,000 of 5,220,347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ures/embedding_all_methods/FlowRepository_FR_FCM_ZYRM_files_umap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FlowRepository UMAP outputs for the tested methods (seed 4; fitted 70,000 of 5,220,347 rows). Colors encode benchmark labels and were not used for fitting.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embedding_all_methods/flow18_pca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flow18 PCA outputs for the tested methods (seed 4; fitted 70,000 of 1,000,021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figures/embedding_all_methods/flow18_tsn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flow18 t-SNE outputs for the tested methods (seed 4; fitted 70,000 of 1,000,021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figures/embedding_all_methods/flow18_umap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flow18 UMAP outputs for the tested methods (seed 4; fitted 70,000 of 1,000,021 rows). Colors encode benchmark labels and were not used for fitting.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figures/embedding_all_methods/MNIST_pca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MNIST PCA outputs for the tested methods (seed 4; 70,000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figures/embedding_all_methods/MNIST_tsn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MNIST t-SNE outputs for the tested methods (seed 4; 70,000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figures/embedding_all_methods/MNIST_umap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MNIST UMAP outputs for the tested methods (seed 4; 70,000 rows). Colors encode benchmark labels and were not used for fitting.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figures/embedding_all_methods/imagenet_pca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ImageNet PCA outputs for the tested methods (seed 4; fitted 70,000 of 1,281,167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figures/embedding_all_methods/imagenet_tsne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ImageNet t-SNE outputs for the tested methods (seed 4; fitted 70,000 of 1,281,167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figures/embedding_all_methods/imagenet_umap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ImageNet UMAP outputs for the tested methods (seed 4; fitted 70,000 of 1,281,167 rows). Colors encode benchmark labels and were not used for fitting.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figures/embedding_all_methods/MetRef_pca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MetRef PCA outputs for the tested methods (seed 4; 873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figures/embedding_all_methods/MetRef_tsne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MetRef t-SNE outputs for the tested methods (seed 4; 873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figures/embedding_all_methods/MetRef_umap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MetRef UMAP outputs for the tested methods (seed 4; 873 rows). Colors encode benchmark labels and were not used for fitting.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figures/embedding_all_methods/mass41_pca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mass41 PCA outputs for the tested methods (seed 4; fitted 70,000 of 965,282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figures/embedding_all_methods/mass41_tsn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mass41 t-SNE outputs for the tested methods (seed 4; fitted 70,000 of 965,282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figures/embedding_all_methods/mass41_umap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mass41 UMAP outputs for the tested methods (seed 4; fitted 70,000 of 965,282 rows). Colors encode benchmark labels and were not used for fitting.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figures/embedding_all_methods/TabulaMuris_pc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Tabula Muris PCA outputs for the tested methods (seed 4; fitted 70,000 of 100,102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figures/embedding_all_methods/TabulaMuris_tsn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Tabula Muris t-SNE outputs for the tested methods (seed 4; fitted 70,000 of 100,102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figures/embedding_all_methods/TabulaMuris_umap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Tabula Muris UMAP outputs for the tested methods (seed 4; fitted 70,000 of 100,102 rows). Colors encode benchmark labels and were not used for fitting.</w:t>
      </w:r>
    </w:p>
    <w:p>
      <w:pPr>
        <w:pStyle w:val="CaptionedFigure"/>
      </w:pPr>
      <w:r>
        <w:drawing>
          <wp:inline>
            <wp:extent cx="5013960" cy="334264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figures/embedding_all_methods/Macosko2015_retina_pca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Retina PCA outputs for the tested methods (seed 4; 44,808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figures/embedding_all_methods/Macosko2015_retina_tsn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Retina t-SNE outputs for the tested methods (seed 4; 44,808 rows). Colors encode benchmark labels and were not used for fitting.</w:t>
      </w:r>
    </w:p>
    <w:p>
      <w:pPr>
        <w:pStyle w:val="CaptionedFigure"/>
      </w:pPr>
      <w:r>
        <w:drawing>
          <wp:inline>
            <wp:extent cx="5013960" cy="501396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figures/embedding_all_methods/Macosko2015_retina_umap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Retina UMAP outputs for the tested methods (seed 4; 44,808 rows). Colors encode benchmark labels and were not used for fitting.</w:t>
      </w:r>
    </w:p>
    <w:bookmarkEnd w:id="1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2" Type="http://schemas.openxmlformats.org/officeDocument/2006/relationships/image" Target="media/rId42.png"/><Relationship Id="rId45" Type="http://schemas.openxmlformats.org/officeDocument/2006/relationships/image" Target="media/rId45.png"/><Relationship Id="rId48" Type="http://schemas.openxmlformats.org/officeDocument/2006/relationships/image" Target="media/rId48.png"/><Relationship Id="rId60" Type="http://schemas.openxmlformats.org/officeDocument/2006/relationships/image" Target="media/rId60.png"/><Relationship Id="rId63" Type="http://schemas.openxmlformats.org/officeDocument/2006/relationships/image" Target="media/rId63.png"/><Relationship Id="rId66" Type="http://schemas.openxmlformats.org/officeDocument/2006/relationships/image" Target="media/rId66.png"/><Relationship Id="rId69" Type="http://schemas.openxmlformats.org/officeDocument/2006/relationships/image" Target="media/rId69.png"/><Relationship Id="rId72" Type="http://schemas.openxmlformats.org/officeDocument/2006/relationships/image" Target="media/rId72.png"/><Relationship Id="rId75" Type="http://schemas.openxmlformats.org/officeDocument/2006/relationships/image" Target="media/rId75.png"/><Relationship Id="rId87" Type="http://schemas.openxmlformats.org/officeDocument/2006/relationships/image" Target="media/rId87.png"/><Relationship Id="rId90" Type="http://schemas.openxmlformats.org/officeDocument/2006/relationships/image" Target="media/rId90.png"/><Relationship Id="rId93" Type="http://schemas.openxmlformats.org/officeDocument/2006/relationships/image" Target="media/rId93.png"/><Relationship Id="rId132" Type="http://schemas.openxmlformats.org/officeDocument/2006/relationships/image" Target="media/rId132.png"/><Relationship Id="rId135" Type="http://schemas.openxmlformats.org/officeDocument/2006/relationships/image" Target="media/rId135.png"/><Relationship Id="rId138" Type="http://schemas.openxmlformats.org/officeDocument/2006/relationships/image" Target="media/rId138.png"/><Relationship Id="rId105" Type="http://schemas.openxmlformats.org/officeDocument/2006/relationships/image" Target="media/rId105.png"/><Relationship Id="rId108" Type="http://schemas.openxmlformats.org/officeDocument/2006/relationships/image" Target="media/rId108.png"/><Relationship Id="rId111" Type="http://schemas.openxmlformats.org/officeDocument/2006/relationships/image" Target="media/rId111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129" Type="http://schemas.openxmlformats.org/officeDocument/2006/relationships/image" Target="media/rId129.png"/><Relationship Id="rId51" Type="http://schemas.openxmlformats.org/officeDocument/2006/relationships/image" Target="media/rId51.png"/><Relationship Id="rId54" Type="http://schemas.openxmlformats.org/officeDocument/2006/relationships/image" Target="media/rId54.png"/><Relationship Id="rId57" Type="http://schemas.openxmlformats.org/officeDocument/2006/relationships/image" Target="media/rId57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84" Type="http://schemas.openxmlformats.org/officeDocument/2006/relationships/image" Target="media/rId84.png"/><Relationship Id="rId96" Type="http://schemas.openxmlformats.org/officeDocument/2006/relationships/image" Target="media/rId96.png"/><Relationship Id="rId99" Type="http://schemas.openxmlformats.org/officeDocument/2006/relationships/image" Target="media/rId99.png"/><Relationship Id="rId102" Type="http://schemas.openxmlformats.org/officeDocument/2006/relationships/image" Target="media/rId10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120" Type="http://schemas.openxmlformats.org/officeDocument/2006/relationships/image" Target="media/rId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Benchmark Results for fastEmbedR</dc:title>
  <dc:creator>Moussa Kassim Mohamed^{1,2,*} Martin Ocharo^{1,2,*} Giulia Canarutto^{3,4} Dalia Ahmed^1 Dupe Ojo^1 Alessia Vignoli^{5,6} Leonardo Tenori^{5,6,\dagger} Dinesh Gupta^{7} Silvano Piazza^{3,8} Stefano Cacciatore^{1,2,\dagger}</dc:creator>
  <cp:keywords/>
  <dcterms:created xsi:type="dcterms:W3CDTF">2026-10-06T17:50:52Z</dcterms:created>
  <dcterms:modified xsi:type="dcterms:W3CDTF">2026-10-06T17:50:52Z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/private/tmp/fastembedr-extra-manuscript/manuscript/jss/fastEmbedR_JSS.bib</vt:lpwstr>
  </property>
</Properties>
</file>