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pplementary-material"/>
    <w:p>
      <w:pPr>
        <w:pStyle w:val="ManuscriptTitle"/>
      </w:pPr>
      <w:r>
        <w:rPr>
          <w:rFonts w:ascii="Times New Roman" w:hAnsi="Times New Roman" w:eastAsia="Times New Roman"/>
        </w:rPr>
        <w:t>Supplementary material</w:t>
      </w:r>
    </w:p>
    <w:bookmarkStart w:id="20" w:name="Xc6f377fa90623b8af8211afedac1e6d9a5d526d"/>
    <w:p>
      <w:pPr>
        <w:pStyle w:val="Heading2"/>
      </w:pPr>
      <w:r>
        <w:t>fastPLS: a memory-aware accelerated SIMPLS implementation for high-dimensional biomedical data with optional CUDA and Metal routes</w:t>
      </w:r>
    </w:p>
    <w:p>
      <w:pPr>
        <w:pStyle w:val="FirstParagraph"/>
      </w:pPr>
      <w:r>
        <w:rPr>
          <w:rFonts w:ascii="Times New Roman" w:hAnsi="Times New Roman"/>
          <w:sz w:val="24"/>
        </w:rPr>
        <w:t>Dupe Ojo</w:t>
      </w:r>
      <w:r>
        <w:rPr>
          <w:rFonts w:ascii="Times New Roman" w:hAnsi="Times New Roman"/>
          <w:sz w:val="24"/>
          <w:vertAlign w:val="superscript"/>
        </w:rPr>
        <w:t>†</w:t>
      </w:r>
      <w:r>
        <w:rPr>
          <w:rFonts w:ascii="Times New Roman" w:hAnsi="Times New Roman"/>
          <w:sz w:val="24"/>
        </w:rPr>
        <w:t>, Alessia Vignoli</w:t>
      </w:r>
      <w:r>
        <w:rPr>
          <w:rFonts w:ascii="Times New Roman" w:hAnsi="Times New Roman"/>
          <w:sz w:val="24"/>
          <w:vertAlign w:val="superscript"/>
        </w:rPr>
        <w:t>†</w:t>
      </w:r>
      <w:r>
        <w:rPr>
          <w:rFonts w:ascii="Times New Roman" w:hAnsi="Times New Roman"/>
          <w:sz w:val="24"/>
        </w:rPr>
        <w:t>, Stefano Cacciatore</w:t>
      </w:r>
      <w:r>
        <w:rPr>
          <w:rFonts w:ascii="Times New Roman" w:hAnsi="Times New Roman"/>
          <w:sz w:val="24"/>
          <w:vertAlign w:val="superscript"/>
        </w:rPr>
        <w:t>*</w:t>
      </w:r>
      <w:r>
        <w:rPr>
          <w:rFonts w:ascii="Times New Roman" w:hAnsi="Times New Roman"/>
          <w:sz w:val="24"/>
        </w:rPr>
        <w:t>, Leonardo Tenori</w:t>
      </w:r>
      <w:r>
        <w:rPr>
          <w:rFonts w:ascii="Times New Roman" w:hAnsi="Times New Roman"/>
          <w:sz w:val="24"/>
          <w:vertAlign w:val="superscript"/>
        </w:rPr>
        <w:t>*</w:t>
      </w:r>
    </w:p>
    <w:p>
      <w:pPr>
        <w:pStyle w:val="FirstParagraph"/>
      </w:pPr>
      <w:r>
        <w:rPr>
          <w:rFonts w:ascii="Times New Roman" w:hAnsi="Times New Roman"/>
          <w:sz w:val="24"/>
        </w:rPr>
        <w:t>†These authors contributed equally and share first authorship.</w:t>
      </w:r>
    </w:p>
    <w:p>
      <w:pPr>
        <w:pStyle w:val="FirstParagraph"/>
      </w:pPr>
      <w:r>
        <w:rPr>
          <w:rFonts w:ascii="Times New Roman" w:hAnsi="Times New Roman"/>
          <w:sz w:val="24"/>
        </w:rPr>
        <w:t>*Co-corresponding authors: Stefano Cacciatore, stefano.cacciatore@icgeb.org; Leonardo Tenori, tenori@cerm.unifi.it.</w:t>
      </w:r>
    </w:p>
    <w:p>
      <w:pPr>
        <w:pStyle w:val="BodyText"/>
      </w:pPr>
      <w:r>
        <w:t>Central quantitative evidence used archived fastPLS 0.99.25, Git commit 7887401b09e25f54a546a253c255741cb1ab48e5, from source archive SHA-256 604f74d72f5e9540f7378efd37f2ca6ed87ccb9e73b912211331a8cd97233481. The archive, scripts, input checksums, session information, generated tables, and file ledger are indexed in Table S15. The deposited NMR workflow is retained only as explicitly labelled historical context.</w:t>
      </w:r>
    </w:p>
    <w:p>
      <w:pPr>
        <w:pStyle w:val="BodyText"/>
      </w:pPr>
      <w:r>
        <w:t>Route-level evidence is consolidated rather than repeated. Table S1 defines residency; Tables S7-S7b cover deterministic validation, execution ablation, and PLS-SVD/SIMPLS shape comparison; Tables S7c-S8 and Figure S1 report controlled scaling and approximate-solver status; Table S9 defines float32 capability; Tables S10-S13 report software, backend, NMR, and ImageNet results; and Table S15 records provenance. Table S6 defines the evidence-status terminology used throughout.</w:t>
      </w:r>
    </w:p>
    <w:bookmarkEnd w:id="20"/>
    <w:bookmarkEnd w:id="21"/>
    <w:bookmarkStart w:id="22" w:name="s1.-current-implementation-scope"/>
    <w:p>
      <w:pPr>
        <w:pStyle w:val="Heading1"/>
      </w:pPr>
      <w:r>
        <w:rPr>
          <w:rFonts w:ascii="Times New Roman" w:hAnsi="Times New Roman" w:eastAsia="Times New Roman"/>
        </w:rPr>
        <w:t>S1. Current implementation scope</w:t>
      </w:r>
    </w:p>
    <w:p>
      <w:pPr>
        <w:pStyle w:val="FirstParagraph"/>
      </w:pPr>
      <w:r>
        <w:t>Table S1. Stage-level CPU, CUDA, and Metal residency. ‘Hybrid’ denotes an accelerated path with one or more host-side operations.</w:t>
      </w:r>
    </w:p>
    <w:tbl>
      <w:tblPr>
        <w:tblStyle w:val="Table"/>
        <w:tblW w:type="dxa" w:w="10944"/>
        <w:jc w:val="center"/>
        <w:tblLayout w:type="fixed"/>
        <w:tblLook w:firstRow="1" w:lastRow="0" w:firstColumn="0" w:lastColumn="0" w:noHBand="0" w:noVBand="0" w:val="0020"/>
        <w:tblInd w:w="120" w:type="dxa"/>
        <w:tblCellMar>
          <w:top w:w="45" w:type="dxa"/>
          <w:start w:w="45" w:type="dxa"/>
          <w:bottom w:w="45" w:type="dxa"/>
          <w:end w:w="45" w:type="dxa"/>
        </w:tblCellMar>
      </w:tblPr>
      <w:tblGrid>
        <w:gridCol w:w="1750"/>
        <w:gridCol w:w="1969"/>
        <w:gridCol w:w="2516"/>
        <w:gridCol w:w="2189"/>
        <w:gridCol w:w="2520"/>
      </w:tblGrid>
      <w:tr>
        <w:trPr>
          <w:tblHeader w:val="on"/>
        </w:trPr>
        <w:tc>
          <w:tcPr>
            <w:tcW w:w="1750" w:type="dxa"/>
            <w:vAlign w:val="center"/>
            <w:tcMar>
              <w:top w:w="80" w:type="dxa"/>
              <w:start w:w="120" w:type="dxa"/>
              <w:bottom w:w="80" w:type="dxa"/>
              <w:end w:w="120" w:type="dxa"/>
            </w:tcMar>
            <w:shd w:fill="E7E6E6"/>
          </w:tcPr>
          <w:p>
            <w:pPr>
              <w:spacing w:after="0" w:before="0" w:line="240" w:lineRule="auto"/>
            </w:pPr>
            <w:r>
              <w:rPr>
                <w:b/>
                <w:sz w:val="12"/>
              </w:rPr>
              <w:t>Stage</w:t>
            </w:r>
          </w:p>
        </w:tc>
        <w:tc>
          <w:tcPr>
            <w:tcW w:w="1969" w:type="dxa"/>
            <w:vAlign w:val="center"/>
            <w:tcMar>
              <w:top w:w="80" w:type="dxa"/>
              <w:start w:w="120" w:type="dxa"/>
              <w:bottom w:w="80" w:type="dxa"/>
              <w:end w:w="120" w:type="dxa"/>
            </w:tcMar>
            <w:shd w:fill="E7E6E6"/>
          </w:tcPr>
          <w:p>
            <w:pPr>
              <w:spacing w:after="0" w:before="0" w:line="240" w:lineRule="auto"/>
            </w:pPr>
            <w:r>
              <w:rPr>
                <w:b/>
                <w:sz w:val="12"/>
              </w:rPr>
              <w:t>CPU</w:t>
            </w:r>
          </w:p>
        </w:tc>
        <w:tc>
          <w:tcPr>
            <w:tcW w:w="2516" w:type="dxa"/>
            <w:vAlign w:val="center"/>
            <w:tcMar>
              <w:top w:w="80" w:type="dxa"/>
              <w:start w:w="120" w:type="dxa"/>
              <w:bottom w:w="80" w:type="dxa"/>
              <w:end w:w="120" w:type="dxa"/>
            </w:tcMar>
            <w:shd w:fill="E7E6E6"/>
          </w:tcPr>
          <w:p>
            <w:pPr>
              <w:spacing w:after="0" w:before="0" w:line="240" w:lineRule="auto"/>
            </w:pPr>
            <w:r>
              <w:rPr>
                <w:b/>
                <w:sz w:val="12"/>
              </w:rPr>
              <w:t>CUDA</w:t>
            </w:r>
          </w:p>
        </w:tc>
        <w:tc>
          <w:tcPr>
            <w:tcW w:w="2189" w:type="dxa"/>
            <w:vAlign w:val="center"/>
            <w:tcMar>
              <w:top w:w="80" w:type="dxa"/>
              <w:start w:w="120" w:type="dxa"/>
              <w:bottom w:w="80" w:type="dxa"/>
              <w:end w:w="120" w:type="dxa"/>
            </w:tcMar>
            <w:shd w:fill="E7E6E6"/>
          </w:tcPr>
          <w:p>
            <w:pPr>
              <w:spacing w:after="0" w:before="0" w:line="240" w:lineRule="auto"/>
            </w:pPr>
            <w:r>
              <w:rPr>
                <w:b/>
                <w:sz w:val="12"/>
              </w:rPr>
              <w:t>Metal</w:t>
            </w:r>
          </w:p>
        </w:tc>
        <w:tc>
          <w:tcPr>
            <w:tcW w:w="2520" w:type="dxa"/>
            <w:vAlign w:val="center"/>
            <w:tcMar>
              <w:top w:w="80" w:type="dxa"/>
              <w:start w:w="120" w:type="dxa"/>
              <w:bottom w:w="80" w:type="dxa"/>
              <w:end w:w="120" w:type="dxa"/>
            </w:tcMar>
            <w:shd w:fill="E7E6E6"/>
          </w:tcPr>
          <w:p>
            <w:pPr>
              <w:spacing w:after="0" w:before="0" w:line="240" w:lineRule="auto"/>
            </w:pPr>
            <w:r>
              <w:rPr>
                <w:b/>
                <w:sz w:val="12"/>
              </w:rPr>
              <w:t>Residency / precision note</w:t>
            </w:r>
          </w:p>
        </w:tc>
      </w:tr>
      <w:tr>
        <w:tc>
          <w:tcPr>
            <w:tcW w:w="1750" w:type="dxa"/>
            <w:vAlign w:val="center"/>
            <w:tcMar>
              <w:top w:w="80" w:type="dxa"/>
              <w:start w:w="120" w:type="dxa"/>
              <w:bottom w:w="80" w:type="dxa"/>
              <w:end w:w="120" w:type="dxa"/>
            </w:tcMar>
          </w:tcPr>
          <w:p>
            <w:pPr>
              <w:spacing w:after="0" w:before="0" w:line="240" w:lineRule="auto"/>
            </w:pPr>
            <w:r>
              <w:rPr>
                <w:sz w:val="12"/>
              </w:rPr>
              <w:t>Core PLS fit</w:t>
            </w:r>
          </w:p>
        </w:tc>
        <w:tc>
          <w:tcPr>
            <w:tcW w:w="1969" w:type="dxa"/>
            <w:vAlign w:val="center"/>
            <w:tcMar>
              <w:top w:w="80" w:type="dxa"/>
              <w:start w:w="120" w:type="dxa"/>
              <w:bottom w:w="80" w:type="dxa"/>
              <w:end w:w="120" w:type="dxa"/>
            </w:tcMar>
          </w:tcPr>
          <w:p>
            <w:pPr>
              <w:spacing w:after="0" w:before="0" w:line="240" w:lineRule="auto"/>
            </w:pPr>
            <w:r>
              <w:rPr>
                <w:sz w:val="12"/>
              </w:rPr>
              <w:t>Compiled C++</w:t>
            </w:r>
          </w:p>
        </w:tc>
        <w:tc>
          <w:tcPr>
            <w:tcW w:w="2516" w:type="dxa"/>
            <w:vAlign w:val="center"/>
            <w:tcMar>
              <w:top w:w="80" w:type="dxa"/>
              <w:start w:w="120" w:type="dxa"/>
              <w:bottom w:w="80" w:type="dxa"/>
              <w:end w:w="120" w:type="dxa"/>
            </w:tcMar>
          </w:tcPr>
          <w:p>
            <w:pPr>
              <w:spacing w:after="0" w:before="0" w:line="240" w:lineRule="auto"/>
            </w:pPr>
            <w:r>
              <w:rPr>
                <w:sz w:val="12"/>
              </w:rPr>
              <w:t>GPU products/range; host small solve</w:t>
            </w:r>
          </w:p>
        </w:tc>
        <w:tc>
          <w:tcPr>
            <w:tcW w:w="2189" w:type="dxa"/>
            <w:vAlign w:val="center"/>
            <w:tcMar>
              <w:top w:w="80" w:type="dxa"/>
              <w:start w:w="120" w:type="dxa"/>
              <w:bottom w:w="80" w:type="dxa"/>
              <w:end w:w="120" w:type="dxa"/>
            </w:tcMar>
          </w:tcPr>
          <w:p>
            <w:pPr>
              <w:spacing w:after="0" w:before="0" w:line="240" w:lineRule="auto"/>
            </w:pPr>
            <w:r>
              <w:rPr>
                <w:sz w:val="12"/>
              </w:rPr>
              <w:t>MPS products; host direction update</w:t>
            </w:r>
          </w:p>
        </w:tc>
        <w:tc>
          <w:tcPr>
            <w:tcW w:w="2520" w:type="dxa"/>
            <w:vAlign w:val="center"/>
            <w:tcMar>
              <w:top w:w="80" w:type="dxa"/>
              <w:start w:w="120" w:type="dxa"/>
              <w:bottom w:w="80" w:type="dxa"/>
              <w:end w:w="120" w:type="dxa"/>
            </w:tcMar>
          </w:tcPr>
          <w:p>
            <w:pPr>
              <w:spacing w:after="0" w:before="0" w:line="240" w:lineRule="auto"/>
            </w:pPr>
            <w:r>
              <w:rPr>
                <w:sz w:val="12"/>
              </w:rPr>
              <w:t>CUDA/Metal hybrid; float32 smoke-tested</w:t>
            </w:r>
          </w:p>
        </w:tc>
      </w:tr>
      <w:tr>
        <w:tc>
          <w:tcPr>
            <w:tcW w:w="1750" w:type="dxa"/>
            <w:vAlign w:val="center"/>
            <w:tcMar>
              <w:top w:w="80" w:type="dxa"/>
              <w:start w:w="120" w:type="dxa"/>
              <w:bottom w:w="80" w:type="dxa"/>
              <w:end w:w="120" w:type="dxa"/>
            </w:tcMar>
          </w:tcPr>
          <w:p>
            <w:pPr>
              <w:spacing w:after="0" w:before="0" w:line="240" w:lineRule="auto"/>
            </w:pPr>
            <w:r>
              <w:rPr>
                <w:sz w:val="12"/>
              </w:rPr>
              <w:t>OPLS filter</w:t>
            </w:r>
          </w:p>
        </w:tc>
        <w:tc>
          <w:tcPr>
            <w:tcW w:w="1969" w:type="dxa"/>
            <w:vAlign w:val="center"/>
            <w:tcMar>
              <w:top w:w="80" w:type="dxa"/>
              <w:start w:w="120" w:type="dxa"/>
              <w:bottom w:w="80" w:type="dxa"/>
              <w:end w:w="120" w:type="dxa"/>
            </w:tcMar>
          </w:tcPr>
          <w:p>
            <w:pPr>
              <w:spacing w:after="0" w:before="0" w:line="240" w:lineRule="auto"/>
            </w:pPr>
            <w:r>
              <w:rPr>
                <w:sz w:val="12"/>
              </w:rPr>
              <w:t>Compiled C++</w:t>
            </w:r>
          </w:p>
        </w:tc>
        <w:tc>
          <w:tcPr>
            <w:tcW w:w="2516" w:type="dxa"/>
            <w:vAlign w:val="center"/>
            <w:tcMar>
              <w:top w:w="80" w:type="dxa"/>
              <w:start w:w="120" w:type="dxa"/>
              <w:bottom w:w="80" w:type="dxa"/>
              <w:end w:w="120" w:type="dxa"/>
            </w:tcMar>
          </w:tcPr>
          <w:p>
            <w:pPr>
              <w:spacing w:after="0" w:before="0" w:line="240" w:lineRule="auto"/>
            </w:pPr>
            <w:r>
              <w:rPr>
                <w:sz w:val="12"/>
              </w:rPr>
              <w:t>Host filter + CUDA core</w:t>
            </w:r>
          </w:p>
        </w:tc>
        <w:tc>
          <w:tcPr>
            <w:tcW w:w="2189" w:type="dxa"/>
            <w:vAlign w:val="center"/>
            <w:tcMar>
              <w:top w:w="80" w:type="dxa"/>
              <w:start w:w="120" w:type="dxa"/>
              <w:bottom w:w="80" w:type="dxa"/>
              <w:end w:w="120" w:type="dxa"/>
            </w:tcMar>
          </w:tcPr>
          <w:p>
            <w:pPr>
              <w:spacing w:after="0" w:before="0" w:line="240" w:lineRule="auto"/>
            </w:pPr>
            <w:r>
              <w:rPr>
                <w:sz w:val="12"/>
              </w:rPr>
              <w:t>Host filter + MPS core</w:t>
            </w:r>
          </w:p>
        </w:tc>
        <w:tc>
          <w:tcPr>
            <w:tcW w:w="2520" w:type="dxa"/>
            <w:vAlign w:val="center"/>
            <w:tcMar>
              <w:top w:w="80" w:type="dxa"/>
              <w:start w:w="120" w:type="dxa"/>
              <w:bottom w:w="80" w:type="dxa"/>
              <w:end w:w="120" w:type="dxa"/>
            </w:tcMar>
          </w:tcPr>
          <w:p>
            <w:pPr>
              <w:spacing w:after="0" w:before="0" w:line="240" w:lineRule="auto"/>
            </w:pPr>
            <w:r>
              <w:rPr>
                <w:sz w:val="12"/>
              </w:rPr>
              <w:t>Hybrid; float32 smoke-tested</w:t>
            </w:r>
          </w:p>
        </w:tc>
      </w:tr>
      <w:tr>
        <w:tc>
          <w:tcPr>
            <w:tcW w:w="1750" w:type="dxa"/>
            <w:vAlign w:val="center"/>
            <w:tcMar>
              <w:top w:w="80" w:type="dxa"/>
              <w:start w:w="120" w:type="dxa"/>
              <w:bottom w:w="80" w:type="dxa"/>
              <w:end w:w="120" w:type="dxa"/>
            </w:tcMar>
          </w:tcPr>
          <w:p>
            <w:pPr>
              <w:spacing w:after="0" w:before="0" w:line="240" w:lineRule="auto"/>
            </w:pPr>
            <w:r>
              <w:rPr>
                <w:sz w:val="12"/>
              </w:rPr>
              <w:t>Kernel PLS</w:t>
            </w:r>
          </w:p>
        </w:tc>
        <w:tc>
          <w:tcPr>
            <w:tcW w:w="1969" w:type="dxa"/>
            <w:vAlign w:val="center"/>
            <w:tcMar>
              <w:top w:w="80" w:type="dxa"/>
              <w:start w:w="120" w:type="dxa"/>
              <w:bottom w:w="80" w:type="dxa"/>
              <w:end w:w="120" w:type="dxa"/>
            </w:tcMar>
          </w:tcPr>
          <w:p>
            <w:pPr>
              <w:spacing w:after="0" w:before="0" w:line="240" w:lineRule="auto"/>
            </w:pPr>
            <w:r>
              <w:rPr>
                <w:sz w:val="12"/>
              </w:rPr>
              <w:t>Host kernel + C++ core</w:t>
            </w:r>
          </w:p>
        </w:tc>
        <w:tc>
          <w:tcPr>
            <w:tcW w:w="2516" w:type="dxa"/>
            <w:vAlign w:val="center"/>
            <w:tcMar>
              <w:top w:w="80" w:type="dxa"/>
              <w:start w:w="120" w:type="dxa"/>
              <w:bottom w:w="80" w:type="dxa"/>
              <w:end w:w="120" w:type="dxa"/>
            </w:tcMar>
          </w:tcPr>
          <w:p>
            <w:pPr>
              <w:spacing w:after="0" w:before="0" w:line="240" w:lineRule="auto"/>
            </w:pPr>
            <w:r>
              <w:rPr>
                <w:sz w:val="12"/>
              </w:rPr>
              <w:t>Host nonlinear Gram + CUDA core</w:t>
            </w:r>
          </w:p>
        </w:tc>
        <w:tc>
          <w:tcPr>
            <w:tcW w:w="2189" w:type="dxa"/>
            <w:vAlign w:val="center"/>
            <w:tcMar>
              <w:top w:w="80" w:type="dxa"/>
              <w:start w:w="120" w:type="dxa"/>
              <w:bottom w:w="80" w:type="dxa"/>
              <w:end w:w="120" w:type="dxa"/>
            </w:tcMar>
          </w:tcPr>
          <w:p>
            <w:pPr>
              <w:spacing w:after="0" w:before="0" w:line="240" w:lineRule="auto"/>
            </w:pPr>
            <w:r>
              <w:rPr>
                <w:sz w:val="12"/>
              </w:rPr>
              <w:t>Host nonlinear Gram + MPS core</w:t>
            </w:r>
          </w:p>
        </w:tc>
        <w:tc>
          <w:tcPr>
            <w:tcW w:w="2520" w:type="dxa"/>
            <w:vAlign w:val="center"/>
            <w:tcMar>
              <w:top w:w="80" w:type="dxa"/>
              <w:start w:w="120" w:type="dxa"/>
              <w:bottom w:w="80" w:type="dxa"/>
              <w:end w:w="120" w:type="dxa"/>
            </w:tcMar>
          </w:tcPr>
          <w:p>
            <w:pPr>
              <w:spacing w:after="0" w:before="0" w:line="240" w:lineRule="auto"/>
            </w:pPr>
            <w:r>
              <w:rPr>
                <w:sz w:val="12"/>
              </w:rPr>
              <w:t>Nonlinear K is O(n²); hybrid</w:t>
            </w:r>
          </w:p>
        </w:tc>
      </w:tr>
      <w:tr>
        <w:tc>
          <w:tcPr>
            <w:tcW w:w="1750" w:type="dxa"/>
            <w:vAlign w:val="center"/>
            <w:tcMar>
              <w:top w:w="80" w:type="dxa"/>
              <w:start w:w="120" w:type="dxa"/>
              <w:bottom w:w="80" w:type="dxa"/>
              <w:end w:w="120" w:type="dxa"/>
            </w:tcMar>
          </w:tcPr>
          <w:p>
            <w:pPr>
              <w:spacing w:after="0" w:before="0" w:line="240" w:lineRule="auto"/>
            </w:pPr>
            <w:r>
              <w:rPr>
                <w:sz w:val="12"/>
              </w:rPr>
              <w:t>Prediction</w:t>
            </w:r>
          </w:p>
        </w:tc>
        <w:tc>
          <w:tcPr>
            <w:tcW w:w="1969" w:type="dxa"/>
            <w:vAlign w:val="center"/>
            <w:tcMar>
              <w:top w:w="80" w:type="dxa"/>
              <w:start w:w="120" w:type="dxa"/>
              <w:bottom w:w="80" w:type="dxa"/>
              <w:end w:w="120" w:type="dxa"/>
            </w:tcMar>
          </w:tcPr>
          <w:p>
            <w:pPr>
              <w:spacing w:after="0" w:before="0" w:line="240" w:lineRule="auto"/>
            </w:pPr>
            <w:r>
              <w:rPr>
                <w:sz w:val="12"/>
              </w:rPr>
              <w:t>Compiled projection</w:t>
            </w:r>
          </w:p>
        </w:tc>
        <w:tc>
          <w:tcPr>
            <w:tcW w:w="2516" w:type="dxa"/>
            <w:vAlign w:val="center"/>
            <w:tcMar>
              <w:top w:w="80" w:type="dxa"/>
              <w:start w:w="120" w:type="dxa"/>
              <w:bottom w:w="80" w:type="dxa"/>
              <w:end w:w="120" w:type="dxa"/>
            </w:tcMar>
          </w:tcPr>
          <w:p>
            <w:pPr>
              <w:spacing w:after="0" w:before="0" w:line="240" w:lineRule="auto"/>
            </w:pPr>
            <w:r>
              <w:rPr>
                <w:sz w:val="12"/>
              </w:rPr>
              <w:t>CUDA projection; host model/result I/O</w:t>
            </w:r>
          </w:p>
        </w:tc>
        <w:tc>
          <w:tcPr>
            <w:tcW w:w="2189" w:type="dxa"/>
            <w:vAlign w:val="center"/>
            <w:tcMar>
              <w:top w:w="80" w:type="dxa"/>
              <w:start w:w="120" w:type="dxa"/>
              <w:bottom w:w="80" w:type="dxa"/>
              <w:end w:w="120" w:type="dxa"/>
            </w:tcMar>
          </w:tcPr>
          <w:p>
            <w:pPr>
              <w:spacing w:after="0" w:before="0" w:line="240" w:lineRule="auto"/>
            </w:pPr>
            <w:r>
              <w:rPr>
                <w:sz w:val="12"/>
              </w:rPr>
              <w:t>MPS projection; host post-processing</w:t>
            </w:r>
          </w:p>
        </w:tc>
        <w:tc>
          <w:tcPr>
            <w:tcW w:w="2520" w:type="dxa"/>
            <w:vAlign w:val="center"/>
            <w:tcMar>
              <w:top w:w="80" w:type="dxa"/>
              <w:start w:w="120" w:type="dxa"/>
              <w:bottom w:w="80" w:type="dxa"/>
              <w:end w:w="120" w:type="dxa"/>
            </w:tcMar>
          </w:tcPr>
          <w:p>
            <w:pPr>
              <w:spacing w:after="0" w:before="0" w:line="240" w:lineRule="auto"/>
            </w:pPr>
            <w:r>
              <w:rPr>
                <w:sz w:val="12"/>
              </w:rPr>
              <w:t>Transfers remain part of execution</w:t>
            </w:r>
          </w:p>
        </w:tc>
      </w:tr>
      <w:tr>
        <w:tc>
          <w:tcPr>
            <w:tcW w:w="1750" w:type="dxa"/>
            <w:vAlign w:val="center"/>
            <w:tcMar>
              <w:top w:w="80" w:type="dxa"/>
              <w:start w:w="120" w:type="dxa"/>
              <w:bottom w:w="80" w:type="dxa"/>
              <w:end w:w="120" w:type="dxa"/>
            </w:tcMar>
          </w:tcPr>
          <w:p>
            <w:pPr>
              <w:spacing w:after="0" w:before="0" w:line="240" w:lineRule="auto"/>
            </w:pPr>
            <w:r>
              <w:rPr>
                <w:sz w:val="12"/>
              </w:rPr>
              <w:t>LDA</w:t>
            </w:r>
          </w:p>
        </w:tc>
        <w:tc>
          <w:tcPr>
            <w:tcW w:w="1969" w:type="dxa"/>
            <w:vAlign w:val="center"/>
            <w:tcMar>
              <w:top w:w="80" w:type="dxa"/>
              <w:start w:w="120" w:type="dxa"/>
              <w:bottom w:w="80" w:type="dxa"/>
              <w:end w:w="120" w:type="dxa"/>
            </w:tcMar>
          </w:tcPr>
          <w:p>
            <w:pPr>
              <w:spacing w:after="0" w:before="0" w:line="240" w:lineRule="auto"/>
            </w:pPr>
            <w:r>
              <w:rPr>
                <w:sz w:val="12"/>
              </w:rPr>
              <w:t>Compiled covariance/Cholesky</w:t>
            </w:r>
          </w:p>
        </w:tc>
        <w:tc>
          <w:tcPr>
            <w:tcW w:w="2516" w:type="dxa"/>
            <w:vAlign w:val="center"/>
            <w:tcMar>
              <w:top w:w="80" w:type="dxa"/>
              <w:start w:w="120" w:type="dxa"/>
              <w:bottom w:w="80" w:type="dxa"/>
              <w:end w:w="120" w:type="dxa"/>
            </w:tcMar>
          </w:tcPr>
          <w:p>
            <w:pPr>
              <w:spacing w:after="0" w:before="0" w:line="240" w:lineRule="auto"/>
            </w:pPr>
            <w:r>
              <w:rPr>
                <w:sz w:val="12"/>
              </w:rPr>
              <w:t>GPU moments/solve/score</w:t>
            </w:r>
          </w:p>
        </w:tc>
        <w:tc>
          <w:tcPr>
            <w:tcW w:w="2189" w:type="dxa"/>
            <w:vAlign w:val="center"/>
            <w:tcMar>
              <w:top w:w="80" w:type="dxa"/>
              <w:start w:w="120" w:type="dxa"/>
              <w:bottom w:w="80" w:type="dxa"/>
              <w:end w:w="120" w:type="dxa"/>
            </w:tcMar>
          </w:tcPr>
          <w:p>
            <w:pPr>
              <w:spacing w:after="0" w:before="0" w:line="240" w:lineRule="auto"/>
            </w:pPr>
            <w:r>
              <w:rPr>
                <w:sz w:val="12"/>
              </w:rPr>
              <w:t>MPS projection + host solve</w:t>
            </w:r>
          </w:p>
        </w:tc>
        <w:tc>
          <w:tcPr>
            <w:tcW w:w="2520" w:type="dxa"/>
            <w:vAlign w:val="center"/>
            <w:tcMar>
              <w:top w:w="80" w:type="dxa"/>
              <w:start w:w="120" w:type="dxa"/>
              <w:bottom w:w="80" w:type="dxa"/>
              <w:end w:w="120" w:type="dxa"/>
            </w:tcMar>
          </w:tcPr>
          <w:p>
            <w:pPr>
              <w:spacing w:after="0" w:before="0" w:line="240" w:lineRule="auto"/>
            </w:pPr>
            <w:r>
              <w:rPr>
                <w:sz w:val="12"/>
              </w:rPr>
              <w:t>float32 CPU/CUDA agreement verified</w:t>
            </w:r>
          </w:p>
        </w:tc>
      </w:tr>
      <w:tr>
        <w:tc>
          <w:tcPr>
            <w:tcW w:w="1750" w:type="dxa"/>
            <w:vAlign w:val="center"/>
            <w:tcMar>
              <w:top w:w="80" w:type="dxa"/>
              <w:start w:w="120" w:type="dxa"/>
              <w:bottom w:w="80" w:type="dxa"/>
              <w:end w:w="120" w:type="dxa"/>
            </w:tcMar>
          </w:tcPr>
          <w:p>
            <w:pPr>
              <w:spacing w:after="0" w:before="0" w:line="240" w:lineRule="auto"/>
            </w:pPr>
            <w:r>
              <w:rPr>
                <w:sz w:val="12"/>
              </w:rPr>
              <w:t>10-fold CV</w:t>
            </w:r>
          </w:p>
        </w:tc>
        <w:tc>
          <w:tcPr>
            <w:tcW w:w="1969" w:type="dxa"/>
            <w:vAlign w:val="center"/>
            <w:tcMar>
              <w:top w:w="80" w:type="dxa"/>
              <w:start w:w="120" w:type="dxa"/>
              <w:bottom w:w="80" w:type="dxa"/>
              <w:end w:w="120" w:type="dxa"/>
            </w:tcMar>
          </w:tcPr>
          <w:p>
            <w:pPr>
              <w:spacing w:after="0" w:before="0" w:line="240" w:lineRule="auto"/>
            </w:pPr>
            <w:r>
              <w:rPr>
                <w:sz w:val="12"/>
              </w:rPr>
              <w:t>Compiled folds/fits/scoring</w:t>
            </w:r>
          </w:p>
        </w:tc>
        <w:tc>
          <w:tcPr>
            <w:tcW w:w="2516" w:type="dxa"/>
            <w:vAlign w:val="center"/>
            <w:tcMar>
              <w:top w:w="80" w:type="dxa"/>
              <w:start w:w="120" w:type="dxa"/>
              <w:bottom w:w="80" w:type="dxa"/>
              <w:end w:w="120" w:type="dxa"/>
            </w:tcMar>
          </w:tcPr>
          <w:p>
            <w:pPr>
              <w:spacing w:after="0" w:before="0" w:line="240" w:lineRule="auto"/>
            </w:pPr>
            <w:r>
              <w:rPr>
                <w:sz w:val="12"/>
              </w:rPr>
              <w:t>Host scheduler + sequential GPU folds</w:t>
            </w:r>
          </w:p>
        </w:tc>
        <w:tc>
          <w:tcPr>
            <w:tcW w:w="2189" w:type="dxa"/>
            <w:vAlign w:val="center"/>
            <w:tcMar>
              <w:top w:w="80" w:type="dxa"/>
              <w:start w:w="120" w:type="dxa"/>
              <w:bottom w:w="80" w:type="dxa"/>
              <w:end w:w="120" w:type="dxa"/>
            </w:tcMar>
          </w:tcPr>
          <w:p>
            <w:pPr>
              <w:spacing w:after="0" w:before="0" w:line="240" w:lineRule="auto"/>
            </w:pPr>
            <w:r>
              <w:rPr>
                <w:sz w:val="12"/>
              </w:rPr>
              <w:t>Compiled/hybrid fold fits</w:t>
            </w:r>
          </w:p>
        </w:tc>
        <w:tc>
          <w:tcPr>
            <w:tcW w:w="2520" w:type="dxa"/>
            <w:vAlign w:val="center"/>
            <w:tcMar>
              <w:top w:w="80" w:type="dxa"/>
              <w:start w:w="120" w:type="dxa"/>
              <w:bottom w:w="80" w:type="dxa"/>
              <w:end w:w="120" w:type="dxa"/>
            </w:tcMar>
          </w:tcPr>
          <w:p>
            <w:pPr>
              <w:spacing w:after="0" w:before="0" w:line="240" w:lineRule="auto"/>
            </w:pPr>
            <w:r>
              <w:rPr>
                <w:sz w:val="12"/>
              </w:rPr>
              <w:t>No R-level refit loop; no concurrent folds</w:t>
            </w:r>
          </w:p>
        </w:tc>
      </w:tr>
      <w:tr>
        <w:tc>
          <w:tcPr>
            <w:tcW w:w="1750" w:type="dxa"/>
            <w:vAlign w:val="center"/>
            <w:tcMar>
              <w:top w:w="80" w:type="dxa"/>
              <w:start w:w="120" w:type="dxa"/>
              <w:bottom w:w="80" w:type="dxa"/>
              <w:end w:w="120" w:type="dxa"/>
            </w:tcMar>
          </w:tcPr>
          <w:p>
            <w:pPr>
              <w:spacing w:after="0" w:before="0" w:line="240" w:lineRule="auto"/>
            </w:pPr>
            <w:r>
              <w:rPr>
                <w:sz w:val="12"/>
              </w:rPr>
              <w:t>Solver dispatch</w:t>
            </w:r>
          </w:p>
        </w:tc>
        <w:tc>
          <w:tcPr>
            <w:tcW w:w="1969" w:type="dxa"/>
            <w:vAlign w:val="center"/>
            <w:tcMar>
              <w:top w:w="80" w:type="dxa"/>
              <w:start w:w="120" w:type="dxa"/>
              <w:bottom w:w="80" w:type="dxa"/>
              <w:end w:w="120" w:type="dxa"/>
            </w:tcMar>
          </w:tcPr>
          <w:p>
            <w:pPr>
              <w:spacing w:after="0" w:before="0" w:line="240" w:lineRule="auto"/>
            </w:pPr>
            <w:r>
              <w:rPr>
                <w:sz w:val="12"/>
              </w:rPr>
              <w:t>IRLBA deterministic; rSVD qualified approximate</w:t>
            </w:r>
          </w:p>
        </w:tc>
        <w:tc>
          <w:tcPr>
            <w:tcW w:w="2516" w:type="dxa"/>
            <w:vAlign w:val="center"/>
            <w:tcMar>
              <w:top w:w="80" w:type="dxa"/>
              <w:start w:w="120" w:type="dxa"/>
              <w:bottom w:w="80" w:type="dxa"/>
              <w:end w:w="120" w:type="dxa"/>
            </w:tcMar>
          </w:tcPr>
          <w:p>
            <w:pPr>
              <w:spacing w:after="0" w:before="0" w:line="240" w:lineRule="auto"/>
            </w:pPr>
            <w:r>
              <w:rPr>
                <w:sz w:val="12"/>
              </w:rPr>
              <w:t>rSVD qualified approximate; IRLBA unavailable</w:t>
            </w:r>
          </w:p>
        </w:tc>
        <w:tc>
          <w:tcPr>
            <w:tcW w:w="2189" w:type="dxa"/>
            <w:vAlign w:val="center"/>
            <w:tcMar>
              <w:top w:w="80" w:type="dxa"/>
              <w:start w:w="120" w:type="dxa"/>
              <w:bottom w:w="80" w:type="dxa"/>
              <w:end w:w="120" w:type="dxa"/>
            </w:tcMar>
          </w:tcPr>
          <w:p>
            <w:pPr>
              <w:spacing w:after="0" w:before="0" w:line="240" w:lineRule="auto"/>
            </w:pPr>
            <w:r>
              <w:rPr>
                <w:sz w:val="12"/>
              </w:rPr>
              <w:t>rSVD experimental/hybrid; IRLBA unavailable</w:t>
            </w:r>
          </w:p>
        </w:tc>
        <w:tc>
          <w:tcPr>
            <w:tcW w:w="2520" w:type="dxa"/>
            <w:vAlign w:val="center"/>
            <w:tcMar>
              <w:top w:w="80" w:type="dxa"/>
              <w:start w:w="120" w:type="dxa"/>
              <w:bottom w:w="80" w:type="dxa"/>
              <w:end w:w="120" w:type="dxa"/>
            </w:tcMar>
          </w:tcPr>
          <w:p>
            <w:pPr>
              <w:spacing w:after="0" w:before="0" w:line="240" w:lineRule="auto"/>
            </w:pPr>
            <w:r>
              <w:rPr>
                <w:sz w:val="12"/>
              </w:rPr>
              <w:t>Unavailable solver/backend combinations stop explicitly</w:t>
            </w:r>
          </w:p>
        </w:tc>
      </w:tr>
      <w:tr>
        <w:tc>
          <w:tcPr>
            <w:tcW w:w="1750" w:type="dxa"/>
            <w:vAlign w:val="center"/>
            <w:tcMar>
              <w:top w:w="80" w:type="dxa"/>
              <w:start w:w="120" w:type="dxa"/>
              <w:bottom w:w="80" w:type="dxa"/>
              <w:end w:w="120" w:type="dxa"/>
            </w:tcMar>
          </w:tcPr>
          <w:p>
            <w:pPr>
              <w:spacing w:after="0" w:before="0" w:line="240" w:lineRule="auto"/>
            </w:pPr>
            <w:r>
              <w:rPr>
                <w:sz w:val="12"/>
              </w:rPr>
              <w:t>Classification heads</w:t>
            </w:r>
          </w:p>
        </w:tc>
        <w:tc>
          <w:tcPr>
            <w:tcW w:w="1969" w:type="dxa"/>
            <w:vAlign w:val="center"/>
            <w:tcMar>
              <w:top w:w="80" w:type="dxa"/>
              <w:start w:w="120" w:type="dxa"/>
              <w:bottom w:w="80" w:type="dxa"/>
              <w:end w:w="120" w:type="dxa"/>
            </w:tcMar>
          </w:tcPr>
          <w:p>
            <w:pPr>
              <w:spacing w:after="0" w:before="0" w:line="240" w:lineRule="auto"/>
            </w:pPr>
            <w:r>
              <w:rPr>
                <w:sz w:val="12"/>
              </w:rPr>
              <w:t>Argmax and compiled LDA</w:t>
            </w:r>
          </w:p>
        </w:tc>
        <w:tc>
          <w:tcPr>
            <w:tcW w:w="2516" w:type="dxa"/>
            <w:vAlign w:val="center"/>
            <w:tcMar>
              <w:top w:w="80" w:type="dxa"/>
              <w:start w:w="120" w:type="dxa"/>
              <w:bottom w:w="80" w:type="dxa"/>
              <w:end w:w="120" w:type="dxa"/>
            </w:tcMar>
          </w:tcPr>
          <w:p>
            <w:pPr>
              <w:spacing w:after="0" w:before="0" w:line="240" w:lineRule="auto"/>
            </w:pPr>
            <w:r>
              <w:rPr>
                <w:sz w:val="12"/>
              </w:rPr>
              <w:t>Argmax and CUDA LDA</w:t>
            </w:r>
          </w:p>
        </w:tc>
        <w:tc>
          <w:tcPr>
            <w:tcW w:w="2189" w:type="dxa"/>
            <w:vAlign w:val="center"/>
            <w:tcMar>
              <w:top w:w="80" w:type="dxa"/>
              <w:start w:w="120" w:type="dxa"/>
              <w:bottom w:w="80" w:type="dxa"/>
              <w:end w:w="120" w:type="dxa"/>
            </w:tcMar>
          </w:tcPr>
          <w:p>
            <w:pPr>
              <w:spacing w:after="0" w:before="0" w:line="240" w:lineRule="auto"/>
            </w:pPr>
            <w:r>
              <w:rPr>
                <w:sz w:val="12"/>
              </w:rPr>
              <w:t>Argmax; Metal projection + CPU LDA</w:t>
            </w:r>
          </w:p>
        </w:tc>
        <w:tc>
          <w:tcPr>
            <w:tcW w:w="2520" w:type="dxa"/>
            <w:vAlign w:val="center"/>
            <w:tcMar>
              <w:top w:w="80" w:type="dxa"/>
              <w:start w:w="120" w:type="dxa"/>
              <w:bottom w:w="80" w:type="dxa"/>
              <w:end w:w="120" w:type="dxa"/>
            </w:tcMar>
          </w:tcPr>
          <w:p>
            <w:pPr>
              <w:spacing w:after="0" w:before="0" w:line="240" w:lineRule="auto"/>
            </w:pPr>
            <w:r>
              <w:rPr>
                <w:sz w:val="12"/>
              </w:rPr>
              <w:t>Metal LDA is hybrid; lda_ridge is deprecated and ignored</w:t>
            </w:r>
          </w:p>
        </w:tc>
      </w:tr>
    </w:tbl>
    <w:p>
      <w:pPr>
        <w:pStyle w:val="BodyText"/>
      </w:pPr>
      <w:r>
        <w:t>The double-precision CPU backend is the broadest reference implementation. Native float32 is selected automatically when input matrices are float::float32 objects and is available for route-specific PLS-SVD, SIMPLS, OPLS, and kernel PLS combinations on supported CPU, CUDA, and Metal builds. Windows now has a portable float-package CPU fallback for rSVD PLS-SVD, SIMPLS, and linear-kernel SIMPLS with argmax; it is not the native compiled single-precision path. Windows float32 OPLS, nonlinear kernel PLS, LDA, CUDA, and Metal combinations stop before fitting instead of silently converting to double.</w:t>
      </w:r>
    </w:p>
    <w:p>
      <w:pPr>
        <w:pStyle w:val="BodyText"/>
      </w:pPr>
      <w:r>
        <w:t>The 0.99.25 namespace explicitly exports pls(), pls.single.cv(), pls.double.cv(), evaluate(), plot.permutation(), ViP(), fastsvd(), fastcor(), fastPLS_backend(), has_cuda(), and has_metal(). Registered predict() and plot() methods use the standard R generics. No PCA function or PCA class method is exported. Public model families are PLS-SVD, SIMPLS, OPLS, and kernel PLS; public classification heads are argmax and LDA. rSVD is the default approximate solver with qualified CPU/CUDA controls, while IRLBA is available only on CPU. The legacy lda_ridge argument is deprecated and ignored: supplying it warns, and it is absent from cross-validation tuning records. LDA instead uses the fixed relative-ridge sequence 10^-8, 10^-6, 10^-5, 10^-4, 10^-3, and 10^-2, advancing only after Cholesky failure.</w:t>
      </w:r>
    </w:p>
    <w:p>
      <w:pPr/>
      <w:r>
        <w:t>Estimator identity is a dispatch invariant. A requested SIMPLS model is fitted with the SIMPLS core on CPU, CUDA, and Metal; the CUDA fused SIMPLS-LDA route supplies the SIMPLS method identifier to the native core and trains LDA from those SIMPLS scores. Label-aware PLS-SVD remains available only through an explicit PLS-SVD request. When the guarded CUDA SIMPLS response representation is too large, execution stops with an informative error instead of replacing the estimator. Benchmark code checks requested against executed estimator identifiers and records an estimator-mismatch error if they differ.</w:t>
      </w:r>
    </w:p>
    <w:bookmarkEnd w:id="22"/>
    <w:bookmarkStart w:id="31" w:name="s2.-numerical-algorithms"/>
    <w:p>
      <w:pPr>
        <w:pStyle w:val="Caption"/>
        <w:keepNext/>
      </w:pPr>
      <w:r>
        <w:t>Table S1a. Feature comparison between the primary deterministic SIMPLS reference and fastPLS. A check indicates that the public route provides the feature; qualifications are stated explicitly.</w:t>
      </w:r>
    </w:p>
    <w:tbl>
      <w:tblPr>
        <w:tblW w:type="dxa" w:w="10944"/>
        <w:jc w:val="center"/>
        <w:tblLayout w:type="fixed"/>
        <w:tblLook w:firstColumn="1" w:firstRow="1" w:lastColumn="0" w:lastRow="0" w:noHBand="0" w:noVBand="1" w:val="04A0"/>
        <w:tblCellMar>
          <w:top w:w="45" w:type="dxa"/>
          <w:start w:w="45" w:type="dxa"/>
          <w:bottom w:w="45" w:type="dxa"/>
          <w:end w:w="45" w:type="dxa"/>
        </w:tblCellMar>
      </w:tblPr>
      <w:tblGrid>
        <w:gridCol w:w="3648"/>
        <w:gridCol w:w="3648"/>
        <w:gridCol w:w="3648"/>
      </w:tblGrid>
      <w:tr>
        <w:trPr>
          <w:tblHeader w:val="true"/>
        </w:trPr>
        <w:tc>
          <w:tcPr>
            <w:tcW w:type="dxa" w:w="3648"/>
            <w:vAlign w:val="center"/>
            <w:shd w:fill="1F4E78"/>
          </w:tcPr>
          <w:p>
            <w:pPr>
              <w:spacing w:before="0" w:after="0" w:line="240" w:lineRule="auto"/>
              <w:jc w:val="center"/>
            </w:pPr>
            <w:r>
              <w:rPr>
                <w:rFonts w:ascii="Arial" w:hAnsi="Arial"/>
                <w:b/>
                <w:color w:val="FFFFFF"/>
                <w:sz w:val="12"/>
              </w:rPr>
              <w:t>Feature</w:t>
            </w:r>
          </w:p>
        </w:tc>
        <w:tc>
          <w:tcPr>
            <w:tcW w:type="dxa" w:w="3648"/>
            <w:vAlign w:val="center"/>
            <w:shd w:fill="1F4E78"/>
          </w:tcPr>
          <w:p>
            <w:pPr>
              <w:spacing w:before="0" w:after="0" w:line="240" w:lineRule="auto"/>
              <w:jc w:val="left"/>
            </w:pPr>
            <w:r>
              <w:rPr>
                <w:rFonts w:ascii="Arial" w:hAnsi="Arial"/>
                <w:b/>
                <w:color w:val="FFFFFF"/>
                <w:sz w:val="12"/>
              </w:rPr>
              <w:t>pls::simpls.fit</w:t>
            </w:r>
          </w:p>
        </w:tc>
        <w:tc>
          <w:tcPr>
            <w:tcW w:type="dxa" w:w="3648"/>
            <w:vAlign w:val="center"/>
            <w:shd w:fill="1F4E78"/>
          </w:tcPr>
          <w:p>
            <w:pPr>
              <w:spacing w:before="0" w:after="0" w:line="240" w:lineRule="auto"/>
              <w:jc w:val="left"/>
            </w:pPr>
            <w:r>
              <w:rPr>
                <w:rFonts w:ascii="Arial" w:hAnsi="Arial"/>
                <w:b/>
                <w:color w:val="FFFFFF"/>
                <w:sz w:val="12"/>
              </w:rPr>
              <w:t>fastPLS 0.99.25</w:t>
            </w:r>
          </w:p>
        </w:tc>
      </w:tr>
      <w:tr>
        <w:tc>
          <w:tcPr>
            <w:tcW w:type="dxa" w:w="3648"/>
            <w:vAlign w:val="center"/>
          </w:tcPr>
          <w:p>
            <w:pPr>
              <w:spacing w:before="0" w:after="0" w:line="240" w:lineRule="auto"/>
              <w:jc w:val="center"/>
            </w:pPr>
            <w:r>
              <w:rPr>
                <w:rFonts w:ascii="Arial" w:hAnsi="Arial"/>
                <w:sz w:val="12"/>
              </w:rPr>
              <w:t>One fit returns component prefixes</w:t>
            </w:r>
          </w:p>
        </w:tc>
        <w:tc>
          <w:tcPr>
            <w:tcW w:type="dxa" w:w="3648"/>
            <w:vAlign w:val="center"/>
          </w:tcPr>
          <w:p>
            <w:pPr>
              <w:spacing w:before="0" w:after="0" w:line="240" w:lineRule="auto"/>
              <w:jc w:val="left"/>
            </w:pPr>
            <w:r>
              <w:rPr>
                <w:rFonts w:ascii="Arial" w:hAnsi="Arial"/>
                <w:sz w:val="12"/>
              </w:rPr>
              <w:t>Yes</w:t>
            </w:r>
          </w:p>
        </w:tc>
        <w:tc>
          <w:tcPr>
            <w:tcW w:type="dxa" w:w="3648"/>
            <w:vAlign w:val="center"/>
          </w:tcPr>
          <w:p>
            <w:pPr>
              <w:spacing w:before="0" w:after="0" w:line="240" w:lineRule="auto"/>
              <w:jc w:val="left"/>
            </w:pPr>
            <w:r>
              <w:rPr>
                <w:rFonts w:ascii="Arial" w:hAnsi="Arial"/>
                <w:sz w:val="12"/>
              </w:rPr>
              <w:t>Yes; not claimed as novel</w:t>
            </w:r>
          </w:p>
        </w:tc>
      </w:tr>
      <w:tr>
        <w:tc>
          <w:tcPr>
            <w:tcW w:type="dxa" w:w="3648"/>
            <w:vAlign w:val="center"/>
            <w:shd w:fill="EAF2F8"/>
          </w:tcPr>
          <w:p>
            <w:pPr>
              <w:spacing w:before="0" w:after="0" w:line="240" w:lineRule="auto"/>
              <w:jc w:val="center"/>
            </w:pPr>
            <w:r>
              <w:rPr>
                <w:rFonts w:ascii="Arial" w:hAnsi="Arial"/>
                <w:sz w:val="12"/>
              </w:rPr>
              <w:t>Minimum-output fit</w:t>
            </w:r>
          </w:p>
        </w:tc>
        <w:tc>
          <w:tcPr>
            <w:tcW w:type="dxa" w:w="3648"/>
            <w:vAlign w:val="center"/>
            <w:shd w:fill="EAF2F8"/>
          </w:tcPr>
          <w:p>
            <w:pPr>
              <w:spacing w:before="0" w:after="0" w:line="240" w:lineRule="auto"/>
              <w:jc w:val="left"/>
            </w:pPr>
            <w:r>
              <w:rPr>
                <w:rFonts w:ascii="Arial" w:hAnsi="Arial"/>
                <w:sz w:val="12"/>
              </w:rPr>
              <w:t>stripped mode retains coefficients</w:t>
            </w:r>
          </w:p>
        </w:tc>
        <w:tc>
          <w:tcPr>
            <w:tcW w:type="dxa" w:w="3648"/>
            <w:vAlign w:val="center"/>
            <w:shd w:fill="EAF2F8"/>
          </w:tcPr>
          <w:p>
            <w:pPr>
              <w:spacing w:before="0" w:after="0" w:line="240" w:lineRule="auto"/>
              <w:jc w:val="left"/>
            </w:pPr>
            <w:r>
              <w:rPr>
                <w:rFonts w:ascii="Arial" w:hAnsi="Arial"/>
                <w:sz w:val="12"/>
              </w:rPr>
              <w:t>Optional suppression of scores, loadings, fitted values, and variance summaries</w:t>
            </w:r>
          </w:p>
        </w:tc>
      </w:tr>
      <w:tr>
        <w:tc>
          <w:tcPr>
            <w:tcW w:type="dxa" w:w="3648"/>
            <w:vAlign w:val="center"/>
          </w:tcPr>
          <w:p>
            <w:pPr>
              <w:spacing w:before="0" w:after="0" w:line="240" w:lineRule="auto"/>
              <w:jc w:val="center"/>
            </w:pPr>
            <w:r>
              <w:rPr>
                <w:rFonts w:ascii="Arial" w:hAnsi="Arial"/>
                <w:sz w:val="12"/>
              </w:rPr>
              <w:t>Compact latent prediction</w:t>
            </w:r>
          </w:p>
        </w:tc>
        <w:tc>
          <w:tcPr>
            <w:tcW w:type="dxa" w:w="3648"/>
            <w:vAlign w:val="center"/>
          </w:tcPr>
          <w:p>
            <w:pPr>
              <w:spacing w:before="0" w:after="0" w:line="240" w:lineRule="auto"/>
              <w:jc w:val="left"/>
            </w:pPr>
            <w:r>
              <w:rPr>
                <w:rFonts w:ascii="Arial" w:hAnsi="Arial"/>
                <w:sz w:val="12"/>
              </w:rPr>
              <w:t>No documented compact latent model</w:t>
            </w:r>
          </w:p>
        </w:tc>
        <w:tc>
          <w:tcPr>
            <w:tcW w:type="dxa" w:w="3648"/>
            <w:vAlign w:val="center"/>
          </w:tcPr>
          <w:p>
            <w:pPr>
              <w:spacing w:before="0" w:after="0" w:line="240" w:lineRule="auto"/>
              <w:jc w:val="left"/>
            </w:pPr>
            <w:r>
              <w:rPr>
                <w:rFonts w:ascii="Arial" w:hAnsi="Arial"/>
                <w:sz w:val="12"/>
              </w:rPr>
              <w:t>Yes; blocked prediction without a dense coefficient/prediction path</w:t>
            </w:r>
          </w:p>
        </w:tc>
      </w:tr>
      <w:tr>
        <w:tc>
          <w:tcPr>
            <w:tcW w:type="dxa" w:w="3648"/>
            <w:vAlign w:val="center"/>
            <w:shd w:fill="EAF2F8"/>
          </w:tcPr>
          <w:p>
            <w:pPr>
              <w:spacing w:before="0" w:after="0" w:line="240" w:lineRule="auto"/>
              <w:jc w:val="center"/>
            </w:pPr>
            <w:r>
              <w:rPr>
                <w:rFonts w:ascii="Arial" w:hAnsi="Arial"/>
                <w:sz w:val="12"/>
              </w:rPr>
              <w:t>Implicit XᵀY operator</w:t>
            </w:r>
          </w:p>
        </w:tc>
        <w:tc>
          <w:tcPr>
            <w:tcW w:type="dxa" w:w="3648"/>
            <w:vAlign w:val="center"/>
            <w:shd w:fill="EAF2F8"/>
          </w:tcPr>
          <w:p>
            <w:pPr>
              <w:spacing w:before="0" w:after="0" w:line="240" w:lineRule="auto"/>
              <w:jc w:val="left"/>
            </w:pPr>
            <w:r>
              <w:rPr>
                <w:rFonts w:ascii="Arial" w:hAnsi="Arial"/>
                <w:sz w:val="12"/>
              </w:rPr>
              <w:t>No</w:t>
            </w:r>
          </w:p>
        </w:tc>
        <w:tc>
          <w:tcPr>
            <w:tcW w:type="dxa" w:w="3648"/>
            <w:vAlign w:val="center"/>
            <w:shd w:fill="EAF2F8"/>
          </w:tcPr>
          <w:p>
            <w:r>
              <w:t>Yes; optional and primarily memory-oriented</w:t>
            </w:r>
          </w:p>
        </w:tc>
      </w:tr>
      <w:tr>
        <w:tc>
          <w:tcPr>
            <w:tcW w:type="dxa" w:w="3648"/>
            <w:vAlign w:val="center"/>
          </w:tcPr>
          <w:p>
            <w:pPr>
              <w:spacing w:before="0" w:after="0" w:line="240" w:lineRule="auto"/>
              <w:jc w:val="center"/>
            </w:pPr>
            <w:r>
              <w:rPr>
                <w:rFonts w:ascii="Arial" w:hAnsi="Arial"/>
                <w:sz w:val="12"/>
              </w:rPr>
              <w:t>Truncated solvers</w:t>
            </w:r>
          </w:p>
        </w:tc>
        <w:tc>
          <w:tcPr>
            <w:tcW w:type="dxa" w:w="3648"/>
            <w:vAlign w:val="center"/>
          </w:tcPr>
          <w:p>
            <w:pPr>
              <w:spacing w:before="0" w:after="0" w:line="240" w:lineRule="auto"/>
              <w:jc w:val="left"/>
            </w:pPr>
            <w:r>
              <w:rPr>
                <w:rFonts w:ascii="Arial" w:hAnsi="Arial"/>
                <w:sz w:val="12"/>
              </w:rPr>
              <w:t>Reference SIMPLS direction calculation</w:t>
            </w:r>
          </w:p>
        </w:tc>
        <w:tc>
          <w:tcPr>
            <w:tcW w:type="dxa" w:w="3648"/>
            <w:vAlign w:val="center"/>
          </w:tcPr>
          <w:p>
            <w:pPr>
              <w:spacing w:before="0" w:after="0" w:line="240" w:lineRule="auto"/>
              <w:jc w:val="left"/>
            </w:pPr>
            <w:r>
              <w:rPr>
                <w:rFonts w:ascii="Arial" w:hAnsi="Arial"/>
                <w:sz w:val="12"/>
              </w:rPr>
              <w:t>Fixed-control CPU IRLBA or approximate rSVD</w:t>
            </w:r>
          </w:p>
        </w:tc>
      </w:tr>
      <w:tr>
        <w:tc>
          <w:tcPr>
            <w:tcW w:type="dxa" w:w="3648"/>
            <w:vAlign w:val="center"/>
            <w:shd w:fill="EAF2F8"/>
          </w:tcPr>
          <w:p>
            <w:pPr>
              <w:spacing w:before="0" w:after="0" w:line="240" w:lineRule="auto"/>
              <w:jc w:val="center"/>
            </w:pPr>
            <w:r>
              <w:rPr>
                <w:rFonts w:ascii="Arial" w:hAnsi="Arial"/>
                <w:sz w:val="12"/>
              </w:rPr>
              <w:t>Accelerator routes</w:t>
            </w:r>
          </w:p>
        </w:tc>
        <w:tc>
          <w:tcPr>
            <w:tcW w:type="dxa" w:w="3648"/>
            <w:vAlign w:val="center"/>
            <w:shd w:fill="EAF2F8"/>
          </w:tcPr>
          <w:p>
            <w:pPr>
              <w:spacing w:before="0" w:after="0" w:line="240" w:lineRule="auto"/>
              <w:jc w:val="left"/>
            </w:pPr>
            <w:r>
              <w:rPr>
                <w:rFonts w:ascii="Arial" w:hAnsi="Arial"/>
                <w:sz w:val="12"/>
              </w:rPr>
              <w:t>No native CUDA/Metal route</w:t>
            </w:r>
          </w:p>
        </w:tc>
        <w:tc>
          <w:tcPr>
            <w:tcW w:type="dxa" w:w="3648"/>
            <w:vAlign w:val="center"/>
            <w:shd w:fill="EAF2F8"/>
          </w:tcPr>
          <w:p>
            <w:pPr>
              <w:spacing w:before="0" w:after="0" w:line="240" w:lineRule="auto"/>
              <w:jc w:val="left"/>
            </w:pPr>
            <w:r>
              <w:rPr>
                <w:rFonts w:ascii="Arial" w:hAnsi="Arial"/>
                <w:sz w:val="12"/>
              </w:rPr>
              <w:t>Route-specific CUDA and Metal; hybrid/experimental status remains explicit</w:t>
            </w:r>
          </w:p>
        </w:tc>
      </w:tr>
    </w:tbl>
    <w:p>
      <w:pPr>
        <w:pStyle w:val="Heading1"/>
      </w:pPr>
      <w:r>
        <w:rPr>
          <w:rFonts w:ascii="Times New Roman" w:hAnsi="Times New Roman" w:eastAsia="Times New Roman"/>
        </w:rPr>
        <w:t>S2. Numerical algorithms</w:t>
      </w:r>
    </w:p>
    <w:p>
      <w:pPr>
        <w:pStyle w:val="BodyText"/>
        <w:keepLines/>
      </w:pPr>
      <w:r>
        <w:t>Notation follows the main text: a indexes the current latent component, A is the retained component count, K is the number of cross-validation folds, and r is the target rank of an SVD calculation. Lowercase k is used only for retrieval or evaluation cutoffs, such as nearest-neighbour neighbourhood size and top-k accuracy, and never for PLS component indexing. The public R argument ncomp supplies A.</w:t>
      </w:r>
    </w:p>
    <w:bookmarkStart w:id="23" w:name="s2.1-pls-svd"/>
    <w:p>
      <w:pPr>
        <w:pStyle w:val="Heading2"/>
      </w:pPr>
      <w:r>
        <w:rPr>
          <w:rFonts w:ascii="Times New Roman" w:hAnsi="Times New Roman" w:eastAsia="Times New Roman"/>
        </w:rPr>
        <w:t>S2.1 PLS-SVD</w:t>
      </w:r>
    </w:p>
    <w:p>
      <w:pPr>
        <w:pStyle w:val="FirstParagraph"/>
      </w:pPr>
      <w:r>
        <w:rPr>
          <w:rFonts w:ascii="Times New Roman" w:hAnsi="Times New Roman" w:eastAsia="Times New Roman"/>
          <w:sz w:val="24"/>
        </w:rPr>
        <w:t>Let centred predictor and response matrices be</w:t>
      </w:r>
      <w:r>
        <w:rPr>
          <w:rFonts w:ascii="Times New Roman" w:hAnsi="Times New Roman" w:eastAsia="Times New Roman"/>
          <w:sz w:val="24"/>
        </w:rPr>
        <w:t xml:space="preserve"> </w:t>
      </w:r>
      <m:oMath>
        <m:r>
          <m:t>X</m:t>
        </m:r>
        <m:r>
          <m:rPr>
            <m:sty m:val="p"/>
          </m:rPr>
          <m:t>∈</m:t>
        </m:r>
        <m:sSup>
          <m:e>
            <m:r>
              <m:rPr>
                <m:sty m:val="p"/>
                <m:scr m:val="double-struck"/>
              </m:rPr>
              <m:t>R</m:t>
            </m:r>
          </m:e>
          <m:sup>
            <m:r>
              <m:t>n</m:t>
            </m:r>
            <m:r>
              <m:rPr>
                <m:sty m:val="p"/>
              </m:rPr>
              <m:t>×</m:t>
            </m:r>
            <m:r>
              <m:t>p</m:t>
            </m:r>
          </m:sup>
        </m:sSup>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r>
          <m:t>Y</m:t>
        </m:r>
        <m:r>
          <m:rPr>
            <m:sty m:val="p"/>
          </m:rPr>
          <m:t>∈</m:t>
        </m:r>
        <m:sSup>
          <m:e>
            <m:r>
              <m:rPr>
                <m:sty m:val="p"/>
                <m:scr m:val="double-struck"/>
              </m:rPr>
              <m:t>R</m:t>
            </m:r>
          </m:e>
          <m:sup>
            <m:r>
              <m:t>n</m:t>
            </m:r>
            <m:r>
              <m:rPr>
                <m:sty m:val="p"/>
              </m:rPr>
              <m:t>×</m:t>
            </m:r>
            <m:r>
              <m:t>q</m:t>
            </m:r>
          </m:sup>
        </m:sSup>
      </m:oMath>
      <w:r>
        <w:rPr>
          <w:rFonts w:ascii="Times New Roman" w:hAnsi="Times New Roman" w:eastAsia="Times New Roman"/>
          <w:sz w:val="24"/>
        </w:rPr>
        <w:t>. PLS-SVD computes dominant singular directions of</w:t>
      </w:r>
    </w:p>
    <w:p>
      <w:pPr>
        <w:pStyle w:val="BodyText"/>
      </w:pPr>
      <m:oMathPara>
        <m:oMathParaPr>
          <m:jc m:val="center"/>
        </m:oMathParaPr>
        <m:oMath>
          <m:r>
            <m:t>S</m:t>
          </m:r>
          <m:r>
            <m:rPr>
              <m:sty m:val="p"/>
            </m:rPr>
            <m:t>=</m:t>
          </m:r>
          <m:sSup>
            <m:e>
              <m:r>
                <m:t>X</m:t>
              </m:r>
            </m:e>
            <m:sup>
              <m:r>
                <m:rPr>
                  <m:sty m:val="p"/>
                </m:rPr>
                <m:t>⊤</m:t>
              </m:r>
            </m:sup>
          </m:sSup>
          <m:r>
            <m:t>Y</m:t>
          </m:r>
          <m:r>
            <m:rPr>
              <m:sty m:val="p"/>
            </m:rPr>
            <m:t>.</m:t>
          </m:r>
        </m:oMath>
      </m:oMathPara>
    </w:p>
    <w:p>
      <w:pPr>
        <w:pStyle w:val="FirstParagraph"/>
      </w:pPr>
      <w:r>
        <w:rPr>
          <w:rFonts w:ascii="Times New Roman" w:hAnsi="Times New Roman" w:eastAsia="Times New Roman"/>
          <w:sz w:val="24"/>
        </w:rPr>
        <w:t>The decomposition is requested once at the maximum valid component count. Prefixes are reused to produce all component numbers requested by the user. The maximum effective rank is bounded by</w:t>
      </w:r>
      <w:r>
        <w:rPr>
          <w:rFonts w:ascii="Times New Roman" w:hAnsi="Times New Roman" w:eastAsia="Times New Roman"/>
          <w:sz w:val="24"/>
        </w:rPr>
        <w:t xml:space="preserve"> </w:t>
      </w:r>
      <m:oMath>
        <m:r>
          <m:rPr>
            <m:sty m:val="p"/>
          </m:rPr>
          <m:t>min</m:t>
        </m:r>
        <m:r>
          <m:rPr>
            <m:sty m:val="p"/>
          </m:rPr>
          <m:t>{</m:t>
        </m:r>
        <m:r>
          <m:rPr>
            <m:sty m:val="p"/>
          </m:rPr>
          <m:t>rank</m:t>
        </m:r>
        <m:d>
          <m:dPr>
            <m:begChr m:val="("/>
            <m:endChr m:val=")"/>
            <m:sepChr m:val=""/>
            <m:grow/>
          </m:dPr>
          <m:e>
            <m:r>
              <m:t>X</m:t>
            </m:r>
          </m:e>
        </m:d>
        <m:r>
          <m:rPr>
            <m:sty m:val="p"/>
          </m:rPr>
          <m:t>,</m:t>
        </m:r>
        <m:r>
          <m:rPr>
            <m:sty m:val="p"/>
          </m:rPr>
          <m:t>rank</m:t>
        </m:r>
        <m:d>
          <m:dPr>
            <m:begChr m:val="("/>
            <m:endChr m:val=")"/>
            <m:sepChr m:val=""/>
            <m:grow/>
          </m:dPr>
          <m:e>
            <m:r>
              <m:t>Y</m:t>
            </m:r>
          </m:e>
        </m:d>
        <m:r>
          <m:rPr>
            <m:sty m:val="p"/>
          </m:rPr>
          <m:t>}</m:t>
        </m:r>
      </m:oMath>
      <w:r>
        <w:rPr>
          <w:rFonts w:ascii="Times New Roman" w:hAnsi="Times New Roman" w:eastAsia="Times New Roman"/>
          <w:sz w:val="24"/>
        </w:rPr>
        <w:t xml:space="preserve"> </w:t>
      </w:r>
      <w:r>
        <w:rPr>
          <w:rFonts w:ascii="Times New Roman" w:hAnsi="Times New Roman" w:eastAsia="Times New Roman"/>
          <w:sz w:val="24"/>
        </w:rPr>
        <w:t>and by the numerical rank of</w:t>
      </w:r>
      <w:r>
        <w:rPr>
          <w:rFonts w:ascii="Times New Roman" w:hAnsi="Times New Roman" w:eastAsia="Times New Roman"/>
          <w:sz w:val="24"/>
        </w:rPr>
        <w:t xml:space="preserve"> </w:t>
      </w:r>
      <m:oMath>
        <m:r>
          <m:t>S</m:t>
        </m:r>
      </m:oMath>
      <w:r>
        <w:rPr>
          <w:rFonts w:ascii="Times New Roman" w:hAnsi="Times New Roman" w:eastAsia="Times New Roman"/>
          <w:sz w:val="24"/>
        </w:rPr>
        <w:t>. For a centred</w:t>
      </w:r>
      <w:r>
        <w:rPr>
          <w:rFonts w:ascii="Times New Roman" w:hAnsi="Times New Roman" w:eastAsia="Times New Roman"/>
          <w:sz w:val="24"/>
        </w:rPr>
        <w:t xml:space="preserve"> </w:t>
      </w:r>
      <m:oMath>
        <m:r>
          <m:t>C</m:t>
        </m:r>
      </m:oMath>
      <w:r>
        <w:rPr>
          <w:rFonts w:ascii="Times New Roman" w:hAnsi="Times New Roman" w:eastAsia="Times New Roman"/>
          <w:sz w:val="24"/>
        </w:rPr>
        <w:t>-class indicator response, the columns sum to zero and</w:t>
      </w:r>
      <w:r>
        <w:rPr>
          <w:rFonts w:ascii="Times New Roman" w:hAnsi="Times New Roman" w:eastAsia="Times New Roman"/>
          <w:sz w:val="24"/>
        </w:rPr>
        <w:t xml:space="preserve"> </w:t>
      </w:r>
      <m:oMath>
        <m:r>
          <m:rPr>
            <m:sty m:val="p"/>
          </m:rPr>
          <m:t>rank</m:t>
        </m:r>
        <m:d>
          <m:dPr>
            <m:begChr m:val="("/>
            <m:endChr m:val=")"/>
            <m:sepChr m:val=""/>
            <m:grow/>
          </m:dPr>
          <m:e>
            <m:r>
              <m:t>Y</m:t>
            </m:r>
          </m:e>
        </m:d>
        <m:r>
          <m:rPr>
            <m:sty m:val="p"/>
          </m:rPr>
          <m:t>≤</m:t>
        </m:r>
        <m:r>
          <m:t>C</m:t>
        </m:r>
        <m:r>
          <m:rPr>
            <m:sty m:val="p"/>
          </m:rPr>
          <m:t>−</m:t>
        </m:r>
        <m:r>
          <m:t>1</m:t>
        </m:r>
      </m:oMath>
      <w:r>
        <w:rPr>
          <w:rFonts w:ascii="Times New Roman" w:hAnsi="Times New Roman" w:eastAsia="Times New Roman"/>
          <w:sz w:val="24"/>
        </w:rPr>
        <w:t>; the public factor-response path therefore caps PLS-SVD at</w:t>
      </w:r>
      <w:r>
        <w:rPr>
          <w:rFonts w:ascii="Times New Roman" w:hAnsi="Times New Roman" w:eastAsia="Times New Roman"/>
          <w:sz w:val="24"/>
        </w:rPr>
        <w:t xml:space="preserve"> </w:t>
      </w:r>
      <m:oMath>
        <m:r>
          <m:t>C</m:t>
        </m:r>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components. The model stores compact latent factors for prediction and omits a full coefficient cube when its estimated size exceeds the internal storage threshold and latent prediction is available.</w:t>
      </w:r>
    </w:p>
    <w:p>
      <w:pPr>
        <w:pStyle w:val="BodyText"/>
      </w:pPr>
      <w:r>
        <w:rPr>
          <w:rFonts w:ascii="Times New Roman" w:hAnsi="Times New Roman" w:eastAsia="Times New Roman"/>
          <w:b/>
          <w:bCs/>
          <w:sz w:val="24"/>
        </w:rPr>
        <w:t>Algorithm S1. PLS-SVD component-path construction.</w:t>
      </w:r>
    </w:p>
    <w:p>
      <w:pPr>
        <w:pStyle w:val="Compact"/>
        <w:numPr>
          <w:ilvl w:val="0"/>
          <w:numId w:val="1001"/>
        </w:numPr>
      </w:pPr>
      <w:r>
        <w:rPr>
          <w:rFonts w:ascii="Times New Roman" w:hAnsi="Times New Roman" w:eastAsia="Times New Roman"/>
          <w:sz w:val="24"/>
        </w:rPr>
        <w:t>Centre and, if requested, scale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with training statistics; centre numeric or indicator-coded</w:t>
      </w:r>
      <w:r>
        <w:rPr>
          <w:rFonts w:ascii="Times New Roman" w:hAnsi="Times New Roman" w:eastAsia="Times New Roman"/>
          <w:sz w:val="24"/>
        </w:rPr>
        <w:t xml:space="preserve"> </w:t>
      </w:r>
      <m:oMath>
        <m:r>
          <m:t>Y</m:t>
        </m:r>
      </m:oMath>
      <w:r>
        <w:rPr>
          <w:rFonts w:ascii="Times New Roman" w:hAnsi="Times New Roman" w:eastAsia="Times New Roman"/>
          <w:sz w:val="24"/>
        </w:rPr>
        <w:t>.</w:t>
      </w:r>
    </w:p>
    <w:p>
      <w:pPr>
        <w:pStyle w:val="Compact"/>
        <w:numPr>
          <w:ilvl w:val="0"/>
          <w:numId w:val="1001"/>
        </w:numPr>
      </w:pPr>
      <w:r>
        <w:rPr>
          <w:rFonts w:ascii="Times New Roman" w:hAnsi="Times New Roman" w:eastAsia="Times New Roman"/>
          <w:sz w:val="24"/>
        </w:rPr>
        <w:t>Represent</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xml:space="preserve"> </w:t>
      </w:r>
      <w:r>
        <w:rPr>
          <w:rFonts w:ascii="Times New Roman" w:hAnsi="Times New Roman" w:eastAsia="Times New Roman"/>
          <w:sz w:val="24"/>
        </w:rPr>
        <w:t>explicitly or as a product operator.</w:t>
      </w:r>
    </w:p>
    <w:p>
      <w:pPr>
        <w:pStyle w:val="Compact"/>
        <w:numPr>
          <w:ilvl w:val="0"/>
          <w:numId w:val="1001"/>
        </w:numPr>
      </w:pPr>
      <w:r>
        <w:rPr>
          <w:rFonts w:ascii="Times New Roman" w:hAnsi="Times New Roman" w:eastAsia="Times New Roman"/>
          <w:sz w:val="24"/>
        </w:rPr>
        <w:t>Compute the leading</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w:t>
      </w:r>
      <w:r>
        <w:rPr>
          <w:rFonts w:ascii="Times New Roman" w:hAnsi="Times New Roman" w:eastAsia="Times New Roman"/>
          <w:sz w:val="24"/>
        </w:rPr>
        <w:t>singular triplets once, where</w:t>
      </w:r>
      <w:r>
        <w:rPr>
          <w:rFonts w:ascii="Times New Roman" w:hAnsi="Times New Roman" w:eastAsia="Times New Roman"/>
          <w:sz w:val="24"/>
        </w:rPr>
        <w:t xml:space="preserve"> </w:t>
      </w:r>
      <m:oMath>
        <m:r>
          <m:t>A</m:t>
        </m:r>
      </m:oMath>
      <w:r>
        <w:rPr>
          <w:rFonts w:ascii="Times New Roman" w:hAnsi="Times New Roman" w:eastAsia="Times New Roman"/>
          <w:sz w:val="24"/>
        </w:rPr>
        <w:t xml:space="preserve"> </w:t>
      </w:r>
      <w:r>
        <w:rPr>
          <w:rFonts w:ascii="Times New Roman" w:hAnsi="Times New Roman" w:eastAsia="Times New Roman"/>
          <w:sz w:val="24"/>
        </w:rPr>
        <w:t>is the largest valid requested component count.</w:t>
      </w:r>
    </w:p>
    <w:p>
      <w:pPr>
        <w:pStyle w:val="Compact"/>
        <w:numPr>
          <w:ilvl w:val="0"/>
          <w:numId w:val="1001"/>
        </w:numPr>
      </w:pPr>
      <w:r>
        <w:t>For each requested a ∈ C, form the compact latent prediction factors from prefixes 1,...,a.</w:t>
      </w:r>
    </w:p>
    <w:p>
      <w:pPr>
        <w:pStyle w:val="Compact"/>
        <w:numPr>
          <w:ilvl w:val="0"/>
          <w:numId w:val="1001"/>
        </w:numPr>
      </w:pPr>
      <w:r>
        <w:rPr>
          <w:rFonts w:ascii="Times New Roman" w:hAnsi="Times New Roman" w:eastAsia="Times New Roman"/>
          <w:sz w:val="24"/>
        </w:rPr>
        <w:t>Store only the requested coefficient or prediction summaries; use blocked latent prediction when a dense coefficient path would exceed its memory threshold.</w:t>
      </w:r>
    </w:p>
    <w:bookmarkEnd w:id="23"/>
    <w:bookmarkStart w:id="24" w:name="s2.2-simpls"/>
    <w:p>
      <w:pPr>
        <w:pStyle w:val="Heading2"/>
      </w:pPr>
      <w:r>
        <w:rPr>
          <w:rFonts w:ascii="Times New Roman" w:hAnsi="Times New Roman" w:eastAsia="Times New Roman"/>
        </w:rPr>
        <w:t>S2.2 SIMPLS</w:t>
      </w:r>
    </w:p>
    <w:p>
      <w:pPr>
        <w:pStyle w:val="FirstParagraph"/>
      </w:pPr>
      <w:r>
        <w:rPr>
          <w:rFonts w:ascii="Times New Roman" w:hAnsi="Times New Roman" w:eastAsia="Times New Roman"/>
          <w:sz w:val="24"/>
        </w:rPr>
        <w:t>The SIMPLS estimator follows de Jong’s sequential construction. For component</w:t>
      </w:r>
      <w:r>
        <w:rPr>
          <w:rFonts w:ascii="Times New Roman" w:hAnsi="Times New Roman" w:eastAsia="Times New Roman"/>
          <w:sz w:val="24"/>
        </w:rPr>
        <w:t xml:space="preserve"> </w:t>
      </w:r>
      <m:oMath>
        <m:r>
          <m:t>a</m:t>
        </m:r>
      </m:oMath>
      <w:r>
        <w:rPr>
          <w:rFonts w:ascii="Times New Roman" w:hAnsi="Times New Roman" w:eastAsia="Times New Roman"/>
          <w:sz w:val="24"/>
        </w:rPr>
        <w:t>, the implementation obtains a dominant left direction</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 xml:space="preserve"> </w:t>
      </w:r>
      <w:r>
        <w:rPr>
          <w:rFonts w:ascii="Times New Roman" w:hAnsi="Times New Roman" w:eastAsia="Times New Roman"/>
          <w:sz w:val="24"/>
        </w:rPr>
        <w:t>from the current cross-covariance state, forms and normalizes the score</w:t>
      </w:r>
      <w:r>
        <w:rPr>
          <w:rFonts w:ascii="Times New Roman" w:hAnsi="Times New Roman" w:eastAsia="Times New Roman"/>
          <w:sz w:val="24"/>
        </w:rPr>
        <w:t xml:space="preserve"> </w:t>
      </w:r>
      <m:oMath>
        <m:sSub>
          <m:e>
            <m:r>
              <m:t>t</m:t>
            </m:r>
          </m:e>
          <m:sub>
            <m:r>
              <m:t>a</m:t>
            </m:r>
          </m:sub>
        </m:sSub>
        <m:r>
          <m:rPr>
            <m:sty m:val="p"/>
          </m:rPr>
          <m:t>=</m:t>
        </m:r>
        <m:r>
          <m:t>X</m:t>
        </m:r>
        <m:sSub>
          <m:e>
            <m:r>
              <m:t>r</m:t>
            </m:r>
          </m:e>
          <m:sub>
            <m:r>
              <m:t>a</m:t>
            </m:r>
          </m:sub>
        </m:sSub>
      </m:oMath>
      <w:r>
        <w:rPr>
          <w:rFonts w:ascii="Times New Roman" w:hAnsi="Times New Roman" w:eastAsia="Times New Roman"/>
          <w:sz w:val="24"/>
        </w:rPr>
        <w:t>, computes predictor and response loadings, orthogonalizes the predictor loading against the preceding SIMPLS basis, and applies rank-one deflation. The default implementation accepts one refreshed direction after every deflation step.</w:t>
      </w:r>
    </w:p>
    <w:p>
      <w:pPr>
        <w:pStyle w:val="BodyText"/>
      </w:pPr>
      <w:r>
        <w:rPr>
          <w:rFonts w:ascii="Times New Roman" w:hAnsi="Times New Roman" w:eastAsia="Times New Roman"/>
          <w:sz w:val="24"/>
        </w:rPr>
        <w:t>The following execution optimizations are active in the current standard path:</w:t>
      </w:r>
    </w:p>
    <w:p>
      <w:pPr>
        <w:pStyle w:val="Compact"/>
        <w:numPr>
          <w:ilvl w:val="0"/>
          <w:numId w:val="1002"/>
        </w:numPr>
      </w:pPr>
      <w:r>
        <w:t>Each randomized SIMPLS direction is generated from a fresh oversampled range sketch of the current deflated cross-covariance operator.</w:t>
      </w:r>
    </w:p>
    <w:p>
      <w:pPr>
        <w:pStyle w:val="Compact"/>
        <w:numPr>
          <w:ilvl w:val="0"/>
          <w:numId w:val="1002"/>
        </w:numPr>
      </w:pPr>
      <w:r>
        <w:rPr>
          <w:rFonts w:ascii="Times New Roman" w:hAnsi="Times New Roman" w:eastAsia="Times New Roman"/>
          <w:sz w:val="24"/>
        </w:rPr>
        <w:t>The row product</w:t>
      </w:r>
      <w:r>
        <w:rPr>
          <w:rFonts w:ascii="Times New Roman" w:hAnsi="Times New Roman" w:eastAsia="Times New Roman"/>
          <w:sz w:val="24"/>
        </w:rPr>
        <w:t xml:space="preserve"> </w:t>
      </w:r>
      <m:oMath>
        <m:sSubSup>
          <m:e>
            <m:r>
              <m:t>v</m:t>
            </m:r>
          </m:e>
          <m:sub>
            <m:r>
              <m:t>a</m:t>
            </m:r>
          </m:sub>
          <m:sup>
            <m:r>
              <m:rPr>
                <m:sty m:val="p"/>
              </m:rPr>
              <m:t>⊤</m:t>
            </m:r>
          </m:sup>
        </m:sSubSup>
        <m:sSub>
          <m:e>
            <m:r>
              <m:t>S</m:t>
            </m:r>
          </m:e>
          <m:sub>
            <m:r>
              <m:t>a</m:t>
            </m:r>
          </m:sub>
        </m:sSub>
      </m:oMath>
      <w:r>
        <w:rPr>
          <w:rFonts w:ascii="Times New Roman" w:hAnsi="Times New Roman" w:eastAsia="Times New Roman"/>
          <w:sz w:val="24"/>
        </w:rPr>
        <w:t xml:space="preserve"> </w:t>
      </w:r>
      <w:r>
        <w:rPr>
          <w:rFonts w:ascii="Times New Roman" w:hAnsi="Times New Roman" w:eastAsia="Times New Roman"/>
          <w:sz w:val="24"/>
        </w:rPr>
        <w:t>is evaluated once and reused in the rank-one deflation.</w:t>
      </w:r>
    </w:p>
    <w:p>
      <w:pPr>
        <w:pStyle w:val="Compact"/>
        <w:numPr>
          <w:ilvl w:val="0"/>
          <w:numId w:val="1002"/>
        </w:numPr>
      </w:pPr>
      <w:r>
        <w:t>When its setup and storage can be amortized, the implementation caches the predictor cross-product and initial predictor-response cross-covariance so that score normalization and loadings avoid repeated observation-space products.</w:t>
      </w:r>
    </w:p>
    <w:p>
      <w:pPr>
        <w:pStyle w:val="Compact"/>
        <w:numPr>
          <w:ilvl w:val="0"/>
          <w:numId w:val="1002"/>
        </w:numPr>
      </w:pPr>
      <w:r>
        <w:rPr>
          <w:rFonts w:ascii="Times New Roman" w:hAnsi="Times New Roman" w:eastAsia="Times New Roman"/>
          <w:sz w:val="24"/>
        </w:rPr>
        <w:t>The coefficient matrix is updated as</w:t>
      </w:r>
      <w:r>
        <w:rPr>
          <w:rFonts w:ascii="Times New Roman" w:hAnsi="Times New Roman" w:eastAsia="Times New Roman"/>
          <w:sz w:val="24"/>
        </w:rPr>
        <w:t xml:space="preserve"> </w:t>
      </w:r>
      <m:oMath>
        <m:sSub>
          <m:e>
            <m:r>
              <m:t>B</m:t>
            </m:r>
          </m:e>
          <m:sub>
            <m:r>
              <m:t>a</m:t>
            </m:r>
          </m:sub>
        </m:sSub>
        <m:r>
          <m:rPr>
            <m:sty m:val="p"/>
          </m:rPr>
          <m:t>=</m:t>
        </m:r>
        <m:sSub>
          <m:e>
            <m:r>
              <m:t>B</m:t>
            </m:r>
          </m:e>
          <m:sub>
            <m:r>
              <m:t>a</m:t>
            </m:r>
            <m:r>
              <m:rPr>
                <m:sty m:val="p"/>
              </m:rPr>
              <m:t>−</m:t>
            </m:r>
            <m:r>
              <m:t>1</m:t>
            </m:r>
          </m:sub>
        </m:sSub>
        <m:r>
          <m:rPr>
            <m:sty m:val="p"/>
          </m:rPr>
          <m:t>+</m:t>
        </m:r>
        <m:sSub>
          <m:e>
            <m:r>
              <m:t>r</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2"/>
        </w:numPr>
      </w:pPr>
      <w:r>
        <w:rPr>
          <w:rFonts w:ascii="Times New Roman" w:hAnsi="Times New Roman" w:eastAsia="Times New Roman"/>
          <w:sz w:val="24"/>
        </w:rPr>
        <w:t>When fitted values are requested, they are updated as</w:t>
      </w:r>
      <w:r>
        <w:rPr>
          <w:rFonts w:ascii="Times New Roman" w:hAnsi="Times New Roman" w:eastAsia="Times New Roman"/>
          <w:sz w:val="24"/>
        </w:rPr>
        <w:t xml:space="preserve"> </w:t>
      </w:r>
      <m:oMath>
        <m:sSub>
          <m:e>
            <m:acc>
              <m:accPr>
                <m:chr m:val="̂"/>
              </m:accPr>
              <m:e>
                <m:r>
                  <m:t>Y</m:t>
                </m:r>
              </m:e>
            </m:acc>
          </m:e>
          <m:sub>
            <m:r>
              <m:t>a</m:t>
            </m:r>
          </m:sub>
        </m:sSub>
        <m:r>
          <m:rPr>
            <m:sty m:val="p"/>
          </m:rPr>
          <m:t>=</m:t>
        </m:r>
        <m:sSub>
          <m:e>
            <m:acc>
              <m:accPr>
                <m:chr m:val="̂"/>
              </m:accPr>
              <m:e>
                <m:r>
                  <m:t>Y</m:t>
                </m:r>
              </m:e>
            </m:acc>
          </m:e>
          <m:sub>
            <m:r>
              <m:t>a</m:t>
            </m:r>
            <m:r>
              <m:rPr>
                <m:sty m:val="p"/>
              </m:rPr>
              <m:t>−</m:t>
            </m:r>
            <m:r>
              <m:t>1</m:t>
            </m:r>
          </m:sub>
        </m:sSub>
        <m:r>
          <m:rPr>
            <m:sty m:val="p"/>
          </m:rPr>
          <m:t>+</m:t>
        </m:r>
        <m:sSub>
          <m:e>
            <m:r>
              <m:t>t</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2"/>
        </w:numPr>
      </w:pPr>
      <w:r>
        <w:t>As in pls::simpls.fit, one fit supplies the standard sequential path through all components up to the requested maximum; this is not claimed as a fastPLS novelty.</w:t>
      </w:r>
    </w:p>
    <w:p>
      <w:pPr>
        <w:pStyle w:val="FirstParagraph"/>
      </w:pPr>
      <w:r>
        <w:t>A minimally optimized compiled baseline forms the cross-covariance explicitly, performs a fresh leading-direction solve and the standard de Jong score/loading/orthogonalization/deflation update for every component, and reconstructs requested dense coefficients and fitted values from retained latent factors. fastPLS changes this execution, not the estimator: it caches the deflation row product; updates coefficients and fitted values incrementally; conditionally caches X-transpose-X; retains compact latent factors when dense outputs are unnecessary; and uses implicit cross-covariance products when predictor-response storage is limiting. The public CPU, CUDA, and Metal paths request one newly computed direction from the current deflated state for every component. Cross-component warm starts, multi-direction block refresh, and adaptive refresh policies were rejected and removed.</w:t>
      </w:r>
    </w:p>
    <w:p>
      <w:pPr>
        <w:pStyle w:val="BodyText"/>
      </w:pPr>
      <w:r>
        <w:rPr>
          <w:rFonts w:ascii="Times New Roman" w:hAnsi="Times New Roman" w:eastAsia="Times New Roman"/>
          <w:b/>
          <w:bCs/>
          <w:sz w:val="24"/>
        </w:rPr>
        <w:t>Algorithm S2. Accelerated sequential SIMPLS.</w:t>
      </w:r>
    </w:p>
    <w:p>
      <w:pPr>
        <w:pStyle w:val="Compact"/>
        <w:numPr>
          <w:ilvl w:val="0"/>
          <w:numId w:val="1003"/>
        </w:numPr>
      </w:pPr>
      <w:r>
        <w:rPr>
          <w:rFonts w:ascii="Times New Roman" w:hAnsi="Times New Roman" w:eastAsia="Times New Roman"/>
          <w:sz w:val="24"/>
        </w:rPr>
        <w:t>Centre and optionally scale</w:t>
      </w:r>
      <w:r>
        <w:rPr>
          <w:rFonts w:ascii="Times New Roman" w:hAnsi="Times New Roman" w:eastAsia="Times New Roman"/>
          <w:sz w:val="24"/>
        </w:rPr>
        <w:t xml:space="preserve"> </w:t>
      </w:r>
      <m:oMath>
        <m:r>
          <m:t>X</m:t>
        </m:r>
      </m:oMath>
      <w:r>
        <w:rPr>
          <w:rFonts w:ascii="Times New Roman" w:hAnsi="Times New Roman" w:eastAsia="Times New Roman"/>
          <w:sz w:val="24"/>
        </w:rPr>
        <w:t xml:space="preserve"> </w:t>
      </w:r>
      <w:r>
        <w:rPr>
          <w:rFonts w:ascii="Times New Roman" w:hAnsi="Times New Roman" w:eastAsia="Times New Roman"/>
          <w:sz w:val="24"/>
        </w:rPr>
        <w:t>and centre</w:t>
      </w:r>
      <w:r>
        <w:rPr>
          <w:rFonts w:ascii="Times New Roman" w:hAnsi="Times New Roman" w:eastAsia="Times New Roman"/>
          <w:sz w:val="24"/>
        </w:rPr>
        <w:t xml:space="preserve"> </w:t>
      </w:r>
      <m:oMath>
        <m:r>
          <m:t>Y</m:t>
        </m:r>
      </m:oMath>
      <w:r>
        <w:rPr>
          <w:rFonts w:ascii="Times New Roman" w:hAnsi="Times New Roman" w:eastAsia="Times New Roman"/>
          <w:sz w:val="24"/>
        </w:rPr>
        <w:t>; initialize</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empty bases</w:t>
      </w:r>
      <w:r>
        <w:rPr>
          <w:rFonts w:ascii="Times New Roman" w:hAnsi="Times New Roman" w:eastAsia="Times New Roman"/>
          <w:sz w:val="24"/>
        </w:rPr>
        <w:t xml:space="preserve"> </w:t>
      </w:r>
      <m:oMath>
        <m:r>
          <m:t>R</m:t>
        </m:r>
      </m:oMath>
      <w:r>
        <w:rPr>
          <w:rFonts w:ascii="Times New Roman" w:hAnsi="Times New Roman" w:eastAsia="Times New Roman"/>
          <w:sz w:val="24"/>
        </w:rPr>
        <w:t>,</w:t>
      </w:r>
      <w:r>
        <w:rPr>
          <w:rFonts w:ascii="Times New Roman" w:hAnsi="Times New Roman" w:eastAsia="Times New Roman"/>
          <w:sz w:val="24"/>
        </w:rPr>
        <w:t xml:space="preserve"> </w:t>
      </w:r>
      <m:oMath>
        <m:r>
          <m:t>Q</m:t>
        </m:r>
      </m:oMath>
      <w:r>
        <w:rPr>
          <w:rFonts w:ascii="Times New Roman" w:hAnsi="Times New Roman" w:eastAsia="Times New Roman"/>
          <w:sz w:val="24"/>
        </w:rPr>
        <w:t>, and</w:t>
      </w:r>
      <w:r>
        <w:rPr>
          <w:rFonts w:ascii="Times New Roman" w:hAnsi="Times New Roman" w:eastAsia="Times New Roman"/>
          <w:sz w:val="24"/>
        </w:rPr>
        <w:t xml:space="preserve"> </w:t>
      </w:r>
      <m:oMath>
        <m:r>
          <m:t>V</m:t>
        </m:r>
      </m:oMath>
      <w:r>
        <w:rPr>
          <w:rFonts w:ascii="Times New Roman" w:hAnsi="Times New Roman" w:eastAsia="Times New Roman"/>
          <w:sz w:val="24"/>
        </w:rPr>
        <w:t>, and the coefficient accumulator</w:t>
      </w:r>
      <w:r>
        <w:rPr>
          <w:rFonts w:ascii="Times New Roman" w:hAnsi="Times New Roman" w:eastAsia="Times New Roman"/>
          <w:sz w:val="24"/>
        </w:rPr>
        <w:t xml:space="preserve"> </w:t>
      </w:r>
      <m:oMath>
        <m:r>
          <m:t>B</m:t>
        </m:r>
        <m:r>
          <m:rPr>
            <m:sty m:val="p"/>
          </m:rPr>
          <m:t>=</m:t>
        </m:r>
        <m:r>
          <m:t>0</m:t>
        </m:r>
      </m:oMath>
      <w:r>
        <w:rPr>
          <w:rFonts w:ascii="Times New Roman" w:hAnsi="Times New Roman" w:eastAsia="Times New Roman"/>
          <w:sz w:val="24"/>
        </w:rPr>
        <w:t>.</w:t>
      </w:r>
    </w:p>
    <w:p>
      <w:pPr>
        <w:pStyle w:val="Compact"/>
        <w:numPr>
          <w:ilvl w:val="0"/>
          <w:numId w:val="1003"/>
        </w:numPr>
      </w:pPr>
      <w:r>
        <w:t>For component a, obtain one dominant left direction of the current deflated cross-covariance operator. IRLBA performs a fresh deterministic iterative solve. rSVD forms a fresh Gaussian sketch with target width one plus oversampling, applies the requested power iterations, performs QR orthonormalization, and extracts the leading vector from the reduced decomposition.</w:t>
      </w:r>
    </w:p>
    <w:p>
      <w:pPr>
        <w:pStyle w:val="Compact"/>
        <w:numPr>
          <w:ilvl w:val="0"/>
          <w:numId w:val="1003"/>
        </w:numPr>
      </w:pPr>
      <w:r>
        <w:rPr>
          <w:rFonts w:ascii="Times New Roman" w:hAnsi="Times New Roman" w:eastAsia="Times New Roman"/>
          <w:sz w:val="24"/>
        </w:rPr>
        <w:t>Form</w:t>
      </w:r>
      <w:r>
        <w:rPr>
          <w:rFonts w:ascii="Times New Roman" w:hAnsi="Times New Roman" w:eastAsia="Times New Roman"/>
          <w:sz w:val="24"/>
        </w:rPr>
        <w:t xml:space="preserve"> </w:t>
      </w:r>
      <m:oMath>
        <m:sSub>
          <m:e>
            <m:r>
              <m:t>t</m:t>
            </m:r>
          </m:e>
          <m:sub>
            <m:r>
              <m:t>a</m:t>
            </m:r>
          </m:sub>
        </m:sSub>
        <m:r>
          <m:rPr>
            <m:sty m:val="p"/>
          </m:rPr>
          <m:t>=</m:t>
        </m:r>
        <m:r>
          <m:t>X</m:t>
        </m:r>
        <m:sSub>
          <m:e>
            <m:r>
              <m:t>r</m:t>
            </m:r>
          </m:e>
          <m:sub>
            <m:r>
              <m:t>a</m:t>
            </m:r>
          </m:sub>
        </m:sSub>
      </m:oMath>
      <w:r>
        <w:rPr>
          <w:rFonts w:ascii="Times New Roman" w:hAnsi="Times New Roman" w:eastAsia="Times New Roman"/>
          <w:sz w:val="24"/>
        </w:rPr>
        <w:t>, normalize</w:t>
      </w:r>
      <w:r>
        <w:rPr>
          <w:rFonts w:ascii="Times New Roman" w:hAnsi="Times New Roman" w:eastAsia="Times New Roman"/>
          <w:sz w:val="24"/>
        </w:rPr>
        <w:t xml:space="preserve"> </w:t>
      </w:r>
      <m:oMath>
        <m:sSub>
          <m:e>
            <m:r>
              <m:t>t</m:t>
            </m:r>
          </m:e>
          <m:sub>
            <m:r>
              <m:t>a</m:t>
            </m:r>
          </m:sub>
        </m:sSub>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 and calculate</w:t>
      </w:r>
      <w:r>
        <w:rPr>
          <w:rFonts w:ascii="Times New Roman" w:hAnsi="Times New Roman" w:eastAsia="Times New Roman"/>
          <w:sz w:val="24"/>
        </w:rPr>
        <w:t xml:space="preserve"> </w:t>
      </w:r>
      <m:oMath>
        <m:sSub>
          <m:e>
            <m:r>
              <m:t>p</m:t>
            </m:r>
          </m:e>
          <m:sub>
            <m:r>
              <m:t>a</m:t>
            </m:r>
          </m:sub>
        </m:sSub>
        <m:r>
          <m:rPr>
            <m:sty m:val="p"/>
          </m:rPr>
          <m:t>=</m:t>
        </m:r>
        <m:sSup>
          <m:e>
            <m:r>
              <m:t>X</m:t>
            </m:r>
          </m:e>
          <m:sup>
            <m:r>
              <m:rPr>
                <m:sty m:val="p"/>
              </m:rPr>
              <m:t>⊤</m:t>
            </m:r>
          </m:sup>
        </m:sSup>
        <m:sSub>
          <m:e>
            <m:r>
              <m:t>t</m:t>
            </m:r>
          </m:e>
          <m:sub>
            <m:r>
              <m:t>a</m:t>
            </m:r>
          </m:sub>
        </m:sSub>
      </m:oMath>
      <w:r>
        <w:rPr>
          <w:rFonts w:ascii="Times New Roman" w:hAnsi="Times New Roman" w:eastAsia="Times New Roman"/>
          <w:sz w:val="24"/>
        </w:rPr>
        <w:t xml:space="preserve"> </w:t>
      </w:r>
      <w:r>
        <w:rPr>
          <w:rFonts w:ascii="Times New Roman" w:hAnsi="Times New Roman" w:eastAsia="Times New Roman"/>
          <w:sz w:val="24"/>
        </w:rPr>
        <w:t>and</w:t>
      </w:r>
      <w:r>
        <w:rPr>
          <w:rFonts w:ascii="Times New Roman" w:hAnsi="Times New Roman" w:eastAsia="Times New Roman"/>
          <w:sz w:val="24"/>
        </w:rPr>
        <w:t xml:space="preserve"> </w:t>
      </w:r>
      <m:oMath>
        <m:sSub>
          <m:e>
            <m:r>
              <m:t>q</m:t>
            </m:r>
          </m:e>
          <m:sub>
            <m:r>
              <m:t>a</m:t>
            </m:r>
          </m:sub>
        </m:sSub>
        <m:r>
          <m:rPr>
            <m:sty m:val="p"/>
          </m:rPr>
          <m:t>=</m:t>
        </m:r>
        <m:sSup>
          <m:e>
            <m:r>
              <m:t>Y</m:t>
            </m:r>
          </m:e>
          <m:sup>
            <m:r>
              <m:rPr>
                <m:sty m:val="p"/>
              </m:rPr>
              <m:t>⊤</m:t>
            </m:r>
          </m:sup>
        </m:sSup>
        <m:sSub>
          <m:e>
            <m:r>
              <m:t>t</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Orthogonalize</w:t>
      </w:r>
      <w:r>
        <w:rPr>
          <w:rFonts w:ascii="Times New Roman" w:hAnsi="Times New Roman" w:eastAsia="Times New Roman"/>
          <w:sz w:val="24"/>
        </w:rPr>
        <w:t xml:space="preserve"> </w:t>
      </w:r>
      <m:oMath>
        <m:sSub>
          <m:e>
            <m:r>
              <m:t>p</m:t>
            </m:r>
          </m:e>
          <m:sub>
            <m:r>
              <m:t>a</m:t>
            </m:r>
          </m:sub>
        </m:sSub>
      </m:oMath>
      <w:r>
        <w:rPr>
          <w:rFonts w:ascii="Times New Roman" w:hAnsi="Times New Roman" w:eastAsia="Times New Roman"/>
          <w:sz w:val="24"/>
        </w:rPr>
        <w:t xml:space="preserve"> </w:t>
      </w:r>
      <w:r>
        <w:rPr>
          <w:rFonts w:ascii="Times New Roman" w:hAnsi="Times New Roman" w:eastAsia="Times New Roman"/>
          <w:sz w:val="24"/>
        </w:rPr>
        <w:t>against the existing</w:t>
      </w:r>
      <w:r>
        <w:rPr>
          <w:rFonts w:ascii="Times New Roman" w:hAnsi="Times New Roman" w:eastAsia="Times New Roman"/>
          <w:sz w:val="24"/>
        </w:rPr>
        <w:t xml:space="preserve"> </w:t>
      </w:r>
      <m:oMath>
        <m:r>
          <m:t>V</m:t>
        </m:r>
      </m:oMath>
      <w:r>
        <w:rPr>
          <w:rFonts w:ascii="Times New Roman" w:hAnsi="Times New Roman" w:eastAsia="Times New Roman"/>
          <w:sz w:val="24"/>
        </w:rPr>
        <w:t xml:space="preserve"> </w:t>
      </w:r>
      <w:r>
        <w:rPr>
          <w:rFonts w:ascii="Times New Roman" w:hAnsi="Times New Roman" w:eastAsia="Times New Roman"/>
          <w:sz w:val="24"/>
        </w:rPr>
        <w:t>basis, reorthogonalize once, and normalize the resulting</w:t>
      </w:r>
      <w:r>
        <w:rPr>
          <w:rFonts w:ascii="Times New Roman" w:hAnsi="Times New Roman" w:eastAsia="Times New Roman"/>
          <w:sz w:val="24"/>
        </w:rPr>
        <w:t xml:space="preserve"> </w:t>
      </w:r>
      <m:oMath>
        <m:sSub>
          <m:e>
            <m:r>
              <m:t>v</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Evaluate</w:t>
      </w:r>
      <w:r>
        <w:rPr>
          <w:rFonts w:ascii="Times New Roman" w:hAnsi="Times New Roman" w:eastAsia="Times New Roman"/>
          <w:sz w:val="24"/>
        </w:rPr>
        <w:t xml:space="preserve"> </w:t>
      </w:r>
      <m:oMath>
        <m:sSub>
          <m:e>
            <m:r>
              <m:t>h</m:t>
            </m:r>
          </m:e>
          <m:sub>
            <m:r>
              <m:t>a</m:t>
            </m:r>
          </m:sub>
        </m:sSub>
        <m:r>
          <m:rPr>
            <m:sty m:val="p"/>
          </m:rPr>
          <m:t>=</m:t>
        </m:r>
        <m:sSubSup>
          <m:e>
            <m:r>
              <m:t>v</m:t>
            </m:r>
          </m:e>
          <m:sub>
            <m:r>
              <m:t>a</m:t>
            </m:r>
          </m:sub>
          <m:sup>
            <m:r>
              <m:rPr>
                <m:sty m:val="p"/>
              </m:rPr>
              <m:t>⊤</m:t>
            </m:r>
          </m:sup>
        </m:sSubSup>
        <m:sSub>
          <m:e>
            <m:r>
              <m:t>S</m:t>
            </m:r>
          </m:e>
          <m:sub>
            <m:r>
              <m:t>a</m:t>
            </m:r>
          </m:sub>
        </m:sSub>
      </m:oMath>
      <w:r>
        <w:rPr>
          <w:rFonts w:ascii="Times New Roman" w:hAnsi="Times New Roman" w:eastAsia="Times New Roman"/>
          <w:sz w:val="24"/>
        </w:rPr>
        <w:t xml:space="preserve"> </w:t>
      </w:r>
      <w:r>
        <w:rPr>
          <w:rFonts w:ascii="Times New Roman" w:hAnsi="Times New Roman" w:eastAsia="Times New Roman"/>
          <w:sz w:val="24"/>
        </w:rPr>
        <w:t>once and update</w:t>
      </w:r>
      <w:r>
        <w:rPr>
          <w:rFonts w:ascii="Times New Roman" w:hAnsi="Times New Roman" w:eastAsia="Times New Roman"/>
          <w:sz w:val="24"/>
        </w:rPr>
        <w:t xml:space="preserve"> </w:t>
      </w:r>
      <m:oMath>
        <m:sSub>
          <m:e>
            <m:r>
              <m:t>S</m:t>
            </m:r>
          </m:e>
          <m:sub>
            <m:r>
              <m:t>a</m:t>
            </m:r>
            <m:r>
              <m:rPr>
                <m:sty m:val="p"/>
              </m:rPr>
              <m:t>+</m:t>
            </m:r>
            <m:r>
              <m:t>1</m:t>
            </m:r>
          </m:sub>
        </m:sSub>
        <m:r>
          <m:rPr>
            <m:sty m:val="p"/>
          </m:rPr>
          <m:t>=</m:t>
        </m:r>
        <m:sSub>
          <m:e>
            <m:r>
              <m:t>S</m:t>
            </m:r>
          </m:e>
          <m:sub>
            <m:r>
              <m:t>a</m:t>
            </m:r>
          </m:sub>
        </m:sSub>
        <m:r>
          <m:rPr>
            <m:sty m:val="p"/>
          </m:rPr>
          <m:t>−</m:t>
        </m:r>
        <m:sSub>
          <m:e>
            <m:r>
              <m:t>v</m:t>
            </m:r>
          </m:e>
          <m:sub>
            <m:r>
              <m:t>a</m:t>
            </m:r>
          </m:sub>
        </m:sSub>
        <m:sSub>
          <m:e>
            <m:r>
              <m:t>h</m:t>
            </m:r>
          </m:e>
          <m:sub>
            <m:r>
              <m:t>a</m:t>
            </m:r>
          </m:sub>
        </m:sSub>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Append</w:t>
      </w:r>
      <w:r>
        <w:rPr>
          <w:rFonts w:ascii="Times New Roman" w:hAnsi="Times New Roman" w:eastAsia="Times New Roman"/>
          <w:sz w:val="24"/>
        </w:rPr>
        <w:t xml:space="preserve"> </w:t>
      </w:r>
      <m:oMath>
        <m:sSub>
          <m:e>
            <m:r>
              <m:t>r</m:t>
            </m:r>
          </m:e>
          <m:sub>
            <m:r>
              <m:t>a</m:t>
            </m:r>
          </m:sub>
        </m:sSub>
      </m:oMath>
      <w:r>
        <w:rPr>
          <w:rFonts w:ascii="Times New Roman" w:hAnsi="Times New Roman" w:eastAsia="Times New Roman"/>
          <w:sz w:val="24"/>
        </w:rPr>
        <w:t>,</w:t>
      </w:r>
      <w:r>
        <w:rPr>
          <w:rFonts w:ascii="Times New Roman" w:hAnsi="Times New Roman" w:eastAsia="Times New Roman"/>
          <w:sz w:val="24"/>
        </w:rPr>
        <w:t xml:space="preserve"> </w:t>
      </w:r>
      <m:oMath>
        <m:sSub>
          <m:e>
            <m:r>
              <m:t>q</m:t>
            </m:r>
          </m:e>
          <m:sub>
            <m:r>
              <m:t>a</m:t>
            </m:r>
          </m:sub>
        </m:sSub>
      </m:oMath>
      <w:r>
        <w:rPr>
          <w:rFonts w:ascii="Times New Roman" w:hAnsi="Times New Roman" w:eastAsia="Times New Roman"/>
          <w:sz w:val="24"/>
        </w:rPr>
        <w:t>, and</w:t>
      </w:r>
      <w:r>
        <w:rPr>
          <w:rFonts w:ascii="Times New Roman" w:hAnsi="Times New Roman" w:eastAsia="Times New Roman"/>
          <w:sz w:val="24"/>
        </w:rPr>
        <w:t xml:space="preserve"> </w:t>
      </w:r>
      <m:oMath>
        <m:sSub>
          <m:e>
            <m:r>
              <m:t>v</m:t>
            </m:r>
          </m:e>
          <m:sub>
            <m:r>
              <m:t>a</m:t>
            </m:r>
          </m:sub>
        </m:sSub>
      </m:oMath>
      <w:r>
        <w:rPr>
          <w:rFonts w:ascii="Times New Roman" w:hAnsi="Times New Roman" w:eastAsia="Times New Roman"/>
          <w:sz w:val="24"/>
        </w:rPr>
        <w:t>; update</w:t>
      </w:r>
      <w:r>
        <w:rPr>
          <w:rFonts w:ascii="Times New Roman" w:hAnsi="Times New Roman" w:eastAsia="Times New Roman"/>
          <w:sz w:val="24"/>
        </w:rPr>
        <w:t xml:space="preserve"> </w:t>
      </w:r>
      <m:oMath>
        <m:sSub>
          <m:e>
            <m:r>
              <m:t>B</m:t>
            </m:r>
          </m:e>
          <m:sub>
            <m:r>
              <m:t>a</m:t>
            </m:r>
          </m:sub>
        </m:sSub>
        <m:r>
          <m:rPr>
            <m:sty m:val="p"/>
          </m:rPr>
          <m:t>=</m:t>
        </m:r>
        <m:sSub>
          <m:e>
            <m:r>
              <m:t>B</m:t>
            </m:r>
          </m:e>
          <m:sub>
            <m:r>
              <m:t>a</m:t>
            </m:r>
            <m:r>
              <m:rPr>
                <m:sty m:val="p"/>
              </m:rPr>
              <m:t>−</m:t>
            </m:r>
            <m:r>
              <m:t>1</m:t>
            </m:r>
          </m:sub>
        </m:sSub>
        <m:r>
          <m:rPr>
            <m:sty m:val="p"/>
          </m:rPr>
          <m:t>+</m:t>
        </m:r>
        <m:sSub>
          <m:e>
            <m:r>
              <m:t>r</m:t>
            </m:r>
          </m:e>
          <m:sub>
            <m:r>
              <m:t>a</m:t>
            </m:r>
          </m:sub>
        </m:sSub>
        <m:sSubSup>
          <m:e>
            <m:r>
              <m:t>q</m:t>
            </m:r>
          </m:e>
          <m:sub>
            <m:r>
              <m:t>a</m:t>
            </m:r>
          </m:sub>
          <m:sup>
            <m:r>
              <m:rPr>
                <m:sty m:val="p"/>
              </m:rPr>
              <m:t>⊤</m:t>
            </m:r>
          </m:sup>
        </m:sSubSup>
      </m:oMath>
      <w:r>
        <w:rPr>
          <w:rFonts w:ascii="Times New Roman" w:hAnsi="Times New Roman" w:eastAsia="Times New Roman"/>
          <w:sz w:val="24"/>
        </w:rPr>
        <w:t xml:space="preserve"> </w:t>
      </w:r>
      <w:r>
        <w:rPr>
          <w:rFonts w:ascii="Times New Roman" w:hAnsi="Times New Roman" w:eastAsia="Times New Roman"/>
          <w:sz w:val="24"/>
        </w:rPr>
        <w:t>and, when requested,</w:t>
      </w:r>
      <w:r>
        <w:rPr>
          <w:rFonts w:ascii="Times New Roman" w:hAnsi="Times New Roman" w:eastAsia="Times New Roman"/>
          <w:sz w:val="24"/>
        </w:rPr>
        <w:t xml:space="preserve"> </w:t>
      </w:r>
      <m:oMath>
        <m:sSub>
          <m:e>
            <m:acc>
              <m:accPr>
                <m:chr m:val="̂"/>
              </m:accPr>
              <m:e>
                <m:r>
                  <m:t>Y</m:t>
                </m:r>
              </m:e>
            </m:acc>
          </m:e>
          <m:sub>
            <m:r>
              <m:t>a</m:t>
            </m:r>
          </m:sub>
        </m:sSub>
        <m:r>
          <m:rPr>
            <m:sty m:val="p"/>
          </m:rPr>
          <m:t>=</m:t>
        </m:r>
        <m:sSub>
          <m:e>
            <m:acc>
              <m:accPr>
                <m:chr m:val="̂"/>
              </m:accPr>
              <m:e>
                <m:r>
                  <m:t>Y</m:t>
                </m:r>
              </m:e>
            </m:acc>
          </m:e>
          <m:sub>
            <m:r>
              <m:t>a</m:t>
            </m:r>
            <m:r>
              <m:rPr>
                <m:sty m:val="p"/>
              </m:rPr>
              <m:t>−</m:t>
            </m:r>
            <m:r>
              <m:t>1</m:t>
            </m:r>
          </m:sub>
        </m:sSub>
        <m:r>
          <m:rPr>
            <m:sty m:val="p"/>
          </m:rPr>
          <m:t>+</m:t>
        </m:r>
        <m:sSub>
          <m:e>
            <m:r>
              <m:t>t</m:t>
            </m:r>
          </m:e>
          <m:sub>
            <m:r>
              <m:t>a</m:t>
            </m:r>
          </m:sub>
        </m:sSub>
        <m:sSubSup>
          <m:e>
            <m:r>
              <m:t>q</m:t>
            </m:r>
          </m:e>
          <m:sub>
            <m:r>
              <m:t>a</m:t>
            </m:r>
          </m:sub>
          <m:sup>
            <m:r>
              <m:rPr>
                <m:sty m:val="p"/>
              </m:rPr>
              <m:t>⊤</m:t>
            </m:r>
          </m:sup>
        </m:sSubSup>
      </m:oMath>
      <w:r>
        <w:rPr>
          <w:rFonts w:ascii="Times New Roman" w:hAnsi="Times New Roman" w:eastAsia="Times New Roman"/>
          <w:sz w:val="24"/>
        </w:rPr>
        <w:t>.</w:t>
      </w:r>
    </w:p>
    <w:p>
      <w:pPr>
        <w:pStyle w:val="Compact"/>
        <w:numPr>
          <w:ilvl w:val="0"/>
          <w:numId w:val="1003"/>
        </w:numPr>
      </w:pPr>
      <w:r>
        <w:rPr>
          <w:rFonts w:ascii="Times New Roman" w:hAnsi="Times New Roman" w:eastAsia="Times New Roman"/>
          <w:sz w:val="24"/>
        </w:rPr>
        <w:t>Snapshot outputs only at requested component counts. The optional</w:t>
      </w:r>
      <w:r>
        <w:rPr>
          <w:rFonts w:ascii="Times New Roman" w:hAnsi="Times New Roman" w:eastAsia="Times New Roman"/>
          <w:sz w:val="24"/>
        </w:rPr>
        <w:t xml:space="preserve"> </w:t>
      </w:r>
      <m:oMath>
        <m:sSup>
          <m:e>
            <m:r>
              <m:t>X</m:t>
            </m:r>
          </m:e>
          <m:sup>
            <m:r>
              <m:rPr>
                <m:sty m:val="p"/>
              </m:rPr>
              <m:t>⊤</m:t>
            </m:r>
          </m:sup>
        </m:sSup>
        <m:r>
          <m:t>X</m:t>
        </m:r>
      </m:oMath>
      <w:r>
        <w:rPr>
          <w:rFonts w:ascii="Times New Roman" w:hAnsi="Times New Roman" w:eastAsia="Times New Roman"/>
          <w:sz w:val="24"/>
        </w:rPr>
        <w:t xml:space="preserve"> </w:t>
      </w:r>
      <w:r>
        <w:rPr>
          <w:rFonts w:ascii="Times New Roman" w:hAnsi="Times New Roman" w:eastAsia="Times New Roman"/>
          <w:sz w:val="24"/>
        </w:rPr>
        <w:t>cache changes how score norms and loadings are evaluated, not the quantities defined above.</w:t>
      </w:r>
    </w:p>
    <w:p>
      <w:pPr>
        <w:pStyle w:val="FirstParagraph"/>
      </w:pPr>
      <w:r>
        <w:t>Table S2. Dominant computational and storage terms. Here, A is the retained number of PLS components and l is the rSVD sketch width (requested rank plus oversampling). Exact constants depend on matrix shape, solver convergence, and backend.</w:t>
      </w:r>
    </w:p>
    <w:tbl>
      <w:tblPr>
        <w:tblStyle w:val="Table"/>
        <w:tblW w:type="dxa" w:w="10944"/>
        <w:jc w:val="center"/>
        <w:tblLayout w:type="fixed"/>
        <w:tblLook w:firstRow="1" w:lastRow="0" w:firstColumn="0" w:lastColumn="0" w:noHBand="0" w:noVBand="0" w:val="0020"/>
        <w:tblInd w:w="120" w:type="dxa"/>
        <w:tblCellMar>
          <w:top w:w="45" w:type="dxa"/>
          <w:start w:w="45" w:type="dxa"/>
          <w:bottom w:w="45" w:type="dxa"/>
          <w:end w:w="45" w:type="dxa"/>
        </w:tblCellMar>
      </w:tblPr>
      <w:tblGrid>
        <w:gridCol w:w="2736"/>
        <w:gridCol w:w="2736"/>
        <w:gridCol w:w="2736"/>
        <w:gridCol w:w="2736"/>
      </w:tblGrid>
      <w:tr>
        <w:trPr>
          <w:tblHeader w:val="on"/>
        </w:trPr>
        <w:tc>
          <w:tcPr>
            <w:tcW w:w="2736" w:type="dxa"/>
            <w:vAlign w:val="center"/>
            <w:tcMar>
              <w:top w:w="80" w:type="dxa"/>
              <w:start w:w="120" w:type="dxa"/>
              <w:bottom w:w="80" w:type="dxa"/>
              <w:end w:w="120" w:type="dxa"/>
            </w:tcMar>
            <w:shd w:fill="E7E6E6"/>
          </w:tcPr>
          <w:p>
            <w:pPr>
              <w:spacing w:after="0" w:before="0" w:line="240" w:lineRule="auto"/>
            </w:pPr>
            <w:r>
              <w:rPr>
                <w:b/>
                <w:sz w:val="12"/>
              </w:rPr>
              <w:t>Path</w:t>
            </w:r>
          </w:p>
        </w:tc>
        <w:tc>
          <w:tcPr>
            <w:tcW w:w="2736" w:type="dxa"/>
            <w:vAlign w:val="center"/>
            <w:tcMar>
              <w:top w:w="80" w:type="dxa"/>
              <w:start w:w="120" w:type="dxa"/>
              <w:bottom w:w="80" w:type="dxa"/>
              <w:end w:w="120" w:type="dxa"/>
            </w:tcMar>
            <w:shd w:fill="E7E6E6"/>
          </w:tcPr>
          <w:p>
            <w:pPr>
              <w:spacing w:after="0" w:before="0" w:line="240" w:lineRule="auto"/>
            </w:pPr>
            <w:r>
              <w:rPr>
                <w:b/>
                <w:sz w:val="12"/>
              </w:rPr>
              <w:t>Dominant work</w:t>
            </w:r>
          </w:p>
        </w:tc>
        <w:tc>
          <w:tcPr>
            <w:tcW w:w="2736" w:type="dxa"/>
            <w:vAlign w:val="center"/>
            <w:tcMar>
              <w:top w:w="80" w:type="dxa"/>
              <w:start w:w="120" w:type="dxa"/>
              <w:bottom w:w="80" w:type="dxa"/>
              <w:end w:w="120" w:type="dxa"/>
            </w:tcMar>
            <w:shd w:fill="E7E6E6"/>
          </w:tcPr>
          <w:p>
            <w:pPr>
              <w:spacing w:after="0" w:before="0" w:line="240" w:lineRule="auto"/>
            </w:pPr>
            <w:r>
              <w:rPr>
                <w:b/>
                <w:sz w:val="12"/>
              </w:rPr>
              <w:t>Additional large storage</w:t>
            </w:r>
          </w:p>
        </w:tc>
        <w:tc>
          <w:tcPr>
            <w:tcW w:w="2736" w:type="dxa"/>
            <w:vAlign w:val="center"/>
            <w:tcMar>
              <w:top w:w="80" w:type="dxa"/>
              <w:start w:w="120" w:type="dxa"/>
              <w:bottom w:w="80" w:type="dxa"/>
              <w:end w:w="120" w:type="dxa"/>
            </w:tcMar>
            <w:shd w:fill="E7E6E6"/>
          </w:tcPr>
          <w:p>
            <w:pPr>
              <w:spacing w:after="0" w:before="0" w:line="240" w:lineRule="auto"/>
            </w:pPr>
            <w:r>
              <w:rPr>
                <w:b/>
                <w:sz w:val="12"/>
              </w:rPr>
              <w:t>Memory-saving mechanism</w:t>
            </w:r>
          </w:p>
        </w:tc>
      </w:tr>
      <w:tr>
        <w:tc>
          <w:tcPr>
            <w:tcW w:w="2736" w:type="dxa"/>
            <w:vAlign w:val="center"/>
            <w:tcMar>
              <w:top w:w="80" w:type="dxa"/>
              <w:start w:w="120" w:type="dxa"/>
              <w:bottom w:w="80" w:type="dxa"/>
              <w:end w:w="120" w:type="dxa"/>
            </w:tcMar>
          </w:tcPr>
          <w:p>
            <w:pPr>
              <w:spacing w:after="0" w:before="0" w:line="240" w:lineRule="auto"/>
            </w:pPr>
            <w:r>
              <w:rPr>
                <w:sz w:val="12"/>
              </w:rPr>
              <w:t>Explicit PLS-SVD</w:t>
            </w:r>
          </w:p>
        </w:tc>
        <w:tc>
          <w:tcPr>
            <w:tcW w:w="2736" w:type="dxa"/>
            <w:vAlign w:val="center"/>
            <w:tcMar>
              <w:top w:w="80" w:type="dxa"/>
              <w:start w:w="120" w:type="dxa"/>
              <w:bottom w:w="80" w:type="dxa"/>
              <w:end w:w="120" w:type="dxa"/>
            </w:tcMar>
          </w:tcPr>
          <w:p>
            <w:pPr>
              <w:spacing w:after="0" w:before="0" w:line="240" w:lineRule="auto"/>
            </w:pPr>
            <w:r>
              <w:rPr>
                <w:sz w:val="12"/>
              </w:rPr>
              <w:t>Form S = XᵀY: O(npq), then one truncated decomposition</w:t>
            </w:r>
          </w:p>
        </w:tc>
        <w:tc>
          <w:tcPr>
            <w:tcW w:w="2736" w:type="dxa"/>
            <w:vAlign w:val="center"/>
            <w:tcMar>
              <w:top w:w="80" w:type="dxa"/>
              <w:start w:w="120" w:type="dxa"/>
              <w:bottom w:w="80" w:type="dxa"/>
              <w:end w:w="120" w:type="dxa"/>
            </w:tcMar>
          </w:tcPr>
          <w:p>
            <w:pPr>
              <w:spacing w:after="0" w:before="0" w:line="240" w:lineRule="auto"/>
            </w:pPr>
            <w:r>
              <w:rPr>
                <w:sz w:val="12"/>
              </w:rPr>
              <w:t>S: O(pq); latent factors O((p+q)a)</w:t>
            </w:r>
          </w:p>
        </w:tc>
        <w:tc>
          <w:tcPr>
            <w:tcW w:w="2736" w:type="dxa"/>
            <w:vAlign w:val="center"/>
            <w:tcMar>
              <w:top w:w="80" w:type="dxa"/>
              <w:start w:w="120" w:type="dxa"/>
              <w:bottom w:w="80" w:type="dxa"/>
              <w:end w:w="120" w:type="dxa"/>
            </w:tcMar>
          </w:tcPr>
          <w:p>
            <w:pPr>
              <w:spacing w:after="0" w:before="0" w:line="240" w:lineRule="auto"/>
            </w:pPr>
            <w:r>
              <w:rPr>
                <w:sz w:val="12"/>
              </w:rPr>
              <w:t>One decomposition supplies every requested component prefix</w:t>
            </w:r>
          </w:p>
        </w:tc>
      </w:tr>
      <w:tr>
        <w:tc>
          <w:tcPr>
            <w:tcW w:w="2736" w:type="dxa"/>
            <w:vAlign w:val="center"/>
            <w:tcMar>
              <w:top w:w="80" w:type="dxa"/>
              <w:start w:w="120" w:type="dxa"/>
              <w:bottom w:w="80" w:type="dxa"/>
              <w:end w:w="120" w:type="dxa"/>
            </w:tcMar>
          </w:tcPr>
          <w:p>
            <w:pPr>
              <w:spacing w:after="0" w:before="0" w:line="240" w:lineRule="auto"/>
            </w:pPr>
            <w:r>
              <w:rPr>
                <w:sz w:val="12"/>
              </w:rPr>
              <w:t>Implicit PLS-SVD</w:t>
            </w:r>
          </w:p>
        </w:tc>
        <w:tc>
          <w:tcPr>
            <w:tcW w:w="2736" w:type="dxa"/>
            <w:vAlign w:val="center"/>
            <w:tcMar>
              <w:top w:w="80" w:type="dxa"/>
              <w:start w:w="120" w:type="dxa"/>
              <w:bottom w:w="80" w:type="dxa"/>
              <w:end w:w="120" w:type="dxa"/>
            </w:tcMar>
          </w:tcPr>
          <w:p>
            <w:pPr>
              <w:spacing w:after="0" w:before="0" w:line="240" w:lineRule="auto"/>
            </w:pPr>
            <w:r>
              <w:rPr>
                <w:sz w:val="12"/>
              </w:rPr>
              <w:t>For sketch width l, SΩ = Xᵀ(YΩ) and SᵀQ = Yᵀ(XQ)</w:t>
            </w:r>
          </w:p>
        </w:tc>
        <w:tc>
          <w:tcPr>
            <w:tcW w:w="2736" w:type="dxa"/>
            <w:vAlign w:val="center"/>
            <w:tcMar>
              <w:top w:w="80" w:type="dxa"/>
              <w:start w:w="120" w:type="dxa"/>
              <w:bottom w:w="80" w:type="dxa"/>
              <w:end w:w="120" w:type="dxa"/>
            </w:tcMar>
          </w:tcPr>
          <w:p>
            <w:pPr>
              <w:spacing w:after="0" w:before="0" w:line="240" w:lineRule="auto"/>
            </w:pPr>
            <w:r>
              <w:rPr>
                <w:sz w:val="12"/>
              </w:rPr>
              <w:t>Sketches/factors O((p+q)l); no S</w:t>
            </w:r>
          </w:p>
        </w:tc>
        <w:tc>
          <w:tcPr>
            <w:tcW w:w="2736" w:type="dxa"/>
            <w:vAlign w:val="center"/>
            <w:tcMar>
              <w:top w:w="80" w:type="dxa"/>
              <w:start w:w="120" w:type="dxa"/>
              <w:bottom w:w="80" w:type="dxa"/>
              <w:end w:w="120" w:type="dxa"/>
            </w:tcMar>
          </w:tcPr>
          <w:p>
            <w:pPr>
              <w:spacing w:after="0" w:before="0" w:line="240" w:lineRule="auto"/>
            </w:pPr>
            <w:r>
              <w:rPr>
                <w:sz w:val="12"/>
              </w:rPr>
              <w:t>Matrix-free products; label-aware class sums avoid dense indicator Y</w:t>
            </w:r>
          </w:p>
        </w:tc>
      </w:tr>
      <w:tr>
        <w:tc>
          <w:tcPr>
            <w:tcW w:w="2736" w:type="dxa"/>
            <w:vAlign w:val="center"/>
            <w:tcMar>
              <w:top w:w="80" w:type="dxa"/>
              <w:start w:w="120" w:type="dxa"/>
              <w:bottom w:w="80" w:type="dxa"/>
              <w:end w:w="120" w:type="dxa"/>
            </w:tcMar>
          </w:tcPr>
          <w:p>
            <w:pPr>
              <w:spacing w:before="0" w:after="0" w:line="240" w:lineRule="auto"/>
            </w:pPr>
            <w:r>
              <w:rPr>
                <w:sz w:val="12"/>
              </w:rPr>
              <w:t>Minimally optimized compiled SIMPLS</w:t>
            </w:r>
          </w:p>
        </w:tc>
        <w:tc>
          <w:tcPr>
            <w:tcW w:w="2736" w:type="dxa"/>
            <w:vAlign w:val="center"/>
            <w:tcMar>
              <w:top w:w="80" w:type="dxa"/>
              <w:start w:w="120" w:type="dxa"/>
              <w:bottom w:w="80" w:type="dxa"/>
              <w:end w:w="120" w:type="dxa"/>
            </w:tcMar>
          </w:tcPr>
          <w:p>
            <w:pPr>
              <w:spacing w:before="0" w:after="0" w:line="240" w:lineRule="auto"/>
            </w:pPr>
            <w:r>
              <w:rPr>
                <w:sz w:val="12"/>
              </w:rPr>
              <w:t>Form S: O(npq); then A fresh direction solves and O(A[np+nq+pq]+pA²) sequential work, excluding solver cost</w:t>
            </w:r>
          </w:p>
        </w:tc>
        <w:tc>
          <w:tcPr>
            <w:tcW w:w="2736" w:type="dxa"/>
            <w:vAlign w:val="center"/>
            <w:tcMar>
              <w:top w:w="80" w:type="dxa"/>
              <w:start w:w="120" w:type="dxa"/>
              <w:bottom w:w="80" w:type="dxa"/>
              <w:end w:w="120" w:type="dxa"/>
            </w:tcMar>
          </w:tcPr>
          <w:p>
            <w:pPr>
              <w:spacing w:before="0" w:after="0" w:line="240" w:lineRule="auto"/>
            </w:pPr>
            <w:r>
              <w:rPr>
                <w:sz w:val="12"/>
              </w:rPr>
              <w:t>S and bases: O(pq+(2p+q)A); dense requested prefixes: O(|C|(pq+nq))</w:t>
            </w:r>
          </w:p>
        </w:tc>
        <w:tc>
          <w:tcPr>
            <w:tcW w:w="2736" w:type="dxa"/>
            <w:vAlign w:val="center"/>
            <w:tcMar>
              <w:top w:w="80" w:type="dxa"/>
              <w:start w:w="120" w:type="dxa"/>
              <w:bottom w:w="80" w:type="dxa"/>
              <w:end w:w="120" w:type="dxa"/>
            </w:tcMar>
          </w:tcPr>
          <w:p>
            <w:pPr>
              <w:spacing w:before="0" w:after="0" w:line="240" w:lineRule="auto"/>
            </w:pPr>
            <w:r>
              <w:rPr>
                <w:sz w:val="12"/>
              </w:rPr>
              <w:t>Reference execution baseline; the standard path through components 1,...,A is not a fastPLS novelty</w:t>
            </w:r>
          </w:p>
        </w:tc>
      </w:tr>
      <w:tr>
        <w:tc>
          <w:tcPr>
            <w:tcW w:w="2736" w:type="dxa"/>
            <w:vAlign w:val="center"/>
            <w:tcMar>
              <w:top w:w="80" w:type="dxa"/>
              <w:start w:w="120" w:type="dxa"/>
              <w:bottom w:w="80" w:type="dxa"/>
              <w:end w:w="120" w:type="dxa"/>
            </w:tcMar>
          </w:tcPr>
          <w:p>
            <w:pPr>
              <w:spacing w:after="0" w:before="0" w:line="240" w:lineRule="auto"/>
            </w:pPr>
            <w:r>
              <w:rPr>
                <w:sz w:val="12"/>
              </w:rPr>
              <w:t>OPLS</w:t>
            </w:r>
          </w:p>
        </w:tc>
        <w:tc>
          <w:tcPr>
            <w:tcW w:w="2736" w:type="dxa"/>
            <w:vAlign w:val="center"/>
            <w:tcMar>
              <w:top w:w="80" w:type="dxa"/>
              <w:start w:w="120" w:type="dxa"/>
              <w:bottom w:w="80" w:type="dxa"/>
              <w:end w:w="120" w:type="dxa"/>
            </w:tcMar>
          </w:tcPr>
          <w:p>
            <w:pPr>
              <w:spacing w:after="0" w:before="0" w:line="240" w:lineRule="auto"/>
            </w:pPr>
            <w:r>
              <w:rPr>
                <w:sz w:val="12"/>
              </w:rPr>
              <w:t>Explicit S = XᵀY and one-vector filter SVD, then SIMPLS predictive core</w:t>
            </w:r>
          </w:p>
        </w:tc>
        <w:tc>
          <w:tcPr>
            <w:tcW w:w="2736" w:type="dxa"/>
            <w:vAlign w:val="center"/>
            <w:tcMar>
              <w:top w:w="80" w:type="dxa"/>
              <w:start w:w="120" w:type="dxa"/>
              <w:bottom w:w="80" w:type="dxa"/>
              <w:end w:w="120" w:type="dxa"/>
            </w:tcMar>
          </w:tcPr>
          <w:p>
            <w:pPr>
              <w:spacing w:after="0" w:before="0" w:line="240" w:lineRule="auto"/>
            </w:pPr>
            <w:r>
              <w:rPr>
                <w:sz w:val="12"/>
              </w:rPr>
              <w:t>Filter S: O(pq); bases O(p·north) plus inner-model storage</w:t>
            </w:r>
          </w:p>
        </w:tc>
        <w:tc>
          <w:tcPr>
            <w:tcW w:w="2736" w:type="dxa"/>
            <w:vAlign w:val="center"/>
            <w:tcMar>
              <w:top w:w="80" w:type="dxa"/>
              <w:start w:w="120" w:type="dxa"/>
              <w:bottom w:w="80" w:type="dxa"/>
              <w:end w:w="120" w:type="dxa"/>
            </w:tcMar>
          </w:tcPr>
          <w:p>
            <w:pPr>
              <w:spacing w:after="0" w:before="0" w:line="240" w:lineRule="auto"/>
            </w:pPr>
            <w:r>
              <w:rPr>
                <w:sz w:val="12"/>
              </w:rPr>
              <w:t>No dense deflated X copy; the current orthogonal-filter stage remains explicit</w:t>
            </w:r>
          </w:p>
        </w:tc>
      </w:tr>
      <w:tr>
        <w:tc>
          <w:tcPr>
            <w:tcW w:w="2736" w:type="dxa"/>
            <w:vAlign w:val="center"/>
            <w:tcMar>
              <w:top w:w="80" w:type="dxa"/>
              <w:start w:w="120" w:type="dxa"/>
              <w:bottom w:w="80" w:type="dxa"/>
              <w:end w:w="120" w:type="dxa"/>
            </w:tcMar>
          </w:tcPr>
          <w:p>
            <w:pPr>
              <w:spacing w:after="0" w:before="0" w:line="240" w:lineRule="auto"/>
            </w:pPr>
            <w:r>
              <w:rPr>
                <w:sz w:val="12"/>
              </w:rPr>
              <w:t>Nonlinear kernel PLS</w:t>
            </w:r>
          </w:p>
        </w:tc>
        <w:tc>
          <w:tcPr>
            <w:tcW w:w="2736" w:type="dxa"/>
            <w:vAlign w:val="center"/>
            <w:tcMar>
              <w:top w:w="80" w:type="dxa"/>
              <w:start w:w="120" w:type="dxa"/>
              <w:bottom w:w="80" w:type="dxa"/>
              <w:end w:w="120" w:type="dxa"/>
            </w:tcMar>
          </w:tcPr>
          <w:p>
            <w:pPr>
              <w:spacing w:after="0" w:before="0" w:line="240" w:lineRule="auto"/>
            </w:pPr>
            <w:r>
              <w:rPr>
                <w:sz w:val="12"/>
              </w:rPr>
              <w:t>Kernel construction plus SIMPLS in sample space</w:t>
            </w:r>
          </w:p>
        </w:tc>
        <w:tc>
          <w:tcPr>
            <w:tcW w:w="2736" w:type="dxa"/>
            <w:vAlign w:val="center"/>
            <w:tcMar>
              <w:top w:w="80" w:type="dxa"/>
              <w:start w:w="120" w:type="dxa"/>
              <w:bottom w:w="80" w:type="dxa"/>
              <w:end w:w="120" w:type="dxa"/>
            </w:tcMar>
          </w:tcPr>
          <w:p>
            <w:pPr>
              <w:spacing w:after="0" w:before="0" w:line="240" w:lineRule="auto"/>
            </w:pPr>
            <w:r>
              <w:rPr>
                <w:sz w:val="12"/>
              </w:rPr>
              <w:t>Centred Gram matrix O(n²)</w:t>
            </w:r>
          </w:p>
        </w:tc>
        <w:tc>
          <w:tcPr>
            <w:tcW w:w="2736" w:type="dxa"/>
            <w:vAlign w:val="center"/>
            <w:tcMar>
              <w:top w:w="80" w:type="dxa"/>
              <w:start w:w="120" w:type="dxa"/>
              <w:bottom w:w="80" w:type="dxa"/>
              <w:end w:w="120" w:type="dxa"/>
            </w:tcMar>
          </w:tcPr>
          <w:p>
            <w:pPr>
              <w:spacing w:after="0" w:before="0" w:line="240" w:lineRule="auto"/>
            </w:pPr>
            <w:r>
              <w:rPr>
                <w:sz w:val="12"/>
              </w:rPr>
              <w:t>Blocked test prediction only; nonlinear kernel storage remains quadratic</w:t>
            </w:r>
          </w:p>
        </w:tc>
      </w:tr>
      <w:tr>
        <w:tc>
          <w:tcPr>
            <w:tcW w:w="2736" w:type="dxa"/>
            <w:vAlign w:val="center"/>
            <w:tcMar>
              <w:top w:w="80" w:type="dxa"/>
              <w:start w:w="120" w:type="dxa"/>
              <w:bottom w:w="80" w:type="dxa"/>
              <w:end w:w="120" w:type="dxa"/>
            </w:tcMar>
          </w:tcPr>
          <w:p>
            <w:pPr>
              <w:spacing w:after="0" w:before="0" w:line="240" w:lineRule="auto"/>
            </w:pPr>
            <w:r>
              <w:rPr>
                <w:sz w:val="12"/>
              </w:rPr>
              <w:t>Compact prediction</w:t>
            </w:r>
          </w:p>
        </w:tc>
        <w:tc>
          <w:tcPr>
            <w:tcW w:w="2736" w:type="dxa"/>
            <w:vAlign w:val="center"/>
            <w:tcMar>
              <w:top w:w="80" w:type="dxa"/>
              <w:start w:w="120" w:type="dxa"/>
              <w:bottom w:w="80" w:type="dxa"/>
              <w:end w:w="120" w:type="dxa"/>
            </w:tcMar>
          </w:tcPr>
          <w:p>
            <w:pPr>
              <w:spacing w:after="0" w:before="0" w:line="240" w:lineRule="auto"/>
            </w:pPr>
            <w:r>
              <w:rPr>
                <w:sz w:val="12"/>
              </w:rPr>
              <w:t>XtestR followed by latent response mapping</w:t>
            </w:r>
          </w:p>
        </w:tc>
        <w:tc>
          <w:tcPr>
            <w:tcW w:w="2736" w:type="dxa"/>
            <w:vAlign w:val="center"/>
            <w:tcMar>
              <w:top w:w="80" w:type="dxa"/>
              <w:start w:w="120" w:type="dxa"/>
              <w:bottom w:w="80" w:type="dxa"/>
              <w:end w:w="120" w:type="dxa"/>
            </w:tcMar>
          </w:tcPr>
          <w:p>
            <w:pPr>
              <w:spacing w:after="0" w:before="0" w:line="240" w:lineRule="auto"/>
            </w:pPr>
            <w:r>
              <w:rPr>
                <w:sz w:val="12"/>
              </w:rPr>
              <w:t>Test-score block and latent factors, not all p×q coefficient prefixes</w:t>
            </w:r>
          </w:p>
        </w:tc>
        <w:tc>
          <w:tcPr>
            <w:tcW w:w="2736" w:type="dxa"/>
            <w:vAlign w:val="center"/>
            <w:tcMar>
              <w:top w:w="80" w:type="dxa"/>
              <w:start w:w="120" w:type="dxa"/>
              <w:bottom w:w="80" w:type="dxa"/>
              <w:end w:w="120" w:type="dxa"/>
            </w:tcMar>
          </w:tcPr>
          <w:p>
            <w:pPr>
              <w:spacing w:after="0" w:before="0" w:line="240" w:lineRule="auto"/>
            </w:pPr>
            <w:r>
              <w:rPr>
                <w:sz w:val="12"/>
              </w:rPr>
              <w:t>Row-block streaming and low-rank latent mapping</w:t>
            </w:r>
          </w:p>
        </w:tc>
      </w:tr>
      <w:tr>
        <w:tc>
          <w:tcPr>
            <w:tcW w:type="dxa" w:w="2736"/>
            <w:vAlign w:val="center"/>
          </w:tcPr>
          <w:p>
            <w:r>
              <w:t>fastPLS accelerated SIMPLS</w:t>
            </w:r>
          </w:p>
        </w:tc>
        <w:tc>
          <w:tcPr>
            <w:tcW w:type="dxa" w:w="2736"/>
            <w:vAlign w:val="center"/>
          </w:tcPr>
          <w:p>
            <w:pPr>
              <w:spacing w:before="0" w:after="0" w:line="240" w:lineRule="auto"/>
            </w:pPr>
            <w:r>
              <w:rPr>
                <w:sz w:val="12"/>
              </w:rPr>
              <w:t>Incremental path: O(Apq+Anq) output updates; compact prediction: O(n_test A[p+q]); implicit operator pair of width l: O(n[p+q]l)</w:t>
            </w:r>
          </w:p>
        </w:tc>
        <w:tc>
          <w:tcPr>
            <w:tcW w:type="dxa" w:w="2736"/>
            <w:vAlign w:val="center"/>
          </w:tcPr>
          <w:p>
            <w:pPr>
              <w:spacing w:before="0" w:after="0" w:line="240" w:lineRule="auto"/>
            </w:pPr>
            <w:r>
              <w:rPr>
                <w:sz w:val="12"/>
              </w:rPr>
              <w:t>Compact factors: O((p+q)A); implicit work arrays: O((n+p+q)l), without O(pq) S; optional XᵀX cache: O(p²)</w:t>
            </w:r>
          </w:p>
        </w:tc>
        <w:tc>
          <w:tcPr>
            <w:tcW w:type="dxa" w:w="2736"/>
            <w:vAlign w:val="center"/>
          </w:tcPr>
          <w:p>
            <w:r>
              <w:t>Reuses sequential quantities and supports compact prediction; optional caching and implicit products trade setup or operator work for lower repeated work or storage</w:t>
            </w:r>
          </w:p>
        </w:tc>
      </w:tr>
    </w:tbl>
    <w:bookmarkEnd w:id="24"/>
    <w:bookmarkStart w:id="25" w:name="s2.3-opls"/>
    <w:p>
      <w:pPr>
        <w:pStyle w:val="Heading2"/>
      </w:pPr>
      <w:r>
        <w:rPr>
          <w:rFonts w:ascii="Times New Roman" w:hAnsi="Times New Roman" w:eastAsia="Times New Roman"/>
        </w:rPr>
        <w:t>S2.3 OPLS</w:t>
      </w:r>
    </w:p>
    <w:p>
      <w:pPr>
        <w:pStyle w:val="FirstParagraph"/>
      </w:pPr>
      <w:r>
        <w:rPr>
          <w:rFonts w:ascii="Times New Roman" w:hAnsi="Times New Roman" w:eastAsia="Times New Roman"/>
          <w:sz w:val="24"/>
        </w:rPr>
        <w:t>OPLS estimates orthogonal scores and loadings from</w:t>
      </w:r>
      <w:r>
        <w:rPr>
          <w:rFonts w:ascii="Times New Roman" w:hAnsi="Times New Roman" w:eastAsia="Times New Roman"/>
          <w:sz w:val="24"/>
        </w:rPr>
        <w:t xml:space="preserve"> </w:t>
      </w:r>
      <m:oMath>
        <m:r>
          <m:t>X</m:t>
        </m:r>
      </m:oMath>
      <w:r>
        <w:rPr>
          <w:rFonts w:ascii="Times New Roman" w:hAnsi="Times New Roman" w:eastAsia="Times New Roman"/>
          <w:sz w:val="24"/>
        </w:rPr>
        <w:t>, removes variation that is orthogonal to the response-associated direction, and fits the predictive SIMPLS core to the filtered matrix. Prediction applies the stored training filter before the predictive model. The current CUDA path performs the OPLS filter on the CPU and the predictive SIMPLS stage on CUDA. Metal accelerates the larger filter products but retains selected host-side operations.</w:t>
      </w:r>
    </w:p>
    <w:bookmarkEnd w:id="25"/>
    <w:bookmarkStart w:id="26" w:name="s2.4-kernel-pls"/>
    <w:p>
      <w:pPr>
        <w:pStyle w:val="Heading2"/>
      </w:pPr>
      <w:r>
        <w:rPr>
          <w:rFonts w:ascii="Times New Roman" w:hAnsi="Times New Roman" w:eastAsia="Times New Roman"/>
        </w:rPr>
        <w:t>S2.4 Kernel PLS</w:t>
      </w:r>
    </w:p>
    <w:p>
      <w:pPr>
        <w:pStyle w:val="FirstParagraph"/>
      </w:pPr>
      <w:r>
        <w:t>The linear kernel dispatches to the ordinary linear SIMPLS route, avoiding an unnecessary n-by-n Gram matrix. RBF and polynomial kernels construct and centre an explicit training Gram matrix and apply stored training means to held-out kernels. One float64 Gram matrix requires 8n^2 bytes before copies and workspaces: 0.75 GiB at n=10,000, 2.98 GiB at n=20,000, 6.71 GiB at n=30,000, and 18.63 GiB at n=50,000. Kernel centring, temporary products, and the R process require additional memory. The deterministic nonlinear-kernel validation included n_train=42-180; it establishes numerical agreement in that range, not large-sample feasibility. Conservative planning limits for the tested hardware are n&lt;=20,000 on the 32-GB workstation and n&lt;=10,000 on the 8-GB unified-memory Mac. These are operational ceilings based on reserving memory for multiple dense buffers, not measured performance limits. Larger nonlinear-kernel jobs were not validated and require an explicit memory calculation. The current CUDA nonlinear-kernel route is host assisted, so the 16-GB device does not remove the host-memory constraint.</w:t>
      </w:r>
    </w:p>
    <w:bookmarkEnd w:id="26"/>
    <w:bookmarkStart w:id="27" w:name="s2.5-randomized-svd"/>
    <w:p>
      <w:pPr>
        <w:pStyle w:val="Heading2"/>
      </w:pPr>
      <w:r>
        <w:rPr>
          <w:rFonts w:ascii="Times New Roman" w:hAnsi="Times New Roman" w:eastAsia="Times New Roman"/>
        </w:rPr>
        <w:t>S2.5 Randomized SVD</w:t>
      </w:r>
    </w:p>
    <w:p>
      <w:pPr>
        <w:pStyle w:val="FirstParagraph"/>
      </w:pPr>
      <w:r>
        <w:t>For a linear operator M and target rank r, rSVD draws a Gaussian matrix, forms a range sketch, applies alternating products with M and its transpose, orthonormalizes the range, and decomposes the reduced matrix. Archived release 0.99.25 uses oversampling 20 and two power iterations as the effective CPU/CUDA default. This configuration met all predefined checks in the five-seed qualification panel; qualification applies to the controls and audited panel, not every future fit. Explicit unqualified controls warn and are stored in diagnostics.</w:t>
      </w:r>
    </w:p>
    <w:p>
      <w:pPr>
        <w:pStyle w:val="BodyText"/>
      </w:pPr>
      <w:r>
        <w:t>CUDA and Metal offload the large matrix products, but neither backend should be described as universally device-resident. In the current float32 CUDA implementation, QR and the reduced decomposition are finalized in host float32 after GPU range products. Metal likewise retains selected host-side reduced operations and SIMPLS direction updates. Supplementary Table S1 records residency by stage rather than assigning a single label to an entire model family.</w:t>
      </w:r>
    </w:p>
    <w:bookmarkEnd w:id="27"/>
    <w:bookmarkStart w:id="28" w:name="s2.6-bundled-irlba"/>
    <w:p>
      <w:pPr>
        <w:pStyle w:val="Heading2"/>
      </w:pPr>
      <w:r>
        <w:rPr>
          <w:rFonts w:ascii="Times New Roman" w:hAnsi="Times New Roman" w:eastAsia="Times New Roman"/>
        </w:rPr>
        <w:t>S2.6 Bundled IRLBA</w:t>
      </w:r>
    </w:p>
    <w:p>
      <w:pPr>
        <w:pStyle w:val="FirstParagraph"/>
      </w:pPr>
      <w:r>
        <w:rPr>
          <w:rFonts w:ascii="Times New Roman" w:hAnsi="Times New Roman" w:eastAsia="Times New Roman"/>
          <w:sz w:val="24"/>
        </w:rPr>
        <w:t>The float64 CPU route bundles augmented implicitly restarted Lanczos bidiagonalization. Under fixed inputs, starting state, and controls it is the deterministic numerical reference used here, but it remains an iterative truncated solver rather than an exact dense decomposition. It expands and restarts a bidiagonal Krylov subspace to approximate the requested dominant singular triplets. The default public controls are maxit=1000, tol=1e-5, eps=1e-9, and svtol=1e-5 unless overridden through .... Exact fallback is used only when either input dimension is below six. IRLBA is otherwise retained even when the requested rank approaches the smaller matrix dimension. The native float32 CPU and Metal routes use separate single-precision IRLBA-style implementations; CUDA float32 currently supports rSVD only.</w:t>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r>
        <w:rPr>
          <w:rFonts w:ascii="Times New Roman" w:hAnsi="Times New Roman" w:eastAsia="Times New Roman"/>
          <w:sz w:val="24"/>
        </w:rPr>
      </w:r>
      <w:r>
        <w:rPr>
          <w:rStyle w:val="VerbatimChar"/>
          <w:rFonts w:ascii="Times New Roman" w:hAnsi="Times New Roman" w:eastAsia="Times New Roman"/>
          <w:sz w:val="24"/>
        </w:rPr>
      </w:r>
      <w:r>
        <w:rPr>
          <w:rFonts w:ascii="Times New Roman" w:hAnsi="Times New Roman" w:eastAsia="Times New Roman"/>
          <w:sz w:val="24"/>
        </w:rPr>
      </w:r>
    </w:p>
    <w:bookmarkEnd w:id="28"/>
    <w:bookmarkStart w:id="29" w:name="s2.7-implicit-cross-covariance-products"/>
    <w:p>
      <w:pPr>
        <w:pStyle w:val="Heading2"/>
      </w:pPr>
      <w:r>
        <w:rPr>
          <w:rFonts w:ascii="Times New Roman" w:hAnsi="Times New Roman" w:eastAsia="Times New Roman"/>
        </w:rPr>
        <w:t>S2.7 Implicit cross-covariance products</w:t>
      </w:r>
    </w:p>
    <w:p>
      <w:pPr>
        <w:pStyle w:val="FirstParagraph"/>
      </w:pPr>
      <w:r>
        <w:rPr>
          <w:rFonts w:ascii="Times New Roman" w:hAnsi="Times New Roman" w:eastAsia="Times New Roman"/>
          <w:sz w:val="24"/>
        </w:rPr>
        <w:t>When</w:t>
      </w:r>
      <w:r>
        <w:rPr>
          <w:rFonts w:ascii="Times New Roman" w:hAnsi="Times New Roman" w:eastAsia="Times New Roman"/>
          <w:sz w:val="24"/>
        </w:rPr>
        <w:t xml:space="preserve"> </w:t>
      </w:r>
      <m:oMath>
        <m:r>
          <m:t>S</m:t>
        </m:r>
        <m:r>
          <m:rPr>
            <m:sty m:val="p"/>
          </m:rPr>
          <m:t>=</m:t>
        </m:r>
        <m:sSup>
          <m:e>
            <m:r>
              <m:t>X</m:t>
            </m:r>
          </m:e>
          <m:sup>
            <m:r>
              <m:rPr>
                <m:sty m:val="p"/>
              </m:rPr>
              <m:t>⊤</m:t>
            </m:r>
          </m:sup>
        </m:sSup>
        <m:r>
          <m:t>Y</m:t>
        </m:r>
      </m:oMath>
      <w:r>
        <w:rPr>
          <w:rFonts w:ascii="Times New Roman" w:hAnsi="Times New Roman" w:eastAsia="Times New Roman"/>
          <w:sz w:val="24"/>
        </w:rPr>
        <w:t xml:space="preserve"> </w:t>
      </w:r>
      <w:r>
        <w:rPr>
          <w:rFonts w:ascii="Times New Roman" w:hAnsi="Times New Roman" w:eastAsia="Times New Roman"/>
          <w:sz w:val="24"/>
        </w:rPr>
        <w:t>is expensive to store, the SVD iteration can apply the same operator through</w:t>
      </w:r>
    </w:p>
    <w:p>
      <w:pPr>
        <w:pStyle w:val="BodyText"/>
      </w:pPr>
      <m:oMathPara>
        <m:oMathParaPr>
          <m:jc m:val="center"/>
        </m:oMathParaPr>
        <m:oMath>
          <m:r>
            <m:t>S</m:t>
          </m:r>
          <m:r>
            <m:t>V</m:t>
          </m:r>
          <m:r>
            <m:rPr>
              <m:sty m:val="p"/>
            </m:rPr>
            <m:t>=</m:t>
          </m:r>
          <m:sSup>
            <m:e>
              <m:r>
                <m:t>X</m:t>
              </m:r>
            </m:e>
            <m:sup>
              <m:r>
                <m:rPr>
                  <m:sty m:val="p"/>
                </m:rPr>
                <m:t>⊤</m:t>
              </m:r>
            </m:sup>
          </m:sSup>
          <m:d>
            <m:dPr>
              <m:begChr m:val="("/>
              <m:endChr m:val=")"/>
              <m:sepChr m:val=""/>
              <m:grow/>
            </m:dPr>
            <m:e>
              <m:r>
                <m:t>Y</m:t>
              </m:r>
              <m:r>
                <m:t>V</m:t>
              </m:r>
            </m:e>
          </m:d>
          <m:r>
            <m:rPr>
              <m:sty m:val="p"/>
            </m:rPr>
            <m:t>,</m:t>
          </m:r>
          <m:r>
            <m:t>  </m:t>
          </m:r>
          <m:sSup>
            <m:e>
              <m:r>
                <m:t>S</m:t>
              </m:r>
            </m:e>
            <m:sup>
              <m:r>
                <m:rPr>
                  <m:sty m:val="p"/>
                </m:rPr>
                <m:t>⊤</m:t>
              </m:r>
            </m:sup>
          </m:sSup>
          <m:r>
            <m:t>U</m:t>
          </m:r>
          <m:r>
            <m:rPr>
              <m:sty m:val="p"/>
            </m:rPr>
            <m:t>=</m:t>
          </m:r>
          <m:sSup>
            <m:e>
              <m:r>
                <m:t>Y</m:t>
              </m:r>
            </m:e>
            <m:sup>
              <m:r>
                <m:rPr>
                  <m:sty m:val="p"/>
                </m:rPr>
                <m:t>⊤</m:t>
              </m:r>
            </m:sup>
          </m:sSup>
          <m:d>
            <m:dPr>
              <m:begChr m:val="("/>
              <m:endChr m:val=")"/>
              <m:sepChr m:val=""/>
              <m:grow/>
            </m:dPr>
            <m:e>
              <m:r>
                <m:t>X</m:t>
              </m:r>
              <m:r>
                <m:t>U</m:t>
              </m:r>
            </m:e>
          </m:d>
          <m:r>
            <m:rPr>
              <m:sty m:val="p"/>
            </m:rPr>
            <m:t>.</m:t>
          </m:r>
        </m:oMath>
      </m:oMathPara>
    </w:p>
    <w:p>
      <w:pPr>
        <w:pStyle w:val="FirstParagraph"/>
      </w:pPr>
      <w:r>
        <w:rPr>
          <w:rFonts w:ascii="Times New Roman" w:hAnsi="Times New Roman" w:eastAsia="Times New Roman"/>
          <w:sz w:val="24"/>
        </w:rPr>
        <w:t>For class labels</w:t>
      </w:r>
      <w:r>
        <w:rPr>
          <w:rFonts w:ascii="Times New Roman" w:hAnsi="Times New Roman" w:eastAsia="Times New Roman"/>
          <w:sz w:val="24"/>
        </w:rPr>
        <w:t xml:space="preserve"> </w:t>
      </w:r>
      <m:oMath>
        <m:sSub>
          <m:e>
            <m:r>
              <m:t>y</m:t>
            </m:r>
          </m:e>
          <m:sub>
            <m:r>
              <m:t>i</m:t>
            </m:r>
          </m:sub>
        </m:sSub>
        <m:r>
          <m:rPr>
            <m:sty m:val="p"/>
          </m:rPr>
          <m:t>∈</m:t>
        </m:r>
        <m:r>
          <m:rPr>
            <m:sty m:val="p"/>
          </m:rPr>
          <m:t>{</m:t>
        </m:r>
        <m:r>
          <m:t>1</m:t>
        </m:r>
        <m:r>
          <m:rPr>
            <m:sty m:val="p"/>
          </m:rPr>
          <m:t>,</m:t>
        </m:r>
        <m:r>
          <m:rPr>
            <m:sty m:val="p"/>
          </m:rPr>
          <m:t>…</m:t>
        </m:r>
        <m:r>
          <m:rPr>
            <m:sty m:val="p"/>
          </m:rPr>
          <m:t>,</m:t>
        </m:r>
        <m:r>
          <m:t>C</m:t>
        </m:r>
        <m:r>
          <m:rPr>
            <m:sty m:val="p"/>
          </m:rPr>
          <m:t>}</m:t>
        </m:r>
      </m:oMath>
      <w:r>
        <w:rPr>
          <w:rFonts w:ascii="Times New Roman" w:hAnsi="Times New Roman" w:eastAsia="Times New Roman"/>
          <w:sz w:val="24"/>
        </w:rPr>
        <w:t>, multiplication by one-hot</w:t>
      </w:r>
      <w:r>
        <w:rPr>
          <w:rFonts w:ascii="Times New Roman" w:hAnsi="Times New Roman" w:eastAsia="Times New Roman"/>
          <w:sz w:val="24"/>
        </w:rPr>
        <w:t xml:space="preserve"> </w:t>
      </w:r>
      <m:oMath>
        <m:r>
          <m:t>Y</m:t>
        </m:r>
      </m:oMath>
      <w:r>
        <w:rPr>
          <w:rFonts w:ascii="Times New Roman" w:hAnsi="Times New Roman" w:eastAsia="Times New Roman"/>
          <w:sz w:val="24"/>
        </w:rPr>
        <w:t xml:space="preserve"> </w:t>
      </w:r>
      <w:r>
        <w:rPr>
          <w:rFonts w:ascii="Times New Roman" w:hAnsi="Times New Roman" w:eastAsia="Times New Roman"/>
          <w:sz w:val="24"/>
        </w:rPr>
        <w:t>is replaced by indexing, and multiplication by</w:t>
      </w:r>
      <w:r>
        <w:rPr>
          <w:rFonts w:ascii="Times New Roman" w:hAnsi="Times New Roman" w:eastAsia="Times New Roman"/>
          <w:sz w:val="24"/>
        </w:rPr>
        <w:t xml:space="preserve"> </w:t>
      </w:r>
      <m:oMath>
        <m:sSup>
          <m:e>
            <m:r>
              <m:t>Y</m:t>
            </m:r>
          </m:e>
          <m:sup>
            <m:r>
              <m:rPr>
                <m:sty m:val="p"/>
              </m:rPr>
              <m:t>⊤</m:t>
            </m:r>
          </m:sup>
        </m:sSup>
      </m:oMath>
      <w:r>
        <w:rPr>
          <w:rFonts w:ascii="Times New Roman" w:hAnsi="Times New Roman" w:eastAsia="Times New Roman"/>
          <w:sz w:val="24"/>
        </w:rPr>
        <w:t xml:space="preserve"> </w:t>
      </w:r>
      <w:r>
        <w:rPr>
          <w:rFonts w:ascii="Times New Roman" w:hAnsi="Times New Roman" w:eastAsia="Times New Roman"/>
          <w:sz w:val="24"/>
        </w:rPr>
        <w:t>is replaced by class-wise sums. With the centred indicator response, the explicit class-sum identity is</w:t>
      </w:r>
    </w:p>
    <w:p>
      <w:pPr>
        <w:pStyle w:val="BodyText"/>
      </w:pPr>
      <m:oMathPara>
        <m:oMathParaPr>
          <m:jc m:val="center"/>
        </m:oMathParaPr>
        <m:oMath>
          <m:sSub>
            <m:e>
              <m:r>
                <m:t>S</m:t>
              </m:r>
            </m:e>
            <m:sub>
              <m:r>
                <m:rPr>
                  <m:sty m:val="p"/>
                </m:rPr>
                <m:t>:</m:t>
              </m:r>
              <m:r>
                <m:t>c</m:t>
              </m:r>
            </m:sub>
          </m:sSub>
          <m:r>
            <m:rPr>
              <m:sty m:val="p"/>
            </m:rPr>
            <m:t>=</m:t>
          </m:r>
          <m:nary>
            <m:naryPr>
              <m:chr m:val="∑"/>
              <m:limLoc m:val="undOvr"/>
              <m:subHide m:val="off"/>
              <m:supHide m:val="on"/>
            </m:naryPr>
            <m:sub>
              <m:r>
                <m:t>i</m:t>
              </m:r>
              <m:r>
                <m:rPr>
                  <m:sty m:val="p"/>
                </m:rPr>
                <m:t>:</m:t>
              </m:r>
              <m:sSub>
                <m:e>
                  <m:r>
                    <m:t>y</m:t>
                  </m:r>
                </m:e>
                <m:sub>
                  <m:r>
                    <m:t>i</m:t>
                  </m:r>
                </m:sub>
              </m:sSub>
              <m:r>
                <m:rPr>
                  <m:sty m:val="p"/>
                </m:rPr>
                <m:t>=</m:t>
              </m:r>
              <m:r>
                <m:t>c</m:t>
              </m:r>
            </m:sub>
            <m:sup>
              <m:r>
                <m:t>​</m:t>
              </m:r>
            </m:sup>
            <m:e>
              <m:sSub>
                <m:e>
                  <m:r>
                    <m:t>x</m:t>
                  </m:r>
                </m:e>
                <m:sub>
                  <m:r>
                    <m:t>i</m:t>
                  </m:r>
                </m:sub>
              </m:sSub>
            </m:e>
          </m:nary>
          <m:r>
            <m:rPr>
              <m:sty m:val="p"/>
            </m:rPr>
            <m:t>−</m:t>
          </m:r>
          <m:f>
            <m:fPr>
              <m:type m:val="bar"/>
            </m:fPr>
            <m:num>
              <m:sSub>
                <m:e>
                  <m:r>
                    <m:t>n</m:t>
                  </m:r>
                </m:e>
                <m:sub>
                  <m:r>
                    <m:t>c</m:t>
                  </m:r>
                </m:sub>
              </m:sSub>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oMath>
      </m:oMathPara>
    </w:p>
    <w:p>
      <w:pPr>
        <w:pStyle w:val="FirstParagraph"/>
      </w:pPr>
      <w:r>
        <w:rPr>
          <w:rFonts w:ascii="Times New Roman" w:hAnsi="Times New Roman" w:eastAsia="Times New Roman"/>
          <w:sz w:val="24"/>
        </w:rPr>
        <w:t>The same centring and scaling values are applied in every row block. No independent SVD is fitted to separate blocks, so the mathematical operator remains the full cross-covariance.</w:t>
      </w:r>
    </w:p>
    <w:p>
      <w:pPr>
        <w:pStyle w:val="BodyText"/>
      </w:pPr>
      <w:r>
        <w:rPr>
          <w:rFonts w:ascii="Times New Roman" w:hAnsi="Times New Roman" w:eastAsia="Times New Roman"/>
          <w:sz w:val="24"/>
        </w:rPr>
        <w:t>The package uses distinct internal activation rules for rSVD and IRLBA because their iteration and memory profiles differ. These rules are implementation controls, not user-facing statistical parameters.</w:t>
      </w:r>
    </w:p>
    <w:bookmarkEnd w:id="29"/>
    <w:bookmarkStart w:id="30" w:name="s2.8-compact-and-streamed-prediction"/>
    <w:p>
      <w:pPr>
        <w:pStyle w:val="Heading2"/>
      </w:pPr>
      <w:r>
        <w:rPr>
          <w:rFonts w:ascii="Times New Roman" w:hAnsi="Times New Roman" w:eastAsia="Times New Roman"/>
        </w:rPr>
        <w:t>S2.8 Compact and streamed prediction</w:t>
      </w:r>
    </w:p>
    <w:p>
      <w:pPr>
        <w:pStyle w:val="FirstParagraph"/>
      </w:pPr>
      <w:r>
        <w:t>For SIMPLS, a prediction at retained component count A is evaluated through compact latent factors rather than a dense coefficient matrix. Large test matrices are processed in row blocks and intermediate score matrices are released after use. This limits retained prediction state to the current block and low-rank factors; it does not introduce a separate SVD solver.</w:t>
      </w:r>
    </w:p>
    <w:bookmarkEnd w:id="30"/>
    <w:bookmarkEnd w:id="31"/>
    <w:bookmarkStart w:id="35" w:name="s3.-classification-heads"/>
    <w:p>
      <w:pPr>
        <w:pStyle w:val="Heading1"/>
        <w:spacing w:after="160" w:line="240" w:lineRule="auto"/>
      </w:pPr>
      <w:r>
        <w:rPr>
          <w:rFonts w:ascii="Times New Roman" w:hAnsi="Times New Roman" w:eastAsia="Times New Roman"/>
        </w:rPr>
        <w:t>S3. Classification heads</w:t>
      </w:r>
    </w:p>
    <w:bookmarkStart w:id="32" w:name="s3.1-argmax"/>
    <w:p>
      <w:pPr>
        <w:pStyle w:val="Heading2"/>
        <w:spacing w:before="80" w:after="80" w:line="240" w:lineRule="auto"/>
      </w:pPr>
      <w:r>
        <w:rPr>
          <w:rFonts w:ascii="Times New Roman" w:hAnsi="Times New Roman" w:eastAsia="Times New Roman"/>
        </w:rPr>
        <w:t>S3.1 Argmax</w:t>
      </w:r>
    </w:p>
    <w:p>
      <w:pPr>
        <w:pStyle w:val="FirstParagraph"/>
      </w:pPr>
      <w:r>
        <w:rPr>
          <w:rFonts w:ascii="Times New Roman" w:hAnsi="Times New Roman" w:eastAsia="Times New Roman"/>
          <w:sz w:val="24"/>
        </w:rPr>
        <w:t>Argmax applies PLS regression to the multivariate class response and selects the class with the largest predicted response score. It is the standard PLS-DA decoding rule and requires no separate classifier fit.</w:t>
      </w:r>
    </w:p>
    <w:bookmarkEnd w:id="32"/>
    <w:bookmarkStart w:id="33" w:name="s3.2-latent-space-lda"/>
    <w:p>
      <w:pPr>
        <w:pStyle w:val="Heading2"/>
      </w:pPr>
      <w:r>
        <w:rPr>
          <w:rFonts w:ascii="Times New Roman" w:hAnsi="Times New Roman" w:eastAsia="Times New Roman"/>
        </w:rPr>
        <w:t>S3.2 Latent-space LDA</w:t>
      </w:r>
    </w:p>
    <w:p>
      <w:pPr>
        <w:pStyle w:val="FirstParagraph"/>
      </w:pPr>
      <w:r>
        <w:rPr>
          <w:rFonts w:ascii="Times New Roman" w:hAnsi="Times New Roman" w:eastAsia="Times New Roman"/>
          <w:sz w:val="24"/>
        </w:rPr>
        <w:t>LDA is fitted to the PLS training scores. For class counts</w:t>
      </w:r>
      <w:r>
        <w:rPr>
          <w:rFonts w:ascii="Times New Roman" w:hAnsi="Times New Roman" w:eastAsia="Times New Roman"/>
          <w:sz w:val="24"/>
        </w:rPr>
        <w:t xml:space="preserve"> </w:t>
      </w:r>
      <m:oMath>
        <m:sSub>
          <m:e>
            <m:r>
              <m:t>n</m:t>
            </m:r>
          </m:e>
          <m:sub>
            <m:r>
              <m:t>c</m:t>
            </m:r>
          </m:sub>
        </m:sSub>
      </m:oMath>
      <w:r>
        <w:rPr>
          <w:rFonts w:ascii="Times New Roman" w:hAnsi="Times New Roman" w:eastAsia="Times New Roman"/>
          <w:sz w:val="24"/>
        </w:rPr>
        <w:t xml:space="preserve"> </w:t>
      </w:r>
      <w:r>
        <w:rPr>
          <w:rFonts w:ascii="Times New Roman" w:hAnsi="Times New Roman" w:eastAsia="Times New Roman"/>
          <w:sz w:val="24"/>
        </w:rPr>
        <w:t>and means</w:t>
      </w:r>
      <w:r>
        <w:rPr>
          <w:rFonts w:ascii="Times New Roman" w:hAnsi="Times New Roman" w:eastAsia="Times New Roman"/>
          <w:sz w:val="24"/>
        </w:rPr>
        <w:t xml:space="preserve"> </w:t>
      </w:r>
      <m:oMath>
        <m:sSub>
          <m:e>
            <m:r>
              <m:t>μ</m:t>
            </m:r>
          </m:e>
          <m:sub>
            <m:r>
              <m:t>c</m:t>
            </m:r>
          </m:sub>
        </m:sSub>
      </m:oMath>
      <w:r>
        <w:rPr>
          <w:rFonts w:ascii="Times New Roman" w:hAnsi="Times New Roman" w:eastAsia="Times New Roman"/>
          <w:sz w:val="24"/>
        </w:rPr>
        <w:t>, the pooled covariance is computed from moments:</w:t>
      </w:r>
    </w:p>
    <w:p>
      <w:pPr>
        <w:pStyle w:val="BodyText"/>
      </w:pPr>
      <m:oMathPara>
        <m:oMathParaPr>
          <m:jc m:val="center"/>
        </m:oMathParaPr>
        <m:oMath>
          <m:r>
            <m:t>Σ</m:t>
          </m:r>
          <m:r>
            <m:rPr>
              <m:sty m:val="p"/>
            </m:rPr>
            <m:t>=</m:t>
          </m:r>
          <m:f>
            <m:fPr>
              <m:type m:val="bar"/>
            </m:fPr>
            <m:num>
              <m:sSup>
                <m:e>
                  <m:r>
                    <m:t>T</m:t>
                  </m:r>
                </m:e>
                <m:sup>
                  <m:r>
                    <m:rPr>
                      <m:sty m:val="p"/>
                    </m:rPr>
                    <m:t>⊤</m:t>
                  </m:r>
                </m:sup>
              </m:sSup>
              <m:r>
                <m:t>T</m:t>
              </m:r>
              <m:r>
                <m:rPr>
                  <m:sty m:val="p"/>
                </m:rPr>
                <m:t>−</m:t>
              </m:r>
              <m:nary>
                <m:naryPr>
                  <m:chr m:val="∑"/>
                  <m:limLoc m:val="undOvr"/>
                  <m:subHide m:val="off"/>
                  <m:supHide m:val="on"/>
                </m:naryPr>
                <m:sub>
                  <m:r>
                    <m:t>c</m:t>
                  </m:r>
                </m:sub>
                <m:sup>
                  <m:r>
                    <m:t>​</m:t>
                  </m:r>
                </m:sup>
                <m:e>
                  <m:sSub>
                    <m:e>
                      <m:r>
                        <m:t>n</m:t>
                      </m:r>
                    </m:e>
                    <m:sub>
                      <m:r>
                        <m:t>c</m:t>
                      </m:r>
                    </m:sub>
                  </m:sSub>
                </m:e>
              </m:nary>
              <m:sSub>
                <m:e>
                  <m:r>
                    <m:t>μ</m:t>
                  </m:r>
                </m:e>
                <m:sub>
                  <m:r>
                    <m:t>c</m:t>
                  </m:r>
                </m:sub>
              </m:sSub>
              <m:sSubSup>
                <m:e>
                  <m:r>
                    <m:t>μ</m:t>
                  </m:r>
                </m:e>
                <m:sub>
                  <m:r>
                    <m:t>c</m:t>
                  </m:r>
                </m:sub>
                <m:sup>
                  <m:r>
                    <m:rPr>
                      <m:sty m:val="p"/>
                    </m:rPr>
                    <m:t>⊤</m:t>
                  </m:r>
                </m:sup>
              </m:sSubSup>
            </m:num>
            <m:den>
              <m:r>
                <m:rPr>
                  <m:sty m:val="p"/>
                </m:rPr>
                <m:t>max</m:t>
              </m:r>
              <m:d>
                <m:dPr>
                  <m:begChr m:val="("/>
                  <m:endChr m:val=")"/>
                  <m:sepChr m:val=""/>
                  <m:grow/>
                </m:dPr>
                <m:e>
                  <m:r>
                    <m:t>1</m:t>
                  </m:r>
                  <m:r>
                    <m:rPr>
                      <m:sty m:val="p"/>
                    </m:rPr>
                    <m:t>,</m:t>
                  </m:r>
                  <m:r>
                    <m:t>n</m:t>
                  </m:r>
                  <m:r>
                    <m:rPr>
                      <m:sty m:val="p"/>
                    </m:rPr>
                    <m:t>−</m:t>
                  </m:r>
                  <m:r>
                    <m:t>C</m:t>
                  </m:r>
                </m:e>
              </m:d>
            </m:den>
          </m:f>
          <m:r>
            <m:rPr>
              <m:sty m:val="p"/>
            </m:rPr>
            <m:t>.</m:t>
          </m:r>
        </m:oMath>
      </m:oMathPara>
    </w:p>
    <w:p>
      <w:pPr>
        <w:pStyle w:val="FirstParagraph"/>
      </w:pPr>
      <w:r>
        <w:rPr>
          <w:rFonts w:ascii="Times New Roman" w:hAnsi="Times New Roman" w:eastAsia="Times New Roman"/>
          <w:sz w:val="24"/>
        </w:rPr>
        <w:t>For each class, the system</w:t>
      </w:r>
      <w:r>
        <w:rPr>
          <w:rFonts w:ascii="Times New Roman" w:hAnsi="Times New Roman" w:eastAsia="Times New Roman"/>
          <w:sz w:val="24"/>
        </w:rPr>
        <w:t xml:space="preserve"> </w:t>
      </w:r>
      <m:oMath>
        <m:r>
          <m:t>Σ</m:t>
        </m:r>
        <m:sSub>
          <m:e>
            <m:r>
              <m:t>w</m:t>
            </m:r>
          </m:e>
          <m:sub>
            <m:r>
              <m:t>c</m:t>
            </m:r>
          </m:sub>
        </m:sSub>
        <m:r>
          <m:rPr>
            <m:sty m:val="p"/>
          </m:rPr>
          <m:t>=</m:t>
        </m:r>
        <m:sSub>
          <m:e>
            <m:r>
              <m:t>μ</m:t>
            </m:r>
          </m:e>
          <m:sub>
            <m:r>
              <m:t>c</m:t>
            </m:r>
          </m:sub>
        </m:sSub>
      </m:oMath>
      <w:r>
        <w:rPr>
          <w:rFonts w:ascii="Times New Roman" w:hAnsi="Times New Roman" w:eastAsia="Times New Roman"/>
          <w:sz w:val="24"/>
        </w:rPr>
        <w:t xml:space="preserve"> </w:t>
      </w:r>
      <w:r>
        <w:rPr>
          <w:rFonts w:ascii="Times New Roman" w:hAnsi="Times New Roman" w:eastAsia="Times New Roman"/>
          <w:sz w:val="24"/>
        </w:rPr>
        <w:t>is solved by Cholesky factorization and triangular solves. If factorization fails, the implementation sets</w:t>
      </w:r>
      <w:r>
        <w:rPr>
          <w:rFonts w:ascii="Times New Roman" w:hAnsi="Times New Roman" w:eastAsia="Times New Roman"/>
          <w:sz w:val="24"/>
        </w:rPr>
        <w:t xml:space="preserve"> </w:t>
      </w:r>
      <m:oMath>
        <m:r>
          <m:t>s</m:t>
        </m:r>
        <m:r>
          <m:rPr>
            <m:sty m:val="p"/>
          </m:rPr>
          <m:t>=</m:t>
        </m:r>
        <m:r>
          <m:rPr>
            <m:sty m:val="p"/>
          </m:rPr>
          <m:t>tr</m:t>
        </m:r>
        <m:d>
          <m:dPr>
            <m:begChr m:val="("/>
            <m:endChr m:val=")"/>
            <m:sepChr m:val=""/>
            <m:grow/>
          </m:dPr>
          <m:e>
            <m:r>
              <m:t>Σ</m:t>
            </m:r>
          </m:e>
        </m:d>
        <m:r>
          <m:rPr>
            <m:sty m:val="p"/>
          </m:rPr>
          <m:t>/</m:t>
        </m:r>
        <m:r>
          <m:t>d</m:t>
        </m:r>
      </m:oMath>
      <w:r>
        <w:rPr>
          <w:rFonts w:ascii="Times New Roman" w:hAnsi="Times New Roman" w:eastAsia="Times New Roman"/>
          <w:sz w:val="24"/>
        </w:rPr>
        <w:t xml:space="preserve"> </w:t>
      </w:r>
      <w:r>
        <w:rPr>
          <w:rFonts w:ascii="Times New Roman" w:hAnsi="Times New Roman" w:eastAsia="Times New Roman"/>
          <w:sz w:val="24"/>
        </w:rPr>
        <w:t>when finite and positive, or</w:t>
      </w:r>
      <w:r>
        <w:rPr>
          <w:rFonts w:ascii="Times New Roman" w:hAnsi="Times New Roman" w:eastAsia="Times New Roman"/>
          <w:sz w:val="24"/>
        </w:rPr>
        <w:t xml:space="preserve"> </w:t>
      </w:r>
      <m:oMath>
        <m:r>
          <m:t>s</m:t>
        </m:r>
        <m:r>
          <m:rPr>
            <m:sty m:val="p"/>
          </m:rPr>
          <m:t>=</m:t>
        </m:r>
        <m:r>
          <m:t>1</m:t>
        </m:r>
      </m:oMath>
      <w:r>
        <w:rPr>
          <w:rFonts w:ascii="Times New Roman" w:hAnsi="Times New Roman" w:eastAsia="Times New Roman"/>
          <w:sz w:val="24"/>
        </w:rPr>
        <w:t xml:space="preserve"> </w:t>
      </w:r>
      <w:r>
        <w:rPr>
          <w:rFonts w:ascii="Times New Roman" w:hAnsi="Times New Roman" w:eastAsia="Times New Roman"/>
          <w:sz w:val="24"/>
        </w:rPr>
        <w:t>otherwise, and tries</w:t>
      </w:r>
      <w:r>
        <w:rPr>
          <w:rFonts w:ascii="Times New Roman" w:hAnsi="Times New Roman" w:eastAsia="Times New Roman"/>
          <w:sz w:val="24"/>
        </w:rPr>
        <w:t xml:space="preserve"> </w:t>
      </w:r>
      <m:oMath>
        <m:r>
          <m:t>Σ</m:t>
        </m:r>
        <m:r>
          <m:rPr>
            <m:sty m:val="p"/>
          </m:rPr>
          <m:t>+</m:t>
        </m:r>
        <m:r>
          <m:t>ρ</m:t>
        </m:r>
        <m:r>
          <m:t>s</m:t>
        </m:r>
        <m:r>
          <m:t>I</m:t>
        </m:r>
      </m:oMath>
      <w:r>
        <w:rPr>
          <w:rFonts w:ascii="Times New Roman" w:hAnsi="Times New Roman" w:eastAsia="Times New Roman"/>
          <w:sz w:val="24"/>
        </w:rPr>
        <w:t xml:space="preserve"> </w:t>
      </w:r>
      <w:r>
        <w:rPr>
          <w:rFonts w:ascii="Times New Roman" w:hAnsi="Times New Roman" w:eastAsia="Times New Roman"/>
          <w:sz w:val="24"/>
        </w:rPr>
        <w:t>for</w:t>
      </w:r>
      <w:r>
        <w:rPr>
          <w:rFonts w:ascii="Times New Roman" w:hAnsi="Times New Roman" w:eastAsia="Times New Roman"/>
          <w:sz w:val="24"/>
        </w:rPr>
        <w:t xml:space="preserve"> </w:t>
      </w:r>
      <m:oMath>
        <m:r>
          <m:t>ρ</m:t>
        </m:r>
        <m:r>
          <m:rPr>
            <m:sty m:val="p"/>
          </m:rPr>
          <m:t>∈</m:t>
        </m:r>
        <m:r>
          <m:rPr>
            <m:sty m:val="p"/>
          </m:rPr>
          <m:t>{</m:t>
        </m:r>
        <m:sSup>
          <m:e>
            <m:r>
              <m:t>10</m:t>
            </m:r>
          </m:e>
          <m:sup>
            <m:r>
              <m:rPr>
                <m:sty m:val="p"/>
              </m:rPr>
              <m:t>−</m:t>
            </m:r>
            <m:r>
              <m:t>8</m:t>
            </m:r>
          </m:sup>
        </m:sSup>
        <m:r>
          <m:rPr>
            <m:sty m:val="p"/>
          </m:rPr>
          <m:t>,</m:t>
        </m:r>
        <m:sSup>
          <m:e>
            <m:r>
              <m:t>10</m:t>
            </m:r>
          </m:e>
          <m:sup>
            <m:r>
              <m:rPr>
                <m:sty m:val="p"/>
              </m:rPr>
              <m:t>−</m:t>
            </m:r>
            <m:r>
              <m:t>6</m:t>
            </m:r>
          </m:sup>
        </m:sSup>
        <m:r>
          <m:rPr>
            <m:sty m:val="p"/>
          </m:rPr>
          <m:t>,</m:t>
        </m:r>
        <m:sSup>
          <m:e>
            <m:r>
              <m:t>10</m:t>
            </m:r>
          </m:e>
          <m:sup>
            <m:r>
              <m:rPr>
                <m:sty m:val="p"/>
              </m:rPr>
              <m:t>−</m:t>
            </m:r>
            <m:r>
              <m:t>5</m:t>
            </m:r>
          </m:sup>
        </m:sSup>
        <m:r>
          <m:rPr>
            <m:sty m:val="p"/>
          </m:rPr>
          <m:t>,</m:t>
        </m:r>
        <m:sSup>
          <m:e>
            <m:r>
              <m:t>10</m:t>
            </m:r>
          </m:e>
          <m:sup>
            <m:r>
              <m:rPr>
                <m:sty m:val="p"/>
              </m:rPr>
              <m:t>−</m:t>
            </m:r>
            <m:r>
              <m:t>4</m:t>
            </m:r>
          </m:sup>
        </m:sSup>
        <m:r>
          <m:rPr>
            <m:sty m:val="p"/>
          </m:rPr>
          <m:t>,</m:t>
        </m:r>
        <m:sSup>
          <m:e>
            <m:r>
              <m:t>10</m:t>
            </m:r>
          </m:e>
          <m:sup>
            <m:r>
              <m:rPr>
                <m:sty m:val="p"/>
              </m:rPr>
              <m:t>−</m:t>
            </m:r>
            <m:r>
              <m:t>3</m:t>
            </m:r>
          </m:sup>
        </m:sSup>
        <m:r>
          <m:rPr>
            <m:sty m:val="p"/>
          </m:rPr>
          <m:t>,</m:t>
        </m:r>
        <m:sSup>
          <m:e>
            <m:r>
              <m:t>10</m:t>
            </m:r>
          </m:e>
          <m:sup>
            <m:r>
              <m:rPr>
                <m:sty m:val="p"/>
              </m:rPr>
              <m:t>−</m:t>
            </m:r>
            <m:r>
              <m:t>2</m:t>
            </m:r>
          </m:sup>
        </m:sSup>
        <m:r>
          <m:rPr>
            <m:sty m:val="p"/>
          </m:rPr>
          <m:t>}</m:t>
        </m:r>
      </m:oMath>
      <w:r>
        <w:rPr>
          <w:rFonts w:ascii="Times New Roman" w:hAnsi="Times New Roman" w:eastAsia="Times New Roman"/>
          <w:sz w:val="24"/>
        </w:rPr>
        <w:t xml:space="preserve"> </w:t>
      </w:r>
      <w:r>
        <w:rPr>
          <w:rFonts w:ascii="Times New Roman" w:hAnsi="Times New Roman" w:eastAsia="Times New Roman"/>
          <w:sz w:val="24"/>
        </w:rPr>
        <w:t>in this fixed order. The sequence is a numerical fallback, not a tuned hyperparameter. The discriminant is</w:t>
      </w:r>
    </w:p>
    <w:p>
      <w:pPr>
        <w:pStyle w:val="BodyText"/>
      </w:pPr>
      <w:r>
        <w:t>Fallback-use audit. In the fixed-score numerical study, all 144 candidate float32 LDA fits (72 CPU and 72 CUDA) succeeded at the first nominal relative regularization value, rho = 1e-8; no escalation occurred and CPU/CUDA selected values did not differ beyond float32 representation. The archived public end-to-end workflow rows did not retain the selected fallback value, so invocation frequencies are not claimed for those older benchmarks. Future publication reruns must record rho for every fitted prefix and backend.</w:t>
      </w:r>
    </w:p>
    <w:p>
      <w:pPr>
        <w:pStyle w:val="BodyText"/>
      </w:pPr>
      <m:oMathPara>
        <m:oMathParaPr>
          <m:jc m:val="center"/>
        </m:oMathParaPr>
        <m:oMath>
          <m:sSub>
            <m:e>
              <m:r>
                <m:t>δ</m:t>
              </m:r>
            </m:e>
            <m:sub>
              <m:r>
                <m:t>c</m:t>
              </m:r>
            </m:sub>
          </m:sSub>
          <m:d>
            <m:dPr>
              <m:begChr m:val="("/>
              <m:endChr m:val=")"/>
              <m:sepChr m:val=""/>
              <m:grow/>
            </m:dPr>
            <m:e>
              <m:r>
                <m:t>t</m:t>
              </m:r>
            </m:e>
          </m:d>
          <m:r>
            <m:rPr>
              <m:sty m:val="p"/>
            </m:rPr>
            <m:t>=</m:t>
          </m:r>
          <m:sSup>
            <m:e>
              <m:r>
                <m:t>t</m:t>
              </m:r>
            </m:e>
            <m:sup>
              <m:r>
                <m:rPr>
                  <m:sty m:val="p"/>
                </m:rPr>
                <m:t>⊤</m:t>
              </m:r>
            </m:sup>
          </m:sSup>
          <m:sSub>
            <m:e>
              <m:r>
                <m:t>w</m:t>
              </m:r>
            </m:e>
            <m:sub>
              <m:r>
                <m:t>c</m:t>
              </m:r>
            </m:sub>
          </m:sSub>
          <m:r>
            <m:rPr>
              <m:sty m:val="p"/>
            </m:rPr>
            <m:t>−</m:t>
          </m:r>
          <m:f>
            <m:fPr>
              <m:type m:val="bar"/>
            </m:fPr>
            <m:num>
              <m:r>
                <m:t>1</m:t>
              </m:r>
            </m:num>
            <m:den>
              <m:r>
                <m:t>2</m:t>
              </m:r>
            </m:den>
          </m:f>
          <m:sSubSup>
            <m:e>
              <m:r>
                <m:t>μ</m:t>
              </m:r>
            </m:e>
            <m:sub>
              <m:r>
                <m:t>c</m:t>
              </m:r>
            </m:sub>
            <m:sup>
              <m:r>
                <m:rPr>
                  <m:sty m:val="p"/>
                </m:rPr>
                <m:t>⊤</m:t>
              </m:r>
            </m:sup>
          </m:sSubSup>
          <m:sSub>
            <m:e>
              <m:r>
                <m:t>w</m:t>
              </m:r>
            </m:e>
            <m:sub>
              <m:r>
                <m:t>c</m:t>
              </m:r>
            </m:sub>
          </m:sSub>
          <m:r>
            <m:rPr>
              <m:sty m:val="p"/>
            </m:rPr>
            <m:t>+</m:t>
          </m:r>
          <m:r>
            <m:rPr>
              <m:sty m:val="p"/>
            </m:rPr>
            <m:t>log</m:t>
          </m:r>
          <m:d>
            <m:dPr>
              <m:begChr m:val="("/>
              <m:endChr m:val=")"/>
              <m:sepChr m:val=""/>
              <m:grow/>
            </m:dPr>
            <m:e>
              <m:sSub>
                <m:e>
                  <m:r>
                    <m:t>n</m:t>
                  </m:r>
                </m:e>
                <m:sub>
                  <m:r>
                    <m:t>c</m:t>
                  </m:r>
                </m:sub>
              </m:sSub>
              <m:r>
                <m:rPr>
                  <m:sty m:val="p"/>
                </m:rPr>
                <m:t>/</m:t>
              </m:r>
              <m:r>
                <m:t>n</m:t>
              </m:r>
            </m:e>
          </m:d>
          <m:r>
            <m:rPr>
              <m:sty m:val="p"/>
            </m:rPr>
            <m:t>.</m:t>
          </m:r>
        </m:oMath>
      </m:oMathPara>
    </w:p>
    <w:p>
      <w:pPr>
        <w:pStyle w:val="FirstParagraph"/>
      </w:pPr>
      <w:r>
        <w:t>The float32 CPU, CUDA, and Metal routes keep their supported PLS arithmetic in the input precision. CUDA LDA uses single-precision score, covariance, factorization, and prediction buffers; Metal presently uses accelerated score projection with host-side LDA factorization. A controlled CPU/CUDA/Metal screen verified identical decoded labels for all four PLS families on a fixed classification task and relative prediction differences no larger than 2.4×10−6 on a fixed univariate-regression task.</w:t>
      </w:r>
    </w:p>
    <w:bookmarkEnd w:id="33"/>
    <w:bookmarkStart w:id="34" w:name="s3.3-candidate-knn-proof-of-concept"/>
    <w:bookmarkEnd w:id="34"/>
    <w:bookmarkEnd w:id="35"/>
    <w:bookmarkStart w:id="36" w:name="s4.-cross-validation-and-metrics"/>
    <w:p>
      <w:pPr>
        <w:pStyle w:val="Heading1"/>
      </w:pPr>
      <w:r>
        <w:rPr>
          <w:rFonts w:ascii="Times New Roman" w:hAnsi="Times New Roman" w:eastAsia="Times New Roman"/>
        </w:rPr>
        <w:t>S4. Cross-validation and metrics</w:t>
      </w:r>
    </w:p>
    <w:p>
      <w:pPr>
        <w:pStyle w:val="FirstParagraph"/>
      </w:pPr>
      <w:r>
        <w:t>pls.single.cv() evaluates eligible combinations of component count and prediction settings within one K-fold layer; pls.double.cv() adds an outer layer for performance estimation after tuning. For classification, auto selection uses accuracy; balanced accuracy, the unweighted mean of class-specific recalls, must be requested when class imbalance makes overall accuracy inappropriate. Dummy-response Q² is also available but is not decoded-label performance. For regression, auto selection uses RMSD. The 'r2' selection metric denotes an observed-mean held-out R², whereas 'q2' uses fold-training response means. Full-data training R² is descriptive and is never optimized. Nested permutation inference uses the same selected endpoint and its appropriate tail. Grouped permutation and fold rules preserve complete equal-size constraint blocks; failed null fits are recorded and excluded from the successful-null count.</w:t>
      </w:r>
    </w:p>
    <w:p>
      <w:pPr>
        <w:pStyle w:val="BodyText"/>
      </w:pPr>
      <w:r>
        <w:t>Two uses of component grids are distinguished. Benchmark trajectory figures evaluate fixed component counts on a fixed test set and are descriptive. Training-only model selection reports the best value within the evaluated grid. Among 46 evaluated family-dataset choices, 20 reached the upper boundary, four reached the lower boundary, nine were response-rank limited, and 13 were interior. Thus 33/46 choices were constrained and are treated as fixed computational workloads rather than unconstrained predictive optima. The complete status is stored in benchmark_results/manuscript_revision_cycle48_20260726/component_selection_by_family.csv. NMR was the central sensitivity analysis: its grid was extended to 300 components and the one-standard-error rule selected interior settings. Table S14 reports supporting repeated-partition sensitivity, explicitly separated from archived-release central claims.</w:t>
      </w:r>
    </w:p>
    <w:p>
      <w:pPr>
        <w:pStyle w:val="BodyText"/>
      </w:pPr>
      <w:r>
        <w:rPr>
          <w:rFonts w:ascii="Times New Roman" w:hAnsi="Times New Roman" w:eastAsia="Times New Roman"/>
          <w:sz w:val="24"/>
        </w:rPr>
        <w:t>For observed labels</w:t>
      </w:r>
      <w:r>
        <w:rPr>
          <w:rFonts w:ascii="Times New Roman" w:hAnsi="Times New Roman" w:eastAsia="Times New Roman"/>
          <w:sz w:val="24"/>
        </w:rPr>
        <w:t xml:space="preserve"> </w:t>
      </w:r>
      <m:oMath>
        <m:sSub>
          <m:e>
            <m:r>
              <m:t>y</m:t>
            </m:r>
          </m:e>
          <m:sub>
            <m:r>
              <m:t>i</m:t>
            </m:r>
          </m:sub>
        </m:sSub>
      </m:oMath>
      <w:r>
        <w:rPr>
          <w:rFonts w:ascii="Times New Roman" w:hAnsi="Times New Roman" w:eastAsia="Times New Roman"/>
          <w:sz w:val="24"/>
        </w:rPr>
        <w:t xml:space="preserve"> </w:t>
      </w:r>
      <w:r>
        <w:rPr>
          <w:rFonts w:ascii="Times New Roman" w:hAnsi="Times New Roman" w:eastAsia="Times New Roman"/>
          <w:sz w:val="24"/>
        </w:rPr>
        <w:t>and decoded predictions</w:t>
      </w:r>
      <w:r>
        <w:rPr>
          <w:rFonts w:ascii="Times New Roman" w:hAnsi="Times New Roman" w:eastAsia="Times New Roman"/>
          <w:sz w:val="24"/>
        </w:rPr>
        <w:t xml:space="preserve"> </w:t>
      </w:r>
      <m:oMath>
        <m:sSub>
          <m:e>
            <m:acc>
              <m:accPr>
                <m:chr m:val="̂"/>
              </m:accPr>
              <m:e>
                <m:r>
                  <m:t>y</m:t>
                </m:r>
              </m:e>
            </m:acc>
          </m:e>
          <m:sub>
            <m:r>
              <m:t>i</m:t>
            </m:r>
          </m:sub>
        </m:sSub>
      </m:oMath>
      <w:r>
        <w:rPr>
          <w:rFonts w:ascii="Times New Roman" w:hAnsi="Times New Roman" w:eastAsia="Times New Roman"/>
          <w:sz w:val="24"/>
        </w:rPr>
        <w:t>, accuracy is</w:t>
      </w:r>
      <w:r>
        <w:rPr>
          <w:rFonts w:ascii="Times New Roman" w:hAnsi="Times New Roman" w:eastAsia="Times New Roman"/>
          <w:sz w:val="24"/>
        </w:rPr>
        <w:t xml:space="preserve"> </w:t>
      </w:r>
      <m:oMath>
        <m:sSup>
          <m:e>
            <m:r>
              <m:t>n</m:t>
            </m:r>
          </m:e>
          <m:sup>
            <m:r>
              <m:rPr>
                <m:sty m:val="p"/>
              </m:rPr>
              <m:t>−</m:t>
            </m:r>
            <m:r>
              <m:t>1</m:t>
            </m:r>
          </m:sup>
        </m:sSup>
        <m:nary>
          <m:naryPr>
            <m:chr m:val="∑"/>
            <m:limLoc m:val="undOvr"/>
            <m:subHide m:val="off"/>
            <m:supHide m:val="on"/>
          </m:naryPr>
          <m:sub>
            <m:r>
              <m:t>i</m:t>
            </m:r>
          </m:sub>
          <m:sup>
            <m:r>
              <m:t>​</m:t>
            </m:r>
          </m:sup>
          <m:e>
            <m:r>
              <m:t>I</m:t>
            </m:r>
          </m:e>
        </m:nary>
        <m:d>
          <m:dPr>
            <m:begChr m:val="("/>
            <m:endChr m:val=")"/>
            <m:sepChr m:val=""/>
            <m:grow/>
          </m:dPr>
          <m:e>
            <m:sSub>
              <m:e>
                <m:r>
                  <m:t>y</m:t>
                </m:r>
              </m:e>
              <m:sub>
                <m:r>
                  <m:t>i</m:t>
                </m:r>
              </m:sub>
            </m:sSub>
            <m:r>
              <m:rPr>
                <m:sty m:val="p"/>
              </m:rPr>
              <m:t>=</m:t>
            </m:r>
            <m:sSub>
              <m:e>
                <m:acc>
                  <m:accPr>
                    <m:chr m:val="̂"/>
                  </m:accPr>
                  <m:e>
                    <m:r>
                      <m:t>y</m:t>
                    </m:r>
                  </m:e>
                </m:acc>
              </m:e>
              <m:sub>
                <m:r>
                  <m:t>i</m:t>
                </m:r>
              </m:sub>
            </m:sSub>
          </m:e>
        </m:d>
      </m:oMath>
      <w:r>
        <w:rPr>
          <w:rFonts w:ascii="Times New Roman" w:hAnsi="Times New Roman" w:eastAsia="Times New Roman"/>
          <w:sz w:val="24"/>
        </w:rPr>
        <w:t>. Top-</w:t>
      </w:r>
      <m:oMath>
        <m:r>
          <m:t>k</m:t>
        </m:r>
      </m:oMath>
      <w:r>
        <w:rPr>
          <w:rFonts w:ascii="Times New Roman" w:hAnsi="Times New Roman" w:eastAsia="Times New Roman"/>
          <w:sz w:val="24"/>
        </w:rPr>
        <w:t xml:space="preserve"> </w:t>
      </w:r>
      <w:r>
        <w:rPr>
          <w:rFonts w:ascii="Times New Roman" w:hAnsi="Times New Roman" w:eastAsia="Times New Roman"/>
          <w:sz w:val="24"/>
        </w:rPr>
        <w:t>accuracy replaces this indicator with membership of</w:t>
      </w:r>
      <w:r>
        <w:rPr>
          <w:rFonts w:ascii="Times New Roman" w:hAnsi="Times New Roman" w:eastAsia="Times New Roman"/>
          <w:sz w:val="24"/>
        </w:rPr>
        <w:t xml:space="preserve"> </w:t>
      </w:r>
      <m:oMath>
        <m:sSub>
          <m:e>
            <m:r>
              <m:t>y</m:t>
            </m:r>
          </m:e>
          <m:sub>
            <m:r>
              <m:t>i</m:t>
            </m:r>
          </m:sub>
        </m:sSub>
      </m:oMath>
      <w:r>
        <w:rPr>
          <w:rFonts w:ascii="Times New Roman" w:hAnsi="Times New Roman" w:eastAsia="Times New Roman"/>
          <w:sz w:val="24"/>
        </w:rPr>
        <w:t xml:space="preserve"> </w:t>
      </w:r>
      <w:r>
        <w:rPr>
          <w:rFonts w:ascii="Times New Roman" w:hAnsi="Times New Roman" w:eastAsia="Times New Roman"/>
          <w:sz w:val="24"/>
        </w:rPr>
        <w:t>among the</w:t>
      </w:r>
      <w:r>
        <w:rPr>
          <w:rFonts w:ascii="Times New Roman" w:hAnsi="Times New Roman" w:eastAsia="Times New Roman"/>
          <w:sz w:val="24"/>
        </w:rPr>
        <w:t xml:space="preserve"> </w:t>
      </w:r>
      <m:oMath>
        <m:r>
          <m:t>k</m:t>
        </m:r>
      </m:oMath>
      <w:r>
        <w:rPr>
          <w:rFonts w:ascii="Times New Roman" w:hAnsi="Times New Roman" w:eastAsia="Times New Roman"/>
          <w:sz w:val="24"/>
        </w:rPr>
        <w:t xml:space="preserve"> </w:t>
      </w:r>
      <w:r>
        <w:rPr>
          <w:rFonts w:ascii="Times New Roman" w:hAnsi="Times New Roman" w:eastAsia="Times New Roman"/>
          <w:sz w:val="24"/>
        </w:rPr>
        <w:t>highest class scores. For a numeric response, training fit is summarized by</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i</m:t>
                              </m:r>
                              <m:r>
                                <m:t>j</m:t>
                              </m:r>
                            </m:sub>
                          </m:sSub>
                        </m:e>
                      </m:d>
                    </m:e>
                    <m:sup>
                      <m:r>
                        <m:t>2</m:t>
                      </m:r>
                    </m:sup>
                  </m:sSup>
                </m:e>
              </m:nary>
            </m:num>
            <m:den>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
                            <m:e>
                              <m:acc>
                                <m:accPr>
                                  <m:chr m:val="‾"/>
                                </m:accPr>
                                <m:e>
                                  <m:r>
                                    <m:t>y</m:t>
                                  </m:r>
                                </m:e>
                              </m:acc>
                            </m:e>
                            <m:sub>
                              <m:r>
                                <m:t>j</m:t>
                              </m:r>
                            </m:sub>
                          </m:sSub>
                        </m:e>
                      </m:d>
                    </m:e>
                    <m:sup>
                      <m:r>
                        <m:t>2</m:t>
                      </m:r>
                    </m:sup>
                  </m:sSup>
                </m:e>
              </m:nary>
            </m:den>
          </m:f>
          <m:r>
            <m:rPr>
              <m:sty m:val="p"/>
            </m:rPr>
            <m:t>,</m:t>
          </m:r>
        </m:oMath>
      </m:oMathPara>
    </w:p>
    <w:p>
      <w:pPr>
        <w:pStyle w:val="FirstParagraph"/>
      </w:pPr>
      <w:r>
        <w:rPr>
          <w:rFonts w:ascii="Times New Roman" w:hAnsi="Times New Roman" w:eastAsia="Times New Roman"/>
          <w:sz w:val="24"/>
        </w:rPr>
        <w:t>whereas cross-validated prediction is summarized by</w:t>
      </w:r>
    </w:p>
    <w:p>
      <w:pPr>
        <w:pStyle w:val="BodyText"/>
      </w:pPr>
      <m:oMathPara>
        <m:oMathParaPr>
          <m:jc m:val="center"/>
        </m:oMathParaPr>
        <m:oMath>
          <m:sSup>
            <m:e>
              <m:r>
                <m:t>Q</m:t>
              </m:r>
            </m:e>
            <m:sup>
              <m:r>
                <m:t>2</m:t>
              </m:r>
            </m:sup>
          </m:sSup>
          <m:r>
            <m:rPr>
              <m:sty m:val="p"/>
            </m:rPr>
            <m:t>=</m:t>
          </m:r>
          <m:r>
            <m:t>1</m:t>
          </m:r>
          <m:r>
            <m:rPr>
              <m:sty m:val="p"/>
            </m:rPr>
            <m:t>−</m:t>
          </m:r>
          <m:f>
            <m:fPr>
              <m:type m:val="bar"/>
            </m:fPr>
            <m:num>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Sup>
                            <m:e>
                              <m:acc>
                                <m:accPr>
                                  <m:chr m:val="̂"/>
                                </m:accPr>
                                <m:e>
                                  <m:r>
                                    <m:t>y</m:t>
                                  </m:r>
                                </m:e>
                              </m:acc>
                            </m:e>
                            <m:sub>
                              <m:r>
                                <m:t>i</m:t>
                              </m:r>
                              <m:r>
                                <m:t>j</m:t>
                              </m:r>
                            </m:sub>
                            <m:sup>
                              <m:d>
                                <m:dPr>
                                  <m:begChr m:val="("/>
                                  <m:endChr m:val=")"/>
                                  <m:sepChr m:val=""/>
                                  <m:grow/>
                                </m:dPr>
                                <m:e>
                                  <m:r>
                                    <m:rPr>
                                      <m:sty m:val="p"/>
                                    </m:rPr>
                                    <m:t>−</m:t>
                                  </m:r>
                                  <m:r>
                                    <m:t>f</m:t>
                                  </m:r>
                                  <m:d>
                                    <m:dPr>
                                      <m:begChr m:val="("/>
                                      <m:endChr m:val=")"/>
                                      <m:sepChr m:val=""/>
                                      <m:grow/>
                                    </m:dPr>
                                    <m:e>
                                      <m:r>
                                        <m:t>i</m:t>
                                      </m:r>
                                    </m:e>
                                  </m:d>
                                </m:e>
                              </m:d>
                            </m:sup>
                          </m:sSubSup>
                        </m:e>
                      </m:d>
                    </m:e>
                    <m:sup>
                      <m:r>
                        <m:t>2</m:t>
                      </m:r>
                    </m:sup>
                  </m:sSup>
                </m:e>
              </m:nary>
            </m:num>
            <m:den>
              <m:nary>
                <m:naryPr>
                  <m:chr m:val="∑"/>
                  <m:limLoc m:val="undOvr"/>
                  <m:subHide m:val="off"/>
                  <m:supHide m:val="on"/>
                </m:naryPr>
                <m:sub>
                  <m:r>
                    <m:t>i</m:t>
                  </m:r>
                  <m:r>
                    <m:rPr>
                      <m:sty m:val="p"/>
                    </m:rPr>
                    <m:t>,</m:t>
                  </m:r>
                  <m:r>
                    <m:t>j</m:t>
                  </m:r>
                </m:sub>
                <m:sup>
                  <m:r>
                    <m:t>​</m:t>
                  </m:r>
                </m:sup>
                <m:e>
                  <m:sSup>
                    <m:e>
                      <m:d>
                        <m:dPr>
                          <m:begChr m:val="("/>
                          <m:endChr m:val=")"/>
                          <m:sepChr m:val=""/>
                          <m:grow/>
                        </m:dPr>
                        <m:e>
                          <m:sSub>
                            <m:e>
                              <m:r>
                                <m:t>y</m:t>
                              </m:r>
                            </m:e>
                            <m:sub>
                              <m:r>
                                <m:t>i</m:t>
                              </m:r>
                              <m:r>
                                <m:t>j</m:t>
                              </m:r>
                            </m:sub>
                          </m:sSub>
                          <m:r>
                            <m:rPr>
                              <m:sty m:val="p"/>
                            </m:rPr>
                            <m:t>−</m:t>
                          </m:r>
                          <m:sSubSup>
                            <m:e>
                              <m:acc>
                                <m:accPr>
                                  <m:chr m:val="‾"/>
                                </m:accPr>
                                <m:e>
                                  <m:r>
                                    <m:t>y</m:t>
                                  </m:r>
                                </m:e>
                              </m:acc>
                            </m:e>
                            <m:sub>
                              <m:r>
                                <m:t>j</m:t>
                              </m:r>
                            </m:sub>
                            <m:sup>
                              <m:d>
                                <m:dPr>
                                  <m:begChr m:val="("/>
                                  <m:endChr m:val=")"/>
                                  <m:sepChr m:val=""/>
                                  <m:grow/>
                                </m:dPr>
                                <m:e>
                                  <m:r>
                                    <m:rPr>
                                      <m:sty m:val="p"/>
                                    </m:rPr>
                                    <m:t>−</m:t>
                                  </m:r>
                                  <m:r>
                                    <m:t>f</m:t>
                                  </m:r>
                                  <m:d>
                                    <m:dPr>
                                      <m:begChr m:val="("/>
                                      <m:endChr m:val=")"/>
                                      <m:sepChr m:val=""/>
                                      <m:grow/>
                                    </m:dPr>
                                    <m:e>
                                      <m:r>
                                        <m:t>i</m:t>
                                      </m:r>
                                    </m:e>
                                  </m:d>
                                </m:e>
                              </m:d>
                            </m:sup>
                          </m:sSubSup>
                        </m:e>
                      </m:d>
                    </m:e>
                    <m:sup>
                      <m:r>
                        <m:t>2</m:t>
                      </m:r>
                    </m:sup>
                  </m:sSup>
                </m:e>
              </m:nary>
            </m:den>
          </m:f>
          <m:r>
            <m:rPr>
              <m:sty m:val="p"/>
            </m:rPr>
            <m:t>.</m:t>
          </m:r>
        </m:oMath>
      </m:oMathPara>
    </w:p>
    <w:p>
      <w:pPr>
        <w:pStyle w:val="FirstParagraph"/>
      </w:pPr>
      <w:r>
        <w:t>In the displayed R² equation, full-data training R² uses fitted responses and the mean of each complete training-response column. The selectable observed-mean cross-validated R² uses the same numerator-denominator form, but substitutes out-of-fold predictions and the mean of each complete observed-response column. In the displayed Q² equation, every held-out fold contributes its prediction sum of squares, while its denominator is centred on the mean estimated from that fold's training observations; fold numerators and denominators are summed before forming Q². Independent-test Q² instead uses the complete training-response mean. RMSD is the square root of the out-of-fold sum of squared errors divided by the number of predicted response entries. For PLS-DA, R² and Q² use dummy-coded responses and are not decoded-label accuracy. The public metrics$definitions element records the convention used.</w:t>
      </w:r>
    </w:p>
    <w:bookmarkEnd w:id="36"/>
    <w:bookmarkStart w:id="42" w:name="s5.-real-datasets-and-preprocessing"/>
    <w:p>
      <w:pPr>
        <w:pStyle w:val="Heading1"/>
      </w:pPr>
      <w:r>
        <w:rPr>
          <w:rFonts w:ascii="Times New Roman" w:hAnsi="Times New Roman" w:eastAsia="Times New Roman"/>
        </w:rPr>
        <w:t>S5. Real datasets and preprocessing</w:t>
      </w:r>
    </w:p>
    <w:p>
      <w:pPr>
        <w:pStyle w:val="FirstParagraph"/>
      </w:pPr>
      <w:r>
        <w:rPr>
          <w:rFonts w:ascii="Times New Roman" w:hAnsi="Times New Roman" w:eastAsia="Times New Roman"/>
          <w:sz w:val="24"/>
        </w:rPr>
        <w:t>The benchmark writes a machine-generated dataset manifest containing source, licence, checksum, object names, preprocessing, split seed,</w:t>
      </w:r>
      <w:r>
        <w:rPr>
          <w:rFonts w:ascii="Times New Roman" w:hAnsi="Times New Roman" w:eastAsia="Times New Roman"/>
          <w:sz w:val="24"/>
        </w:rPr>
        <w:t xml:space="preserve"> </w:t>
      </w:r>
      <m:oMath>
        <m:sSub>
          <m:e>
            <m:r>
              <m:t>n</m:t>
            </m:r>
          </m:e>
          <m:sub>
            <m:r>
              <m:t>t</m:t>
            </m:r>
            <m:r>
              <m:t>r</m:t>
            </m:r>
            <m:r>
              <m:t>a</m:t>
            </m:r>
            <m:r>
              <m:t>i</m:t>
            </m:r>
            <m:r>
              <m:t>n</m:t>
            </m:r>
          </m:sub>
        </m:sSub>
      </m:oMath>
      <w:r>
        <w:rPr>
          <w:rFonts w:ascii="Times New Roman" w:hAnsi="Times New Roman" w:eastAsia="Times New Roman"/>
          <w:sz w:val="24"/>
        </w:rPr>
        <w:t>,</w:t>
      </w:r>
      <w:r>
        <w:rPr>
          <w:rFonts w:ascii="Times New Roman" w:hAnsi="Times New Roman" w:eastAsia="Times New Roman"/>
          <w:sz w:val="24"/>
        </w:rPr>
        <w:t xml:space="preserve"> </w:t>
      </w:r>
      <m:oMath>
        <m:sSub>
          <m:e>
            <m:r>
              <m:t>n</m:t>
            </m:r>
          </m:e>
          <m:sub>
            <m:r>
              <m:t>t</m:t>
            </m:r>
            <m:r>
              <m:t>e</m:t>
            </m:r>
            <m:r>
              <m:t>s</m:t>
            </m:r>
            <m:r>
              <m:t>t</m:t>
            </m:r>
          </m:sub>
        </m:sSub>
      </m:oMath>
      <w:r>
        <w:rPr>
          <w:rFonts w:ascii="Times New Roman" w:hAnsi="Times New Roman" w:eastAsia="Times New Roman"/>
          <w:sz w:val="24"/>
        </w:rPr>
        <w:t>,</w:t>
      </w:r>
      <w:r>
        <w:rPr>
          <w:rFonts w:ascii="Times New Roman" w:hAnsi="Times New Roman" w:eastAsia="Times New Roman"/>
          <w:sz w:val="24"/>
        </w:rPr>
        <w:t xml:space="preserve"> </w:t>
      </w:r>
      <m:oMath>
        <m:r>
          <m:t>p</m:t>
        </m:r>
      </m:oMath>
      <w:r>
        <w:rPr>
          <w:rFonts w:ascii="Times New Roman" w:hAnsi="Times New Roman" w:eastAsia="Times New Roman"/>
          <w:sz w:val="24"/>
        </w:rPr>
        <w:t>,</w:t>
      </w:r>
      <w:r>
        <w:rPr>
          <w:rFonts w:ascii="Times New Roman" w:hAnsi="Times New Roman" w:eastAsia="Times New Roman"/>
          <w:sz w:val="24"/>
        </w:rPr>
        <w:t xml:space="preserve"> </w:t>
      </w:r>
      <m:oMath>
        <m:r>
          <m:t>q</m:t>
        </m:r>
      </m:oMath>
      <w:r>
        <w:rPr>
          <w:rFonts w:ascii="Times New Roman" w:hAnsi="Times New Roman" w:eastAsia="Times New Roman"/>
          <w:sz w:val="24"/>
        </w:rPr>
        <w:t>, and component grid. Dataset dimensions are read from the prepared task objects rather than transcribed manually.</w:t>
      </w:r>
    </w:p>
    <w:p>
      <w:pPr>
        <w:pStyle w:val="FirstParagraph"/>
      </w:pPr>
      <w:r>
        <w:t>Split-unit qualification. The archived cross-dataset benchmark does not contain an auditable subject or donor grouping variable for every prepared object. Its held-out accuracies and any row-level binomial intervals therefore quantify conditional computational performance only. Cell-level rows in Retina, Tabula Muris, and CBMC CITE-seq are not treated as independent biological replicates. Biomedical generalization claims require donor- or subject-grouped splits through constrain; where such identifiers are unavailable, the analysis is explicitly labelled a row-level computational benchmark.</w:t>
      </w:r>
    </w:p>
    <w:p>
      <w:pPr>
        <w:pStyle w:val="BodyText"/>
      </w:pPr>
      <w:r>
        <w:t>Table S3. Dataset dimensions represented by the current prepared benchmark objects. The released manifest is the primary machine-readable record and reports counts before and after each filtering stage. CBMC CITE-seq q=10 denotes the ten raw ADT count responses; its RMSD is reported in those assay-count units.</w:t>
      </w:r>
    </w:p>
    <w:tbl>
      <w:tblPr>
        <w:tblW w:type="dxa" w:w="10944"/>
        <w:tblLayout w:type="fixed"/>
        <w:tblLook w:firstColumn="1" w:firstRow="1" w:lastColumn="0" w:lastRow="0" w:noHBand="0" w:noVBand="1" w:val="04A0"/>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CellMar>
          <w:top w:w="45" w:type="dxa"/>
          <w:start w:w="45" w:type="dxa"/>
          <w:bottom w:w="45" w:type="dxa"/>
          <w:end w:w="45" w:type="dxa"/>
        </w:tblCellMar>
      </w:tblPr>
      <w:tblGrid>
        <w:gridCol w:w="2510"/>
        <w:gridCol w:w="2410"/>
        <w:gridCol w:w="1707"/>
        <w:gridCol w:w="1707"/>
        <w:gridCol w:w="1305"/>
        <w:gridCol w:w="1305"/>
      </w:tblGrid>
      <w:tr>
        <w:trPr>
          <w:cantSplit/>
          <w:tblHeader w:val="true"/>
        </w:trPr>
        <w:tc>
          <w:tcPr>
            <w:tcW w:type="dxa" w:w="2510"/>
            <w:vAlign w:val="center"/>
            <w:tcMar>
              <w:top w:w="55" w:type="dxa"/>
              <w:start w:w="70" w:type="dxa"/>
              <w:bottom w:w="55" w:type="dxa"/>
              <w:end w:w="70" w:type="dxa"/>
            </w:tcMar>
            <w:shd w:fill="E8EEF5"/>
          </w:tcPr>
          <w:p>
            <w:pPr>
              <w:spacing w:after="0" w:line="240" w:lineRule="auto" w:before="0"/>
            </w:pPr>
            <w:r>
              <w:rPr>
                <w:rFonts w:ascii="Arial" w:hAnsi="Arial"/>
                <w:b/>
                <w:sz w:val="11"/>
              </w:rPr>
              <w:t>Dataset</w:t>
            </w:r>
          </w:p>
        </w:tc>
        <w:tc>
          <w:tcPr>
            <w:tcW w:type="dxa" w:w="2410"/>
            <w:vAlign w:val="center"/>
            <w:tcMar>
              <w:top w:w="55" w:type="dxa"/>
              <w:start w:w="70" w:type="dxa"/>
              <w:bottom w:w="55" w:type="dxa"/>
              <w:end w:w="70" w:type="dxa"/>
            </w:tcMar>
            <w:shd w:fill="E8EEF5"/>
          </w:tcPr>
          <w:p>
            <w:pPr>
              <w:spacing w:after="0" w:line="240" w:lineRule="auto" w:before="0"/>
            </w:pPr>
            <w:r>
              <w:rPr>
                <w:rFonts w:ascii="Arial" w:hAnsi="Arial"/>
                <w:b/>
                <w:sz w:val="11"/>
              </w:rPr>
              <w:t>Task</w:t>
            </w:r>
          </w:p>
        </w:tc>
        <w:tc>
          <w:tcPr>
            <w:tcW w:type="dxa" w:w="1707"/>
            <w:vAlign w:val="center"/>
            <w:tcMar>
              <w:top w:w="55" w:type="dxa"/>
              <w:start w:w="70" w:type="dxa"/>
              <w:bottom w:w="55" w:type="dxa"/>
              <w:end w:w="70" w:type="dxa"/>
            </w:tcMar>
            <w:shd w:fill="E8EEF5"/>
          </w:tcPr>
          <w:p>
            <w:pPr>
              <w:spacing w:after="0" w:line="240" w:lineRule="auto" w:before="0"/>
            </w:pPr>
            <w:r>
              <w:rPr>
                <w:rFonts w:ascii="Arial" w:hAnsi="Arial"/>
                <w:b/>
                <w:sz w:val="11"/>
              </w:rPr>
              <w:t>Prepared n train</w:t>
            </w:r>
          </w:p>
        </w:tc>
        <w:tc>
          <w:tcPr>
            <w:tcW w:type="dxa" w:w="1707"/>
            <w:vAlign w:val="center"/>
            <w:tcMar>
              <w:top w:w="55" w:type="dxa"/>
              <w:start w:w="70" w:type="dxa"/>
              <w:bottom w:w="55" w:type="dxa"/>
              <w:end w:w="70" w:type="dxa"/>
            </w:tcMar>
            <w:shd w:fill="E8EEF5"/>
          </w:tcPr>
          <w:p>
            <w:pPr>
              <w:spacing w:after="0" w:line="240" w:lineRule="auto" w:before="0"/>
            </w:pPr>
            <w:r>
              <w:rPr>
                <w:rFonts w:ascii="Arial" w:hAnsi="Arial"/>
                <w:b/>
                <w:sz w:val="11"/>
              </w:rPr>
              <w:t>Prepared n test</w:t>
            </w:r>
          </w:p>
        </w:tc>
        <w:tc>
          <w:tcPr>
            <w:tcW w:type="dxa" w:w="1305"/>
            <w:vAlign w:val="center"/>
            <w:tcMar>
              <w:top w:w="55" w:type="dxa"/>
              <w:start w:w="70" w:type="dxa"/>
              <w:bottom w:w="55" w:type="dxa"/>
              <w:end w:w="70" w:type="dxa"/>
            </w:tcMar>
            <w:shd w:fill="E8EEF5"/>
          </w:tcPr>
          <w:p>
            <w:pPr>
              <w:spacing w:after="0" w:line="240" w:lineRule="auto" w:before="0"/>
            </w:pPr>
            <w:r>
              <w:rPr>
                <w:rFonts w:ascii="Arial" w:hAnsi="Arial"/>
                <w:b/>
                <w:sz w:val="11"/>
              </w:rPr>
              <w:t>Prepared p</w:t>
            </w:r>
          </w:p>
        </w:tc>
        <w:tc>
          <w:tcPr>
            <w:tcW w:type="dxa" w:w="1305"/>
            <w:vAlign w:val="center"/>
            <w:tcMar>
              <w:top w:w="55" w:type="dxa"/>
              <w:start w:w="70" w:type="dxa"/>
              <w:bottom w:w="55" w:type="dxa"/>
              <w:end w:w="70" w:type="dxa"/>
            </w:tcMar>
            <w:shd w:fill="E8EEF5"/>
          </w:tcPr>
          <w:p>
            <w:pPr>
              <w:spacing w:after="0" w:line="240" w:lineRule="auto" w:before="0"/>
            </w:pPr>
            <w:r>
              <w:rPr>
                <w:rFonts w:ascii="Arial" w:hAnsi="Arial"/>
                <w:b/>
                <w:sz w:val="11"/>
              </w:rPr>
              <w:t>Prepared q</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TCGA-HNSC methylation</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520</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58</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782</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2</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CCLE</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547</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71</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18</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TCGA-BRCA</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756</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88</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5</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MetRef</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773</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100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375</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22</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TCGA Pan-Cancer</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3,000</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982</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850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32</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GTEx v8</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3,000</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797</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32</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Retina</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22,402</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22,406</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50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12</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Tabula Muris</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50,043</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50,059</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50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32</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CIFAR-100</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Classification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50,000</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10,000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768</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100</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PRISM</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Multivariate regression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479</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54</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4,686</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NMR</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Multivariate regression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1,200</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321</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13,000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28,355</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CBMC CITE-seq</w:t>
            </w:r>
          </w:p>
        </w:tc>
        <w:tc>
          <w:tcPr>
            <w:tcW w:type="dxa" w:w="2410"/>
            <w:vAlign w:val="center"/>
            <w:tcMar>
              <w:top w:w="55" w:type="dxa"/>
              <w:start w:w="70" w:type="dxa"/>
              <w:bottom w:w="55" w:type="dxa"/>
              <w:end w:w="70" w:type="dxa"/>
            </w:tcMar>
          </w:tcPr>
          <w:p>
            <w:pPr>
              <w:spacing w:after="0" w:line="240" w:lineRule="auto" w:before="0"/>
            </w:pPr>
            <w:r>
              <w:rPr>
                <w:rFonts w:ascii="Arial" w:hAnsi="Arial"/>
                <w:sz w:val="11"/>
              </w:rPr>
              <w:t>Multivariate regression</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7,755</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862</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1,000</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w:t>
            </w:r>
          </w:p>
        </w:tc>
      </w:tr>
      <w:tr>
        <w:trPr>
          <w:cantSplit/>
        </w:trPr>
        <w:tc>
          <w:tcPr>
            <w:tcW w:type="dxa" w:w="2510"/>
            <w:vAlign w:val="center"/>
            <w:tcMar>
              <w:top w:w="55" w:type="dxa"/>
              <w:start w:w="70" w:type="dxa"/>
              <w:bottom w:w="55" w:type="dxa"/>
              <w:end w:w="70" w:type="dxa"/>
            </w:tcMar>
          </w:tcPr>
          <w:p>
            <w:pPr>
              <w:spacing w:after="0" w:line="240" w:lineRule="auto" w:before="0"/>
            </w:pPr>
            <w:r>
              <w:rPr>
                <w:rFonts w:ascii="Arial" w:hAnsi="Arial"/>
                <w:sz w:val="11"/>
              </w:rPr>
              <w:t>ImageNet/DINOv2</w:t>
            </w:r>
          </w:p>
        </w:tc>
        <w:tc>
          <w:tcPr>
            <w:tcW w:type="dxa" w:w="2410"/>
            <w:vAlign w:val="center"/>
            <w:tcMar>
              <w:top w:w="55" w:type="dxa"/>
              <w:start w:w="70" w:type="dxa"/>
              <w:bottom w:w="55" w:type="dxa"/>
              <w:end w:w="70" w:type="dxa"/>
            </w:tcMar>
          </w:tcPr>
          <w:p>
            <w:pPr>
              <w:spacing w:before="0" w:after="0" w:line="240" w:lineRule="auto"/>
            </w:pPr>
            <w:r>
              <w:rPr>
                <w:sz w:val="11"/>
              </w:rPr>
              <w:t>Exploratory classification/retrieval stress test</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1,000,000</w:t>
            </w:r>
          </w:p>
        </w:tc>
        <w:tc>
          <w:tcPr>
            <w:tcW w:type="dxa" w:w="1707"/>
            <w:vAlign w:val="center"/>
            <w:tcMar>
              <w:top w:w="55" w:type="dxa"/>
              <w:start w:w="70" w:type="dxa"/>
              <w:bottom w:w="55" w:type="dxa"/>
              <w:end w:w="70" w:type="dxa"/>
            </w:tcMar>
          </w:tcPr>
          <w:p>
            <w:pPr>
              <w:spacing w:after="0" w:line="240" w:lineRule="auto" w:before="0"/>
            </w:pPr>
            <w:r>
              <w:rPr>
                <w:rFonts w:ascii="Arial" w:hAnsi="Arial"/>
                <w:sz w:val="11"/>
              </w:rPr>
              <w:t>281,167</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1,024</w:t>
            </w:r>
          </w:p>
        </w:tc>
        <w:tc>
          <w:tcPr>
            <w:tcW w:type="dxa" w:w="1305"/>
            <w:vAlign w:val="center"/>
            <w:tcMar>
              <w:top w:w="55" w:type="dxa"/>
              <w:start w:w="70" w:type="dxa"/>
              <w:bottom w:w="55" w:type="dxa"/>
              <w:end w:w="70" w:type="dxa"/>
            </w:tcMar>
          </w:tcPr>
          <w:p>
            <w:pPr>
              <w:spacing w:after="0" w:line="240" w:lineRule="auto" w:before="0"/>
            </w:pPr>
            <w:r>
              <w:rPr>
                <w:rFonts w:ascii="Arial" w:hAnsi="Arial"/>
                <w:sz w:val="11"/>
              </w:rPr>
              <w:t>1,000</w:t>
            </w:r>
          </w:p>
        </w:tc>
      </w:tr>
    </w:tbl>
    <w:bookmarkStart w:id="37" w:name="s5.1-metref"/>
    <w:p>
      <w:pPr>
        <w:pStyle w:val="Heading2"/>
      </w:pPr>
      <w:r>
        <w:rPr>
          <w:rFonts w:ascii="Times New Roman" w:hAnsi="Times New Roman" w:eastAsia="Times New Roman"/>
        </w:rPr>
        <w:t>S5.1 MetRef</w:t>
      </w:r>
    </w:p>
    <w:p>
      <w:pPr>
        <w:pStyle w:val="FirstParagraph"/>
      </w:pPr>
      <w:r>
        <w:rPr>
          <w:rFonts w:ascii="Times New Roman" w:hAnsi="Times New Roman" w:eastAsia="Times New Roman"/>
          <w:sz w:val="24"/>
        </w:rPr>
        <w:t>MetRef comprises longitudinal urine proton-NMR spectra from 22 donors. Zero-signal variables are removed, spectra are normalized and scaled with training-derived statistics, and donor is the class label. The manifest identifies the normalization function and retained bins.</w:t>
      </w:r>
    </w:p>
    <w:bookmarkEnd w:id="37"/>
    <w:bookmarkStart w:id="38" w:name="s5.2-cifar-100-and-imagenet"/>
    <w:p>
      <w:pPr>
        <w:pStyle w:val="Heading2"/>
      </w:pPr>
      <w:r>
        <w:rPr>
          <w:rFonts w:ascii="Times New Roman" w:hAnsi="Times New Roman" w:eastAsia="Times New Roman"/>
        </w:rPr>
        <w:t>S5.2 CIFAR-100 and ImageNet</w:t>
      </w:r>
    </w:p>
    <w:p>
      <w:pPr>
        <w:pStyle w:val="FirstParagraph"/>
      </w:pPr>
      <w:r>
        <w:t>CIFAR-100 and ImageNet were evaluated as precomputed image embeddings rather than by training image encoders. CIFAR-100 used its standard 50,000/10,000 partition [30]. The historical ImageNet archive contained 1,281,167 rows, 1,024 DINOv2 features, and 1,000 labels [28,29], but no primary canonical train/validation flag. Its exact DINOv2 checkpoint, image preprocessing, pooling rule, extraction script, and independently auditable image-to-row mapping were not retained. The stored feature matrix and labels can be checksummed and the downstream fastPLS analysis rerun, but the representation cannot be regenerated independently from the available metadata. Feature extraction was completed before the fastPLS benchmark and excluded from timing.</w:t>
      </w:r>
    </w:p>
    <w:p>
      <w:pPr>
        <w:pStyle w:val="BodyText"/>
      </w:pPr>
      <w:r>
        <w:t>ImageNet is retained as a historical, partially reproducible foundation-model embedding stress test, not as a biomedical validation set. Its relevance is the post-extraction matrix regime: computational pathology models such as UNI and Prov-GigaPath produce large dense tile or slide representations for supervised downstream analysis [31,32]. The experiment tests whether fastPLS can process a matrix of that scale. It does not establish natural-to-medical-image transfer, diagnostic performance, or representation-level reproducibility.</w:t>
      </w:r>
    </w:p>
    <w:bookmarkEnd w:id="38"/>
    <w:bookmarkStart w:id="39" w:name="s5.3-gtex-tcga-and-ccle"/>
    <w:p>
      <w:pPr>
        <w:pStyle w:val="Heading2"/>
      </w:pPr>
      <w:r>
        <w:rPr>
          <w:rFonts w:ascii="Times New Roman" w:hAnsi="Times New Roman" w:eastAsia="Times New Roman"/>
        </w:rPr>
        <w:t>S5.3 GTEx, TCGA, and CCLE</w:t>
      </w:r>
    </w:p>
    <w:p>
      <w:pPr>
        <w:pStyle w:val="FirstParagraph"/>
      </w:pPr>
      <w:r>
        <w:rPr>
          <w:rFonts w:ascii="Times New Roman" w:hAnsi="Times New Roman" w:eastAsia="Times New Roman"/>
          <w:sz w:val="24"/>
        </w:rPr>
        <w:t>GTEx v8 tissue labels, TCGA Pan-Cancer disease labels, TCGA-BRCA PAM50 subtypes, TCGA-HNSC sample type, and CCLE lineage labels define classification outcomes. Outcome eligibility filtering and sample matching occur before the split; predictor imputation, zero-variance filtering, normalization, scaling, and any data-derived feature selection are estimated from training data only. Dataset-specific minimum-class rules and the number of removed observations are recorded in the manifest. Legacy descriptions such as</w:t>
      </w:r>
      <w:r>
        <w:rPr>
          <w:rFonts w:ascii="Times New Roman" w:hAnsi="Times New Roman" w:eastAsia="Times New Roman"/>
          <w:sz w:val="24"/>
        </w:rPr>
        <w:t xml:space="preserve"> </w:t>
      </w:r>
      <w:r>
        <w:rPr>
          <w:rFonts w:ascii="Times New Roman" w:hAnsi="Times New Roman" w:eastAsia="Times New Roman"/>
          <w:sz w:val="24"/>
        </w:rPr>
        <w:t>“the first 1,000 features”</w:t>
      </w:r>
      <w:r>
        <w:rPr>
          <w:rFonts w:ascii="Times New Roman" w:hAnsi="Times New Roman" w:eastAsia="Times New Roman"/>
          <w:sz w:val="24"/>
        </w:rPr>
        <w:t xml:space="preserve"> </w:t>
      </w:r>
      <w:r>
        <w:rPr>
          <w:rFonts w:ascii="Times New Roman" w:hAnsi="Times New Roman" w:eastAsia="Times New Roman"/>
          <w:sz w:val="24"/>
        </w:rPr>
        <w:t>denote a target maximum rather than the final matrix width: matching, finite-value checks, and zero-variance removal can reduce</w:t>
      </w:r>
      <w:r>
        <w:rPr>
          <w:rFonts w:ascii="Times New Roman" w:hAnsi="Times New Roman" w:eastAsia="Times New Roman"/>
          <w:sz w:val="24"/>
        </w:rPr>
        <w:t xml:space="preserve"> </w:t>
      </w:r>
      <m:oMath>
        <m:r>
          <m:t>p</m:t>
        </m:r>
      </m:oMath>
      <w:r>
        <w:rPr>
          <w:rFonts w:ascii="Times New Roman" w:hAnsi="Times New Roman" w:eastAsia="Times New Roman"/>
          <w:sz w:val="24"/>
        </w:rPr>
        <w:t>, explaining prepared widths such as 850 or 782. The ordered retained identifiers, not the source-file column positions alone, define the reproducible feature set.</w:t>
      </w:r>
    </w:p>
    <w:bookmarkEnd w:id="39"/>
    <w:bookmarkStart w:id="40" w:name="s5.4-cbmc-cite-seq-and-singlecell"/>
    <w:p>
      <w:pPr>
        <w:pStyle w:val="Heading2"/>
      </w:pPr>
      <w:r>
        <w:t>S5.4 CBMC CITE-seq, Retina, and Tabula Muris</w:t>
      </w:r>
    </w:p>
    <w:p>
      <w:pPr>
        <w:pStyle w:val="FirstParagraph"/>
      </w:pPr>
      <w:r>
        <w:t>CBMC CITE-seq [21] used the prepared SeuratData CBMC object (dataset version 3.1.4; 8,617 matched cells). X was the stored untransformed integer RNA assay-count matrix restricted before benchmarking to 1,000 preselected genes. Y was the stored untransformed integer ADT assay-count matrix for CD3, CD4, CD8, CD45RA, CD56, CD16, CD11c, CD14, CD19, and CD34. The stored split contained 7,755 training and 862 held-out cells and was loaded unchanged. The benchmark loader applied no library-size normalization, log transformation, centred-log-ratio transformation, or additional feature selection. The PLS call used mean centering without variance scaling: training means were subtracted from X and Y, held-out X was centered with the training X means, and the training Y means were restored to predictions. Consequently, the reported global RMSD is the square root of the mean squared error across all 8,620 held-out response entries (862 cells x 10 markers), in original ADT assay-count units per cell. The marker scales are heterogeneous, so this pooled RMSD is weighted toward high-count markers and is not numerically comparable with RMSD measured on normalized responses in another dataset. For the selected CUDA SIMPLS result, the global RMSD of 1,056.461 combined marker-wise RMSE values from 56.4 for CD34 to 3,191.3 for CD45RA. Retina and Tabula Muris are separate single-cell classification benchmarks and are named separately throughout the released manifest.</w:t>
      </w:r>
    </w:p>
    <w:bookmarkEnd w:id="40"/>
    <w:bookmarkStart w:id="41" w:name="s5.5-prism-and-nmr"/>
    <w:p>
      <w:pPr>
        <w:pStyle w:val="Heading2"/>
      </w:pPr>
      <w:r>
        <w:rPr>
          <w:rFonts w:ascii="Times New Roman" w:hAnsi="Times New Roman" w:eastAsia="Times New Roman"/>
        </w:rPr>
        <w:t>S5.5 PRISM and NMR</w:t>
      </w:r>
    </w:p>
    <w:p>
      <w:pPr>
        <w:pStyle w:val="FirstParagraph"/>
      </w:pPr>
      <w:r>
        <w:rPr>
          <w:rFonts w:ascii="Times New Roman" w:hAnsi="Times New Roman" w:eastAsia="Times New Roman"/>
          <w:sz w:val="24"/>
        </w:rPr>
        <w:t>PRISM matches molecular profiles of cancer cell lines to multivariate drug-response measurements. NMR predicts a high-dimensional response spectrum from the input spectral representation. Both are multivariate regression tasks and are evaluated by RMSD rather than classification accuracy. The NMR source cohort and the prepared benchmark object are distinct: Table S3 reports the 1,521 matched, analysis-ready observations in the prepared object, not the complete source cohort. The released manifest must enumerate exclusions and train/test allocation so that these counts can be reconciled without inference. The NMR data are associated with the study of Vignoli, Cacciatore, and Tenori; source-study ethics and access conditions follow the cited source study.</w:t>
      </w:r>
    </w:p>
    <w:p>
      <w:pPr>
        <w:pStyle w:val="Heading2"/>
        <w:keepNext/>
      </w:pPr>
      <w:r>
        <w:t>S5.6 Redistribution and executable acquisition</w:t>
      </w:r>
    </w:p>
    <w:p>
      <w:pPr>
        <w:pStyle w:val="BodyText"/>
      </w:pPr>
      <w:r>
        <w:t>Redistribution status was determined separately from source access status. A publicly downloadable source was not treated as permission to redistribute the processed benchmark matrix under the fastPLS licence. Only the GPL-compatible breast and colon package examples, synthetic generators and generated synthetic results, and aggregate tables, figures, manifests, split indices, and checksums are redistributed. None of the prepared real-data matrices in Table S3 is bundled. The executable workflow benchmark/acquire_publication_datasets.R downloads primary public sources or validates user-supplied local files, writes paths, sizes, access classes, and checksums to acquisition_manifest.csv, and refuses silent release substitution. Exact commands and preprocessing contracts are documented in benchmark/DATA_ACQUISITION.md.</w:t>
      </w:r>
    </w:p>
    <w:p>
      <w:pPr>
        <w:pStyle w:val="Caption"/>
        <w:keepNext/>
      </w:pPr>
      <w:r>
        <w:t>Table S3a. Redistribution and acquisition status. 'No' means that fastPLS does not redistribute the prepared real-data matrix, even when the upstream source is public. The acquisition command is run from the repository root; restricted validation requires the environment variable shown.</w:t>
      </w:r>
    </w:p>
    <w:tbl>
      <w:tblPr>
        <w:tblW w:type="dxa" w:w="10944"/>
        <w:jc w:val="center"/>
        <w:tblLayout w:type="fixed"/>
        <w:tblLook w:firstColumn="1" w:firstRow="1" w:lastColumn="0" w:lastRow="0" w:noHBand="0" w:noVBand="1" w:val="04A0"/>
        <w:tblCellMar>
          <w:top w:w="45" w:type="dxa"/>
          <w:start w:w="45" w:type="dxa"/>
          <w:bottom w:w="45" w:type="dxa"/>
          <w:end w:w="45" w:type="dxa"/>
        </w:tblCellMar>
      </w:tblPr>
      <w:tblGrid>
        <w:gridCol w:w="2189"/>
        <w:gridCol w:w="2189"/>
        <w:gridCol w:w="2189"/>
        <w:gridCol w:w="2189"/>
        <w:gridCol w:w="2188"/>
      </w:tblGrid>
      <w:tr>
        <w:trPr>
          <w:tblHeader w:val="true"/>
          <w:cantSplit w:val="true"/>
        </w:trPr>
        <w:tc>
          <w:tcPr>
            <w:tcW w:type="dxa" w:w="2189"/>
            <w:vAlign w:val="center"/>
            <w:shd w:fill="D9EAF7"/>
            <w:tcMar>
              <w:top w:w="45" w:type="dxa"/>
              <w:start w:w="55" w:type="dxa"/>
              <w:bottom w:w="45" w:type="dxa"/>
              <w:end w:w="55" w:type="dxa"/>
            </w:tcMar>
          </w:tcPr>
          <w:p>
            <w:pPr>
              <w:spacing w:before="0" w:after="0" w:line="240" w:lineRule="auto"/>
              <w:jc w:val="center"/>
            </w:pPr>
            <w:r>
              <w:rPr>
                <w:b/>
                <w:sz w:val="12"/>
              </w:rPr>
            </w:r>
            <w:r>
              <w:rPr>
                <w:rFonts w:ascii="Arial" w:hAnsi="Arial"/>
                <w:b/>
                <w:sz w:val="12"/>
              </w:rPr>
              <w:t>Dataset/object</w:t>
            </w:r>
          </w:p>
        </w:tc>
        <w:tc>
          <w:tcPr>
            <w:tcW w:type="dxa" w:w="2189"/>
            <w:vAlign w:val="center"/>
            <w:shd w:fill="D9EAF7"/>
            <w:tcMar>
              <w:top w:w="45" w:type="dxa"/>
              <w:start w:w="55" w:type="dxa"/>
              <w:bottom w:w="45" w:type="dxa"/>
              <w:end w:w="55" w:type="dxa"/>
            </w:tcMar>
          </w:tcPr>
          <w:p>
            <w:pPr>
              <w:spacing w:before="0" w:after="0" w:line="240" w:lineRule="auto"/>
              <w:jc w:val="center"/>
            </w:pPr>
            <w:r>
              <w:rPr>
                <w:b/>
                <w:sz w:val="12"/>
              </w:rPr>
            </w:r>
            <w:r>
              <w:rPr>
                <w:rFonts w:ascii="Arial" w:hAnsi="Arial"/>
                <w:b/>
                <w:sz w:val="12"/>
              </w:rPr>
              <w:t>Authoritative source</w:t>
            </w:r>
          </w:p>
        </w:tc>
        <w:tc>
          <w:tcPr>
            <w:tcW w:type="dxa" w:w="2189"/>
            <w:vAlign w:val="center"/>
            <w:shd w:fill="D9EAF7"/>
            <w:tcMar>
              <w:top w:w="45" w:type="dxa"/>
              <w:start w:w="55" w:type="dxa"/>
              <w:bottom w:w="45" w:type="dxa"/>
              <w:end w:w="55" w:type="dxa"/>
            </w:tcMar>
          </w:tcPr>
          <w:p>
            <w:pPr>
              <w:spacing w:before="0" w:after="0" w:line="240" w:lineRule="auto"/>
              <w:jc w:val="center"/>
            </w:pPr>
            <w:r>
              <w:rPr>
                <w:b/>
                <w:sz w:val="12"/>
              </w:rPr>
            </w:r>
            <w:r>
              <w:rPr>
                <w:rFonts w:ascii="Arial" w:hAnsi="Arial"/>
                <w:b/>
                <w:sz w:val="12"/>
              </w:rPr>
              <w:t>Access class</w:t>
            </w:r>
          </w:p>
        </w:tc>
        <w:tc>
          <w:tcPr>
            <w:tcW w:type="dxa" w:w="2189"/>
            <w:vAlign w:val="center"/>
            <w:shd w:fill="D9EAF7"/>
            <w:tcMar>
              <w:top w:w="45" w:type="dxa"/>
              <w:start w:w="55" w:type="dxa"/>
              <w:bottom w:w="45" w:type="dxa"/>
              <w:end w:w="55" w:type="dxa"/>
            </w:tcMar>
          </w:tcPr>
          <w:p>
            <w:pPr>
              <w:spacing w:before="0" w:after="0" w:line="240" w:lineRule="auto"/>
              <w:jc w:val="center"/>
            </w:pPr>
            <w:r>
              <w:rPr>
                <w:b/>
                <w:sz w:val="12"/>
              </w:rPr>
            </w:r>
            <w:r>
              <w:rPr>
                <w:rFonts w:ascii="Arial" w:hAnsi="Arial"/>
                <w:b/>
                <w:sz w:val="12"/>
              </w:rPr>
              <w:t>Prepared object redistributed?</w:t>
            </w:r>
          </w:p>
        </w:tc>
        <w:tc>
          <w:tcPr>
            <w:tcW w:type="dxa" w:w="2188"/>
            <w:vAlign w:val="center"/>
            <w:shd w:fill="D9EAF7"/>
            <w:tcMar>
              <w:top w:w="45" w:type="dxa"/>
              <w:start w:w="55" w:type="dxa"/>
              <w:bottom w:w="45" w:type="dxa"/>
              <w:end w:w="55" w:type="dxa"/>
            </w:tcMar>
          </w:tcPr>
          <w:p>
            <w:pPr>
              <w:spacing w:before="0" w:after="0" w:line="240" w:lineRule="auto"/>
              <w:jc w:val="center"/>
            </w:pPr>
            <w:r>
              <w:rPr>
                <w:b/>
                <w:sz w:val="12"/>
              </w:rPr>
            </w:r>
            <w:r>
              <w:rPr>
                <w:rFonts w:ascii="Arial" w:hAnsi="Arial"/>
                <w:b/>
                <w:sz w:val="12"/>
              </w:rPr>
              <w:t>Executable route</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breast; colon</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mixOmics; plsgenomics</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GPL-compatible package data</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Yes</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data(breast); data(colon)</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Synthetic and aggregate outputs</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fastPLS generators/results</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Project-generated</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Yes</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Run published benchmark scripts</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MetRef</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KODAMA::MetRef</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Public R package</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--dataset=metref</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CIFAR-100</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University of Toronto</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Public download</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--dataset=cifar100</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CBMC CITE-seq</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GEO GSE100866</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Public repository</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--dataset=cbmc_citeseq</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Retina</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GEO GSE63472; openTSNE pca_50</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Public repositories</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--dataset=retina</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Tabula Muris</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ExperimentHub EH1617</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Public Bioconductor data</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--dataset=tabula</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GTEx v8</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GTEx open access via UCSC Xena</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Open expression/phenotype</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--dataset=gtex_v8</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TCGA tasks</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TCGA open access via UCSC Xena</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Open molecular/phenotype</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--dataset=tcga_brca,tcga_hnsc_methylation,tcga_pan_cancer</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CCLE</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DepMap/CCLE 18Q2</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Historical release</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FASTPLS_CCLE_RDATA=... --dataset=ccle</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PRISM</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DepMap PRISM 19Q4</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Release-controlled</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FASTPLS_PRISM_RDATA=... --dataset=prism</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NMR</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Figshare share; MTBLS242/395/424</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Source-study terms</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FASTPLS_NMR_RDATA=... --dataset=nmr</w:t>
            </w:r>
          </w:p>
        </w:tc>
      </w:tr>
      <w:tr>
        <w:trPr>
          <w:cantSplit w:val="true"/>
        </w:trPr>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ImageNet/DINOv2</w:t>
            </w:r>
          </w:p>
        </w:tc>
        <w:tc>
          <w:tcPr>
            <w:tcW w:type="dxa" w:w="2189"/>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ImageNet authorized copy; local extraction</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Gated/non-commercial terms</w:t>
            </w:r>
          </w:p>
        </w:tc>
        <w:tc>
          <w:tcPr>
            <w:tcW w:type="dxa" w:w="2189"/>
            <w:vAlign w:val="center"/>
            <w:tcMar>
              <w:top w:w="45" w:type="dxa"/>
              <w:start w:w="55" w:type="dxa"/>
              <w:bottom w:w="45" w:type="dxa"/>
              <w:end w:w="55" w:type="dxa"/>
            </w:tcMar>
          </w:tcPr>
          <w:p>
            <w:pPr>
              <w:spacing w:before="0" w:after="0" w:line="240" w:lineRule="auto"/>
              <w:jc w:val="center"/>
            </w:pPr>
            <w:r>
              <w:rPr>
                <w:sz w:val="12"/>
              </w:rPr>
            </w:r>
            <w:r>
              <w:rPr>
                <w:rFonts w:ascii="Arial" w:hAnsi="Arial"/>
                <w:b w:val="0"/>
                <w:sz w:val="12"/>
              </w:rPr>
              <w:t>No</w:t>
            </w:r>
          </w:p>
        </w:tc>
        <w:tc>
          <w:tcPr>
            <w:tcW w:type="dxa" w:w="2188"/>
            <w:vAlign w:val="center"/>
            <w:tcMar>
              <w:top w:w="45" w:type="dxa"/>
              <w:start w:w="55" w:type="dxa"/>
              <w:bottom w:w="45" w:type="dxa"/>
              <w:end w:w="55" w:type="dxa"/>
            </w:tcMar>
          </w:tcPr>
          <w:p>
            <w:pPr>
              <w:spacing w:before="0" w:after="0" w:line="240" w:lineRule="auto"/>
              <w:jc w:val="left"/>
            </w:pPr>
            <w:r>
              <w:rPr>
                <w:sz w:val="12"/>
              </w:rPr>
            </w:r>
            <w:r>
              <w:rPr>
                <w:rFonts w:ascii="Arial" w:hAnsi="Arial"/>
                <w:b w:val="0"/>
                <w:sz w:val="12"/>
              </w:rPr>
              <w:t>FASTPLS_IMAGENET_RDATA=... --dataset=imagenet</w:t>
            </w:r>
          </w:p>
        </w:tc>
      </w:tr>
    </w:tbl>
    <w:p>
      <w:pPr>
        <w:pStyle w:val="BodyText"/>
      </w:pPr>
      <w:r>
        <w:t>The public acquisition command is Rscript benchmark/acquire_publication_datasets.R --dataset=&lt;id&gt; --out=&lt;directory&gt;. For ImageNet, NMR, CCLE, and PRISM, the listed environment variable points to a user-authorized local file. The workflow records a checksum but does not copy that file into the repository. GTEx uses only open-access expression and phenotype data; protected sequence and full donor-level files are outside the benchmark. The ImageNet embeddings remain a derived object subject to the source-image terms and are not redistributed.</w:t>
      </w:r>
    </w:p>
    <w:bookmarkEnd w:id="41"/>
    <w:bookmarkEnd w:id="42"/>
    <w:bookmarkStart w:id="43" w:name="s6.-simulated-data"/>
    <w:p>
      <w:pPr>
        <w:pStyle w:val="Heading1"/>
      </w:pPr>
      <w:r>
        <w:t>S6. Synthetic datasets and corresponding numerical results</w:t>
      </w:r>
    </w:p>
    <w:p>
      <w:pPr>
        <w:pStyle w:val="FirstParagraph"/>
      </w:pPr>
      <w:r>
        <w:t>Three predefined synthetic designs answered separate questions. The independent dense-reference panel covered ten conditions and 82 component prefixes: well-conditioned, nearly tied leading singular values, rank-deficient X and Y, highly collinear predictors, p &lt; n, p &gt; n, high response dimension, a component requested at effective rank, multivariate regression, and dummy-response classification. A second formal comparison used five multivariate regression and three classification regimes with seeds 101, 202, and 303 for IRLBA and rSVD assessment. The separate controlled scaling design is reported in Section S12.2. Complete dimensions and generated matrices are reproducible from the repository scripts.</w:t>
      </w:r>
    </w:p>
    <w:p>
      <w:pPr>
        <w:pStyle w:val="BodyText"/>
      </w:pPr>
      <w:r>
        <w:t>Classification regimes used balanced shuffled class labels and Gaussian class-specific latent prototypes. Each latent observation was its class prototype plus Gaussian noise with standard deviation 0.45; predictors were obtained through a Gaussian loading matrix with additional noise of standard deviation 0.08, and responses were one-hot class indicators. The three regimes covered p &lt; n with a low-rank response, p &gt; n with a higher-rank response, and near-collinear predictors. Every compared implementation received identical matrices, splits, component grids, folds, and seeds.</w:t>
      </w:r>
    </w:p>
    <w:p>
      <w:pPr>
        <w:pStyle w:val="FirstParagraph"/>
      </w:pPr>
      <w:r>
        <w:t>The dense-reference audit completed all 82 component prefixes without convergence failure. Across all cases, median and 95th-percentile coefficient errors were 8.50 x 10^-16 and 3.39 x 10^-15; corresponding held-out prediction errors were 7.62 x 10^-16 and 2.72 x 10^-15. Maximum score/loading/projection subspace angles outside the intentionally near-tied case were 2.42 x 10^-6 degrees, and classification label agreement was 1.000. For singular values separated by only 10^-12 relatively, individual basis vectors were not identifiable; prediction error was 3.36 x 10^-4 and the maximum subspace angle was 0.015 degrees. Orthogonality and deflation residuals remained below 6.36 x 10^-15 and 8.67 x 10^-16. Separately, the IRLBA comparison comprised 117 component-level endpoints, all meeting predefined tolerances, with fixed-fold selection agreement in all tasks.</w:t>
      </w:r>
    </w:p>
    <w:p>
      <w:pPr>
        <w:pStyle w:val="BodyText"/>
      </w:pPr>
      <w:r>
        <w:t>A historical single-seed development evaluation met 101/117 tolerance checks at oversampling 10 with one power iteration. Archived-release validation therefore used oversampling 20, two power iterations, and seeds 1, 7, 19, 43, and 123. All 585 CPU checks and all 40 CUDA checks met the predefined tolerances; rejected CUDA 10/1 and 10/2 controls met 0/40 and 27/40 checks. Component-level outputs are in benchmark_results/frozen_release_0.99.25/simpls_estimator_preservation/ and rsvd_cuda_reliability_final/. These are solver-control reliability screens, not estimator-equivalence evidence.</w:t>
      </w:r>
    </w:p>
    <w:bookmarkEnd w:id="43"/>
    <w:bookmarkStart w:id="44" w:name="X9c9cacb866e0a162e3870f84eb127d5e13fc4ee"/>
    <w:p>
      <w:pPr>
        <w:pStyle w:val="Heading1"/>
      </w:pPr>
      <w:r>
        <w:rPr>
          <w:rFonts w:ascii="Times New Roman" w:hAnsi="Times New Roman" w:eastAsia="Times New Roman"/>
        </w:rPr>
        <w:t>S7. Benchmark execution and memory measurement</w:t>
      </w:r>
    </w:p>
    <w:p>
      <w:pPr>
        <w:pStyle w:val="FirstParagraph"/>
      </w:pPr>
      <w:r>
        <w:t>Each fit is run in an isolated R process. Total time is fitting plus prediction and excludes package installation, dataset acquisition and loading, package initialization, and metric calculation after prediction. The fit timer starts immediately before the public pls() call and stops after the fitted R model is returned. For CUDA routes, this interval includes host-side argument marshalling, host-to-device transfer of training matrices, device allocation, CUDA kernels and library calls, synchronization, and device-to-host transfer of model components exposed in the returned R object. The prediction timer starts immediately before predict() and stops after predictions or class scores are available in R. It includes host-to-device transfer of the test matrix and any model arrays not retained on the device, CUDA execution and synchronization, and device-to-host result transfer. Routes supporting resident workspaces reuse them; the benchmark does not add an artificial host round trip, but the public R model remains the interface between the separately timed fit and prediction calls. Therefore, reported CUDA time is end-to-end backend time rather than kernel-only time. After data and libraries are loaded, garbage collection is completed and host RSS and process-specific GPU memory are recorded immediately before fitting. The R process then signals a synchronized external sampler, which polls host RSS and PID-matched nvidia-smi device memory every 0.02 s throughout fitting and prediction. /usr/bin/time records the absolute maximum RSS over the complete isolated process. Incremental host memory is the maximum of fit-window samples and post-fit/post-prediction snapshots minus the pre-fit baseline; incremental process-level GPU memory is the PID-specific sampled peak minus its pre-fit baseline. Negative differences are truncated at zero. CUDA contexts were not preinitialized, so a zero pre-fit GPU baseline does not remove context creation, CUDA-library handles, allocator pools, persistent device objects, data/model storage, or workspaces created by the measured call. The GPU increment therefore measures the end-to-end device footprint triggered by the workflow and is not an isolated algorithmic-workspace measurement. Isolating workspace would require CUDA-API instrumentation after persistent runtime state had been initialized, which was not performed. For the repeated external SIMPLS comparison, /usr/bin/time supplied the complete-worker high-water RSS and the worker sampled its current RSS after loading and garbage collection, immediately before the fit. Their difference is reported as a baseline-corrected process peak increment. Because the absolute high-water mark spans the worker lifetime, the increment can retain earlier loading high-water effects; it is therefore a conservative complete-process measure rather than fit-window workspace. Formula-based sizes of the cross-covariance, coefficient, fitted/residual, score, and prediction objects are reported alongside measured RSS.</w:t>
      </w:r>
    </w:p>
    <w:p>
      <w:pPr>
        <w:pStyle w:val="BodyText"/>
      </w:pPr>
      <w:r>
        <w:t>Current-version central analyses used the frozen 0.99.25 execution archive and recorded its SHA-256, package version, input checksum, script identity, compiler, BLAS/LAPACK, thread settings, accelerator libraries, seed, rSVD controls, repetition, and status. NMR was rerun end to end from the prepared predictors and responses. For ImageNet, only the downstream PLS fitting and prediction stages were rerun; feature extraction remains historical and partially reproducible. Table S15 maps each claim to its result directory and provenance scope.</w:t>
      </w:r>
    </w:p>
    <w:p>
      <w:pPr>
        <w:pStyle w:val="Caption"/>
        <w:keepNext/>
      </w:pPr>
      <w:r>
        <w:t>Table S4a. Exact reproducibility environment for the primary CUDA workstation and the Apple Metal validation system. Values were read from benchmark manifests, sessionInfo(), R configuration, package installation logs, linked runtime libraries, and operating-system queries. The CUDA and Metal columns are not direct hardware comparisons.</w:t>
      </w:r>
    </w:p>
    <w:tbl>
      <w:tblPr>
        <w:tblW w:type="dxa" w:w="10944"/>
        <w:tblLayout w:type="fixed"/>
        <w:tblLook w:firstColumn="1" w:firstRow="1" w:lastColumn="0" w:lastRow="0" w:noHBand="0" w:noVBand="1" w:val="04A0"/>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CellMar>
          <w:top w:w="45" w:type="dxa"/>
          <w:start w:w="45" w:type="dxa"/>
          <w:bottom w:w="45" w:type="dxa"/>
          <w:end w:w="45" w:type="dxa"/>
        </w:tblCellMar>
      </w:tblPr>
      <w:tblGrid>
        <w:gridCol w:w="1899"/>
        <w:gridCol w:w="4522"/>
        <w:gridCol w:w="4523"/>
      </w:tblGrid>
      <w:tr>
        <w:trPr>
          <w:cantSplit/>
          <w:tblHeader w:val="true"/>
          <w:tblHeader/>
          <w:cantSplit/>
        </w:trPr>
        <w:tc>
          <w:tcPr>
            <w:tcW w:type="dxa" w:w="1899"/>
            <w:vAlign w:val="center"/>
            <w:tcMar>
              <w:top w:w="55" w:type="dxa"/>
              <w:start w:w="70" w:type="dxa"/>
              <w:bottom w:w="55" w:type="dxa"/>
              <w:end w:w="70" w:type="dxa"/>
            </w:tcMar>
            <w:shd w:fill="E8EEF5"/>
          </w:tcPr>
          <w:p>
            <w:pPr>
              <w:spacing w:after="0" w:line="240" w:lineRule="auto" w:before="0"/>
              <w:jc w:val="left"/>
            </w:pPr>
            <w:r>
              <w:rPr>
                <w:rFonts w:ascii="Arial" w:hAnsi="Arial"/>
                <w:b/>
                <w:sz w:val="12"/>
              </w:rPr>
              <w:t>Item</w:t>
            </w:r>
          </w:p>
        </w:tc>
        <w:tc>
          <w:tcPr>
            <w:tcW w:type="dxa" w:w="4522"/>
            <w:vAlign w:val="center"/>
            <w:tcMar>
              <w:top w:w="55" w:type="dxa"/>
              <w:start w:w="70" w:type="dxa"/>
              <w:bottom w:w="55" w:type="dxa"/>
              <w:end w:w="70" w:type="dxa"/>
            </w:tcMar>
            <w:shd w:fill="E8EEF5"/>
          </w:tcPr>
          <w:p>
            <w:pPr>
              <w:spacing w:after="0" w:line="240" w:lineRule="auto" w:before="0"/>
              <w:jc w:val="left"/>
            </w:pPr>
            <w:r>
              <w:rPr>
                <w:rFonts w:ascii="Arial" w:hAnsi="Arial"/>
                <w:b/>
                <w:sz w:val="12"/>
              </w:rPr>
              <w:t>CUDA workstation</w:t>
            </w:r>
          </w:p>
        </w:tc>
        <w:tc>
          <w:tcPr>
            <w:tcW w:type="dxa" w:w="4523"/>
            <w:vAlign w:val="center"/>
            <w:tcMar>
              <w:top w:w="55" w:type="dxa"/>
              <w:start w:w="70" w:type="dxa"/>
              <w:bottom w:w="55" w:type="dxa"/>
              <w:end w:w="70" w:type="dxa"/>
            </w:tcMar>
            <w:shd w:fill="E8EEF5"/>
          </w:tcPr>
          <w:p>
            <w:pPr>
              <w:spacing w:after="0" w:line="240" w:lineRule="auto" w:before="0"/>
              <w:jc w:val="left"/>
            </w:pPr>
            <w:r>
              <w:rPr>
                <w:rFonts w:ascii="Arial" w:hAnsi="Arial"/>
                <w:b/>
                <w:sz w:val="12"/>
              </w:rPr>
              <w:t>Metal validation system</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Platform</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Intel Core i7-13700 (16 cores, 24 logical CPUs); 32,526,480 kB RAM; NVIDIA GeForce RTX 5060 Ti, 16,311 MiB VRAM</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macOS 14.5 (23F79); Apple M3 (8 CPU cores, 10 GPU cores); 8,589,934,592 bytes unified memory; Metal 3</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R and fastPLS</w:t>
            </w:r>
          </w:p>
        </w:tc>
        <w:tc>
          <w:tcPr>
            <w:tcW w:type="dxa" w:w="4522"/>
            <w:vAlign w:val="center"/>
            <w:tcMar>
              <w:top w:w="55" w:type="dxa"/>
              <w:start w:w="70" w:type="dxa"/>
              <w:bottom w:w="55" w:type="dxa"/>
              <w:end w:w="70" w:type="dxa"/>
            </w:tcMar>
          </w:tcPr>
          <w:p>
            <w:pPr>
              <w:spacing w:after="0" w:before="0" w:line="240" w:lineRule="auto"/>
            </w:pPr>
            <w:r>
              <w:rPr>
                <w:sz w:val="12"/>
              </w:rPr>
              <w:t>R 4.6.0; frozen central analyses used fastPLS 0.99.25 from commit 7887401b09e2. See Table S15 for the archive checksum and analysis mapping.</w:t>
            </w:r>
          </w:p>
        </w:tc>
        <w:tc>
          <w:tcPr>
            <w:tcW w:type="dxa" w:w="4523"/>
            <w:vAlign w:val="center"/>
            <w:tcMar>
              <w:top w:w="55" w:type="dxa"/>
              <w:start w:w="70" w:type="dxa"/>
              <w:bottom w:w="55" w:type="dxa"/>
              <w:end w:w="70" w:type="dxa"/>
            </w:tcMar>
          </w:tcPr>
          <w:p>
            <w:pPr>
              <w:spacing w:after="0" w:before="0" w:line="240" w:lineRule="auto"/>
            </w:pPr>
            <w:r>
              <w:rPr>
                <w:sz w:val="12"/>
              </w:rPr>
              <w:t>R 4.6.0; Metal diagnostics used development source states and are archival, not frozen central evidence. See Table S15.</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Core R packages</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Rcpp 1.1.1-1.1; RcppArmadillo 15.2.7-1; RcppEigen 0.3.4.0.2; Matrix 1.7-5; float 0.3-3; pls 2.9-0</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Rcpp 1.1.2; RcppArmadillo 15.4.0-1; RcppEigen 0.3.4.0.2; Matrix 1.7-5; float 0.3-3; pls 2.9-0</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External comparison packages</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mdatools 0.15.0; chemometrics 1.4.4; pcv 1.1.0; plsdepot 0.3.1; plsgenomics 1.5-3; mixOmics 6.36.0; spls 2.3-2; ropls 1.44.0</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Not used for the external-package comparison</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C/C++ compiler</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GCC/G++ 11.4.0; C++17</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Homebrew Clang/Clang++ 22.1.1; C++17; macOS SDK 15.2</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Effective C/C++ flags</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-std=gnu++17 -fpic -g -O2 -ffile-prefix-map=/build/r-base-gN72Ro/r-base-4.6.0=. -fstack-protector-strong -Wformat -Werror=format-security -Wdate-time -D_FORTIFY_SOURCE=2; package definitions: -DRANN -DARMA_64BIT_WORD=1 -DFASTPLS_HAS_CUDA -DFASTPLS_HAS_CUDA_KERNELS</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-std=gnu++17 -fPIC -falign-functions=64 -Wall -g -O2; Objective-C++: -x objective-c++ -fobjc-arc; package definitions: -DRANN -DARMA_64BIT_WORD=1 -DFASTPLS_HAS_Metal</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Accelerator build/link</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NVCC 13.0.88: -std=c++17 --extended-lambda --expt-relaxed-constexpr -DFASTPLS_HAS_CUDA -DFASTPLS_HAS_CUDA_KERNELS -Xcompiler -fPIC; linked with -lcudart -lcublas -lcusolver -lcurand</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Linked frameworks: Foundation, Metal, and MetalPerformanceShaders</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BLAS/LAPACK</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Reference BLAS 3.10.0; LAPACK 3.10.0</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R BLAS (/Library/Frameworks/R.framework/Versions/4.6/Resources/lib/libRblas.0.dylib); R LAPACK 3.12.1 (libRlapack.dylib)</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CPU thread setting</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1 effective BLAS thread; reference BLAS and no OpenMP; OMP_NUM_THREADS, OPENBLAS_NUM_THREADS, and MKL_NUM_THREADS unset</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1 effective R-BLAS thread; no OpenMP; OMP_NUM_THREADS and VECLIB_MAXIMUM_THREADS unset</w:t>
            </w:r>
          </w:p>
        </w:tc>
      </w:tr>
      <w:tr>
        <w:trPr>
          <w:cantSplit/>
          <w:cantSplit/>
        </w:trPr>
        <w:tc>
          <w:tcPr>
            <w:tcW w:type="dxa" w:w="1899"/>
            <w:vAlign w:val="center"/>
            <w:tcMar>
              <w:top w:w="55" w:type="dxa"/>
              <w:start w:w="70" w:type="dxa"/>
              <w:bottom w:w="55" w:type="dxa"/>
              <w:end w:w="70" w:type="dxa"/>
            </w:tcMar>
          </w:tcPr>
          <w:p>
            <w:pPr>
              <w:spacing w:after="0" w:line="240" w:lineRule="auto" w:before="0"/>
              <w:jc w:val="left"/>
            </w:pPr>
            <w:r>
              <w:rPr>
                <w:rFonts w:ascii="Arial" w:hAnsi="Arial"/>
                <w:sz w:val="12"/>
              </w:rPr>
              <w:t>GPU runtime/libraries</w:t>
            </w:r>
          </w:p>
        </w:tc>
        <w:tc>
          <w:tcPr>
            <w:tcW w:type="dxa" w:w="4522"/>
            <w:vAlign w:val="center"/>
            <w:tcMar>
              <w:top w:w="55" w:type="dxa"/>
              <w:start w:w="70" w:type="dxa"/>
              <w:bottom w:w="55" w:type="dxa"/>
              <w:end w:w="70" w:type="dxa"/>
            </w:tcMar>
          </w:tcPr>
          <w:p>
            <w:pPr>
              <w:spacing w:after="0" w:line="240" w:lineRule="auto" w:before="0"/>
              <w:jc w:val="left"/>
            </w:pPr>
            <w:r>
              <w:rPr>
                <w:rFonts w:ascii="Arial" w:hAnsi="Arial"/>
                <w:sz w:val="12"/>
              </w:rPr>
              <w:t>NVIDIA driver 595.71.05; CUDA SDK 13.0.3; CUDA runtime 13.0.96; cuBLAS 13.1.1.3; cuSOLVER 12.0.4.66; cuRAND 10.4.0.35</w:t>
            </w:r>
          </w:p>
        </w:tc>
        <w:tc>
          <w:tcPr>
            <w:tcW w:type="dxa" w:w="4523"/>
            <w:vAlign w:val="center"/>
            <w:tcMar>
              <w:top w:w="55" w:type="dxa"/>
              <w:start w:w="70" w:type="dxa"/>
              <w:bottom w:w="55" w:type="dxa"/>
              <w:end w:w="70" w:type="dxa"/>
            </w:tcMar>
          </w:tcPr>
          <w:p>
            <w:pPr>
              <w:spacing w:after="0" w:line="240" w:lineRule="auto" w:before="0"/>
              <w:jc w:val="left"/>
            </w:pPr>
            <w:r>
              <w:rPr>
                <w:rFonts w:ascii="Arial" w:hAnsi="Arial"/>
                <w:sz w:val="12"/>
              </w:rPr>
              <w:t>Metal 3; Metal.framework and MetalPerformanceShaders.framework from macOS SDK 15.2</w:t>
            </w:r>
          </w:p>
        </w:tc>
      </w:tr>
    </w:tbl>
    <w:p>
      <w:pPr>
        <w:pStyle w:val="BodyText"/>
      </w:pPr>
      <w:r>
        <w:t>Table S4b. External implementation scope. Exact package versions and execution errors are captured by the run manifest.</w:t>
      </w:r>
    </w:p>
    <w:tbl>
      <w:tblPr>
        <w:tblStyle w:val="Table"/>
        <w:tblW w:type="dxa" w:w="10944"/>
        <w:jc w:val="center"/>
        <w:tblLayout w:type="fixed"/>
        <w:tblLook w:firstRow="1" w:lastRow="0" w:firstColumn="0" w:lastColumn="0" w:noHBand="0" w:noVBand="0" w:val="0020"/>
        <w:tblInd w:w="120" w:type="dxa"/>
        <w:tblCellMar>
          <w:top w:w="45" w:type="dxa"/>
          <w:start w:w="45" w:type="dxa"/>
          <w:bottom w:w="45" w:type="dxa"/>
          <w:end w:w="45" w:type="dxa"/>
        </w:tblCellMar>
      </w:tblPr>
      <w:tblGrid>
        <w:gridCol w:w="3648"/>
        <w:gridCol w:w="3648"/>
        <w:gridCol w:w="3648"/>
      </w:tblGrid>
      <w:tr>
        <w:trPr>
          <w:tblHeader w:val="on"/>
        </w:trPr>
        <w:tc>
          <w:tcPr>
            <w:tcW w:w="3648" w:type="dxa"/>
            <w:vAlign w:val="center"/>
            <w:tcMar>
              <w:top w:w="80" w:type="dxa"/>
              <w:start w:w="120" w:type="dxa"/>
              <w:bottom w:w="80" w:type="dxa"/>
              <w:end w:w="120" w:type="dxa"/>
            </w:tcMar>
            <w:shd w:fill="E7E6E6"/>
          </w:tcPr>
          <w:p>
            <w:pPr>
              <w:pStyle w:val="Compact"/>
              <w:spacing w:line="240" w:lineRule="auto" w:after="0" w:before="0"/>
            </w:pPr>
            <w:r>
              <w:rPr>
                <w:rFonts w:ascii="Times New Roman" w:hAnsi="Times New Roman" w:eastAsia="Times New Roman"/>
                <w:b/>
                <w:sz w:val="12"/>
              </w:rPr>
              <w:t>Package</w:t>
            </w:r>
          </w:p>
        </w:tc>
        <w:tc>
          <w:tcPr>
            <w:tcW w:w="3648" w:type="dxa"/>
            <w:vAlign w:val="center"/>
            <w:tcMar>
              <w:top w:w="80" w:type="dxa"/>
              <w:start w:w="120" w:type="dxa"/>
              <w:bottom w:w="80" w:type="dxa"/>
              <w:end w:w="120" w:type="dxa"/>
            </w:tcMar>
            <w:shd w:fill="E7E6E6"/>
          </w:tcPr>
          <w:p>
            <w:pPr>
              <w:pStyle w:val="Compact"/>
              <w:spacing w:line="240" w:lineRule="auto" w:after="0" w:before="0"/>
            </w:pPr>
            <w:r>
              <w:rPr>
                <w:rFonts w:ascii="Times New Roman" w:hAnsi="Times New Roman" w:eastAsia="Times New Roman"/>
                <w:b/>
                <w:sz w:val="12"/>
              </w:rPr>
              <w:t>Functions evaluated where compatible</w:t>
            </w:r>
          </w:p>
        </w:tc>
        <w:tc>
          <w:tcPr>
            <w:tcW w:w="3648" w:type="dxa"/>
            <w:vAlign w:val="center"/>
            <w:tcMar>
              <w:top w:w="80" w:type="dxa"/>
              <w:start w:w="120" w:type="dxa"/>
              <w:bottom w:w="80" w:type="dxa"/>
              <w:end w:w="120" w:type="dxa"/>
            </w:tcMar>
            <w:shd w:fill="E7E6E6"/>
          </w:tcPr>
          <w:p>
            <w:pPr>
              <w:pStyle w:val="Compact"/>
              <w:spacing w:line="240" w:lineRule="auto" w:after="0" w:before="0"/>
            </w:pPr>
            <w:r>
              <w:rPr>
                <w:rFonts w:ascii="Times New Roman" w:hAnsi="Times New Roman" w:eastAsia="Times New Roman"/>
                <w:b/>
                <w:sz w:val="12"/>
              </w:rPr>
              <w:t>Comparison scope</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pls</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plsr(method="simpls")</w:t>
            </w:r>
            <w:r>
              <w:rPr>
                <w:rFonts w:ascii="Times New Roman" w:hAnsi="Times New Roman" w:eastAsia="Times New Roman"/>
                <w:sz w:val="12"/>
              </w:rPr>
              <w:t>,</w:t>
            </w:r>
            <w:r>
              <w:rPr>
                <w:rFonts w:ascii="Times New Roman" w:hAnsi="Times New Roman" w:eastAsia="Times New Roman"/>
                <w:sz w:val="12"/>
              </w:rPr>
              <w:t xml:space="preserve"> </w:t>
            </w:r>
            <w:r>
              <w:rPr>
                <w:rStyle w:val="VerbatimChar"/>
                <w:rFonts w:ascii="Times New Roman" w:hAnsi="Times New Roman" w:eastAsia="Times New Roman"/>
                <w:sz w:val="12"/>
              </w:rPr>
              <w:t>simpls.fit</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SIMPLS reference for supported regression or dummy-response tasks</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mdatools</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pls</w:t>
            </w:r>
            <w:r>
              <w:rPr>
                <w:rFonts w:ascii="Times New Roman" w:hAnsi="Times New Roman" w:eastAsia="Times New Roman"/>
                <w:sz w:val="12"/>
              </w:rPr>
              <w:t>,</w:t>
            </w:r>
            <w:r>
              <w:rPr>
                <w:rFonts w:ascii="Times New Roman" w:hAnsi="Times New Roman" w:eastAsia="Times New Roman"/>
                <w:sz w:val="12"/>
              </w:rPr>
              <w:t xml:space="preserve"> </w:t>
            </w:r>
            <w:r>
              <w:rPr>
                <w:rStyle w:val="VerbatimChar"/>
                <w:rFonts w:ascii="Times New Roman" w:hAnsi="Times New Roman" w:eastAsia="Times New Roman"/>
                <w:sz w:val="12"/>
              </w:rPr>
              <w:t>plsda</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PLS regression or PLS-DA when the installed API supports the task</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plsdepot</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simpls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Independent SIMPLS fit</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pcv</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simpls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Independent SIMPLS fit where response shape is supported</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plsgenomics</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pls.regression</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Genomics-oriented PLS regression/classification where installable</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chemometrics</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pls_eigen</w:t>
            </w:r>
            <w:r>
              <w:rPr>
                <w:rFonts w:ascii="Times New Roman" w:hAnsi="Times New Roman" w:eastAsia="Times New Roman"/>
                <w:sz w:val="12"/>
              </w:rPr>
              <w:t>,</w:t>
            </w:r>
            <w:r>
              <w:rPr>
                <w:rFonts w:ascii="Times New Roman" w:hAnsi="Times New Roman" w:eastAsia="Times New Roman"/>
                <w:sz w:val="12"/>
              </w:rPr>
              <w:t xml:space="preserve"> </w:t>
            </w:r>
            <w:r>
              <w:rPr>
                <w:rStyle w:val="VerbatimChar"/>
                <w:rFonts w:ascii="Times New Roman" w:hAnsi="Times New Roman" w:eastAsia="Times New Roman"/>
                <w:sz w:val="12"/>
              </w:rPr>
              <w:t>pls2_nipals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Eigen- and NIPALS-based PLS references</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mixOmics</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plsda</w:t>
            </w:r>
            <w:r>
              <w:rPr>
                <w:rFonts w:ascii="Times New Roman" w:hAnsi="Times New Roman" w:eastAsia="Times New Roman"/>
                <w:sz w:val="12"/>
              </w:rPr>
              <w:t>,</w:t>
            </w:r>
            <w:r>
              <w:rPr>
                <w:rFonts w:ascii="Times New Roman" w:hAnsi="Times New Roman" w:eastAsia="Times New Roman"/>
                <w:sz w:val="12"/>
              </w:rPr>
              <w:t xml:space="preserve"> </w:t>
            </w:r>
            <w:r>
              <w:rPr>
                <w:rStyle w:val="VerbatimChar"/>
                <w:rFonts w:ascii="Times New Roman" w:hAnsi="Times New Roman" w:eastAsia="Times New Roman"/>
                <w:sz w:val="12"/>
              </w:rPr>
              <w:t>splsda</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PLS-DA and sparse PLS-DA; model differences are labelled</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spls</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spls</w:t>
            </w:r>
            <w:r>
              <w:rPr>
                <w:rFonts w:ascii="Times New Roman" w:hAnsi="Times New Roman" w:eastAsia="Times New Roman"/>
                <w:sz w:val="12"/>
              </w:rPr>
              <w:t>,</w:t>
            </w:r>
            <w:r>
              <w:rPr>
                <w:rFonts w:ascii="Times New Roman" w:hAnsi="Times New Roman" w:eastAsia="Times New Roman"/>
                <w:sz w:val="12"/>
              </w:rPr>
              <w:t xml:space="preserve"> </w:t>
            </w:r>
            <w:r>
              <w:rPr>
                <w:rStyle w:val="VerbatimChar"/>
                <w:rFonts w:ascii="Times New Roman" w:hAnsi="Times New Roman" w:eastAsia="Times New Roman"/>
                <w:sz w:val="12"/>
              </w:rPr>
              <w:t>splsda</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Sparse estimators; not treated as identical to dense SIMPLS</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ropls</w:t>
            </w:r>
          </w:p>
        </w:tc>
        <w:tc>
          <w:tcPr>
            <w:tcW w:w="3648" w:type="dxa"/>
            <w:vAlign w:val="center"/>
            <w:tcMar>
              <w:top w:w="80" w:type="dxa"/>
              <w:start w:w="120" w:type="dxa"/>
              <w:bottom w:w="80" w:type="dxa"/>
              <w:end w:w="120" w:type="dxa"/>
            </w:tcMar>
          </w:tcPr>
          <w:p>
            <w:pPr>
              <w:pStyle w:val="Compact"/>
              <w:spacing w:line="240" w:lineRule="auto" w:after="0" w:before="0"/>
            </w:pPr>
            <w:r>
              <w:rPr>
                <w:rStyle w:val="VerbatimChar"/>
                <w:rFonts w:ascii="Times New Roman" w:hAnsi="Times New Roman" w:eastAsia="Times New Roman"/>
                <w:sz w:val="12"/>
              </w:rPr>
              <w:t>opls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PLS/OPLS where task type and class-count restrictions permit</w:t>
            </w:r>
          </w:p>
        </w:tc>
      </w:tr>
    </w:tbl>
    <w:p>
      <w:pPr>
        <w:pStyle w:val="BodyText"/>
      </w:pPr>
      <w:r>
        <w:rPr>
          <w:rFonts w:ascii="Times New Roman" w:hAnsi="Times New Roman" w:eastAsia="Times New Roman"/>
          <w:sz w:val="24"/>
        </w:rPr>
        <w:t>Only estimator/task combinations with compatible outputs are used for speed-and-prediction comparisons. Estimator-matched tables require the same preprocessing, response representation, component count, prediction head, precision, thread setting, and timed work. A separate complete-workflow table may compare different estimators or heads, but is not interpreted as an implementation-only speed test. Unsupported multivariate responses, binary-only restrictions, timeouts, memory kills, and numerical failures remain in the final table rather than being dropped. Adapter errors are corrected before comparison or labelled as benchmark-code failures; they are not described as limitations of the external package.</w:t>
      </w:r>
    </w:p>
    <w:bookmarkEnd w:id="44"/>
    <w:bookmarkStart w:id="45" w:name="s8.-backend-reproducibility"/>
    <w:p>
      <w:pPr>
        <w:pStyle w:val="Heading1"/>
      </w:pPr>
      <w:r>
        <w:rPr>
          <w:rFonts w:ascii="Times New Roman" w:hAnsi="Times New Roman" w:eastAsia="Times New Roman"/>
        </w:rPr>
        <w:t>S8. Backend reproducibility</w:t>
      </w:r>
    </w:p>
    <w:p>
      <w:pPr>
        <w:pStyle w:val="FirstParagraph"/>
      </w:pPr>
      <w:r>
        <w:t>Reproducibility experiments use identical data, preprocessing, folds, requested components, and seeds for the configured CPU, CUDA, and Metal routes. CPU builds delegate dense linear algebra to the BLAS/LAPACK implementation linked to R and can use OpenBLAS where it is installed. That build capability is recorded separately from measured performance. The primary software-comparison runs used one effective BLAS thread. No controlled one-thread versus multiple-thread scaling experiment was conducted, and no multicore speed-up is inferred. Because rSVD is stochastic and nearly tied singular values can rotate an equivalent basis, raw component columns are sign-aligned only for descriptive comparisons. Primary endpoints are prediction agreement, absolute predictive-metric difference, relative Frobenius prediction error, selected component count, numerical failures, and run-to-run variability. Principal angles compare latent subspaces.</w:t>
      </w:r>
    </w:p>
    <w:p>
      <w:pPr>
        <w:pStyle w:val="BodyText"/>
      </w:pPr>
      <w:r>
        <w:rPr>
          <w:rFonts w:ascii="Times New Roman" w:hAnsi="Times New Roman" w:eastAsia="Times New Roman"/>
          <w:b/>
          <w:bCs/>
          <w:sz w:val="24"/>
        </w:rPr>
        <w:t>Table S5. Backend reproducibility endpoints.</w:t>
      </w:r>
    </w:p>
    <w:tbl>
      <w:tblPr>
        <w:tblStyle w:val="Table"/>
        <w:tblW w:type="dxa" w:w="10944"/>
        <w:jc w:val="center"/>
        <w:tblLayout w:type="fixed"/>
        <w:tblLook w:firstRow="1" w:lastRow="0" w:firstColumn="0" w:lastColumn="0" w:noHBand="0" w:noVBand="0" w:val="0020"/>
        <w:tblInd w:w="120" w:type="dxa"/>
        <w:tblCellMar>
          <w:top w:w="45" w:type="dxa"/>
          <w:start w:w="45" w:type="dxa"/>
          <w:bottom w:w="45" w:type="dxa"/>
          <w:end w:w="45" w:type="dxa"/>
        </w:tblCellMar>
      </w:tblPr>
      <w:tblGrid>
        <w:gridCol w:w="3648"/>
        <w:gridCol w:w="3648"/>
        <w:gridCol w:w="3648"/>
      </w:tblGrid>
      <w:tr>
        <w:trPr>
          <w:tblHeader w:val="on"/>
        </w:trPr>
        <w:tc>
          <w:tcPr>
            <w:tcW w:w="3648" w:type="dxa"/>
            <w:vAlign w:val="center"/>
            <w:tcMar>
              <w:top w:w="80" w:type="dxa"/>
              <w:start w:w="120" w:type="dxa"/>
              <w:bottom w:w="80" w:type="dxa"/>
              <w:end w:w="120" w:type="dxa"/>
            </w:tcMar>
            <w:shd w:fill="E7E6E6"/>
          </w:tcPr>
          <w:p>
            <w:pPr>
              <w:pStyle w:val="Compact"/>
              <w:spacing w:line="240" w:lineRule="auto" w:after="0" w:before="0"/>
            </w:pPr>
            <w:r>
              <w:rPr>
                <w:rFonts w:ascii="Times New Roman" w:hAnsi="Times New Roman" w:eastAsia="Times New Roman"/>
                <w:b/>
                <w:sz w:val="12"/>
              </w:rPr>
              <w:t>Endpoint</w:t>
            </w:r>
          </w:p>
        </w:tc>
        <w:tc>
          <w:tcPr>
            <w:tcW w:w="3648" w:type="dxa"/>
            <w:vAlign w:val="center"/>
            <w:tcMar>
              <w:top w:w="80" w:type="dxa"/>
              <w:start w:w="120" w:type="dxa"/>
              <w:bottom w:w="80" w:type="dxa"/>
              <w:end w:w="120" w:type="dxa"/>
            </w:tcMar>
            <w:shd w:fill="E7E6E6"/>
          </w:tcPr>
          <w:p>
            <w:pPr>
              <w:pStyle w:val="Compact"/>
              <w:spacing w:line="240" w:lineRule="auto" w:after="0" w:before="0"/>
            </w:pPr>
            <w:r>
              <w:rPr>
                <w:rFonts w:ascii="Times New Roman" w:hAnsi="Times New Roman" w:eastAsia="Times New Roman"/>
                <w:b/>
                <w:sz w:val="12"/>
              </w:rPr>
              <w:t>Definition</w:t>
            </w:r>
          </w:p>
        </w:tc>
        <w:tc>
          <w:tcPr>
            <w:tcW w:w="3648" w:type="dxa"/>
            <w:vAlign w:val="center"/>
            <w:tcMar>
              <w:top w:w="80" w:type="dxa"/>
              <w:start w:w="120" w:type="dxa"/>
              <w:bottom w:w="80" w:type="dxa"/>
              <w:end w:w="120" w:type="dxa"/>
            </w:tcMar>
            <w:shd w:fill="E7E6E6"/>
          </w:tcPr>
          <w:p>
            <w:pPr>
              <w:pStyle w:val="Compact"/>
              <w:spacing w:line="240" w:lineRule="auto" w:after="0" w:before="0"/>
            </w:pPr>
            <w:r>
              <w:rPr>
                <w:rFonts w:ascii="Times New Roman" w:hAnsi="Times New Roman" w:eastAsia="Times New Roman"/>
                <w:b/>
                <w:sz w:val="12"/>
              </w:rPr>
              <w:t>Interpretation</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Prediction agreement</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Fraction of identical decoded labels, or relative Frobenius difference for numeric predictions</w:t>
            </w:r>
          </w:p>
        </w:tc>
        <w:tc>
          <w:tcPr>
            <w:tcW w:w="3648" w:type="dxa"/>
            <w:vAlign w:val="center"/>
            <w:tcMar>
              <w:top w:w="80" w:type="dxa"/>
              <w:start w:w="120" w:type="dxa"/>
              <w:bottom w:w="80" w:type="dxa"/>
              <w:end w:w="120" w:type="dxa"/>
            </w:tcMar>
          </w:tcPr>
          <w:p>
            <w:pPr>
              <w:pStyle w:val="Compact"/>
              <w:spacing w:line="240" w:lineRule="auto" w:after="0" w:before="0"/>
            </w:pPr>
            <w:r>
              <w:rPr>
                <w:sz w:val="12"/>
              </w:rPr>
              <w:t>Primary check of model-output agreement under backend changes</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Predictive-metric difference</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Absolute difference in accuracy,</w:t>
            </w:r>
            <w:r>
              <w:rPr>
                <w:rFonts w:ascii="Times New Roman" w:hAnsi="Times New Roman" w:eastAsia="Times New Roman"/>
                <w:sz w:val="12"/>
              </w:rPr>
              <w:t xml:space="preserve"> </w:t>
            </w:r>
            <m:oMath>
              <m:sSup>
                <m:e>
                  <m:r>
                    <m:t>Q</m:t>
                  </m:r>
                </m:e>
                <m:sup>
                  <m:r>
                    <m:t>2</m:t>
                  </m:r>
                </m:sup>
              </m:sSup>
            </m:oMath>
            <w:r>
              <w:rPr>
                <w:rFonts w:ascii="Times New Roman" w:hAnsi="Times New Roman" w:eastAsia="Times New Roman"/>
                <w:sz w:val="12"/>
              </w:rPr>
              <w:t>, or RMSD</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Statistical rather than bitwise equivalence</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Principal angles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Angles between fitted latent subspaces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Robust to sign changes and rotations of nearly tied singular vectors</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Selected-component agreement</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Equality of the component count chosen on fixed folds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Checks downstream reproducibility of tuning</w:t>
            </w:r>
          </w:p>
        </w:tc>
      </w:tr>
      <w:tr>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Numerical failures</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Non-convergence, Cholesky fallback, non-finite output, timeout, or memory failure</w:t>
            </w:r>
          </w:p>
        </w:tc>
        <w:tc>
          <w:tcPr>
            <w:tcW w:w="3648" w:type="dxa"/>
            <w:vAlign w:val="center"/>
            <w:tcMar>
              <w:top w:w="80" w:type="dxa"/>
              <w:start w:w="120" w:type="dxa"/>
              <w:bottom w:w="80" w:type="dxa"/>
              <w:end w:w="120" w:type="dxa"/>
            </w:tcMar>
          </w:tcPr>
          <w:p>
            <w:pPr>
              <w:pStyle w:val="Compact"/>
              <w:spacing w:line="240" w:lineRule="auto" w:after="0" w:before="0"/>
            </w:pPr>
            <w:r>
              <w:rPr>
                <w:rFonts w:ascii="Times New Roman" w:hAnsi="Times New Roman" w:eastAsia="Times New Roman"/>
                <w:sz w:val="12"/>
              </w:rPr>
              <w:t>Retained explicitly rather than excluded</w:t>
            </w:r>
          </w:p>
        </w:tc>
      </w:tr>
    </w:tbl>
    <w:p>
      <w:pPr>
        <w:pStyle w:val="BodyText"/>
      </w:pPr>
      <w:r>
        <w:t>The completed fixed-score LDA validation used MetRef, CIFAR-100, Retina, and Tabula Muris. CPU and CUDA float32 predictions were compared at fixed component counts; classifier-level agreement is reported separately from upstream rSVD variation.</w:t>
      </w:r>
    </w:p>
    <w:p>
      <w:pPr>
        <w:pStyle w:val="Heading1"/>
      </w:pPr>
      <w:r>
        <w:t>S9. ImageNet computational role</w:t>
      </w:r>
    </w:p>
    <w:p>
      <w:pPr>
        <w:pStyle w:val="BodyText"/>
      </w:pPr>
      <w:r>
        <w:t>The role of this experiment is computational rather than biomedical. It supplies a large multiclass embedding matrix resembling the post-extraction data form produced by medical-image foundation models [31,32]. Because representation provenance is incomplete, it is interpreted only as a historical feasibility and memory-throughput demonstration.</w:t>
      </w:r>
    </w:p>
    <w:bookmarkEnd w:id="45"/>
    <w:bookmarkStart w:id="46" w:name="s9.-imagenet-interpretation-and-cknn"/>
    <w:bookmarkEnd w:id="46"/>
    <w:bookmarkStart w:id="47" w:name="s10.-reporting-conventions"/>
    <w:p>
      <w:pPr>
        <w:pStyle w:val="Heading1"/>
      </w:pPr>
      <w:r>
        <w:t>S10. Evidence-status terminology</w:t>
      </w:r>
    </w:p>
    <w:p>
      <w:pPr>
        <w:pStyle w:val="BodyText"/>
      </w:pPr>
      <w:r>
        <w:t>Table S6 defines one hierarchy for execution, residency, and numerical evidence. A route can execute successfully yet remain experimental or numerically discordant. Only routes meeting the stated numerical tolerances contribute to validated speed claims; unavailable and failed routes remain visible.</w:t>
      </w:r>
    </w:p>
    <w:p>
      <w:pPr>
        <w:pStyle w:val="Heading1"/>
      </w:pPr>
      <w:r>
        <w:t>S11. Evidence organization</w:t>
      </w:r>
    </w:p>
    <w:p>
      <w:r>
        <w:t>Each central result maps to one table or figure in Sections S12-S20. Expanded component paths, raw replicates, and machine-level diagnostics are indexed in the repository rather than repeated here.</w:t>
      </w:r>
    </w:p>
    <w:p>
      <w:pPr>
        <w:pStyle w:val="Caption"/>
      </w:pPr>
      <w:r>
        <w:t>Table S6. Evidence-status glossary used in the manuscript, figures, and Supplementary tables.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3648"/>
        <w:gridCol w:w="3648"/>
        <w:gridCol w:w="3648"/>
      </w:tblGrid>
      <w:tr>
        <w:trPr>
          <w:tblHeader w:val="true"/>
          <w:cantSplit/>
        </w:trPr>
        <w:tc>
          <w:tcPr>
            <w:tcW w:type="dxa" w:w="3648"/>
            <w:vAlign w:val="center"/>
          </w:tcPr>
          <w:p>
            <w:pPr>
              <w:spacing w:before="0" w:after="0" w:line="240" w:lineRule="auto"/>
            </w:pPr>
            <w:r>
              <w:rPr>
                <w:b/>
                <w:sz w:val="12"/>
              </w:rPr>
              <w:t>Term</w:t>
            </w:r>
          </w:p>
        </w:tc>
        <w:tc>
          <w:tcPr>
            <w:tcW w:type="dxa" w:w="3648"/>
            <w:vAlign w:val="center"/>
          </w:tcPr>
          <w:p>
            <w:pPr>
              <w:spacing w:before="0" w:after="0" w:line="240" w:lineRule="auto"/>
            </w:pPr>
            <w:r>
              <w:rPr>
                <w:b/>
                <w:sz w:val="12"/>
              </w:rPr>
              <w:t>Meaning</w:t>
            </w:r>
          </w:p>
        </w:tc>
        <w:tc>
          <w:tcPr>
            <w:tcW w:type="dxa" w:w="3648"/>
            <w:vAlign w:val="center"/>
          </w:tcPr>
          <w:p>
            <w:pPr>
              <w:spacing w:before="0" w:after="0" w:line="240" w:lineRule="auto"/>
            </w:pPr>
            <w:r>
              <w:rPr>
                <w:b/>
                <w:sz w:val="12"/>
              </w:rPr>
              <w:t>Reporting consequence</w:t>
            </w:r>
          </w:p>
        </w:tc>
      </w:tr>
      <w:tr>
        <w:trPr>
          <w:cantSplit/>
        </w:trPr>
        <w:tc>
          <w:tcPr>
            <w:tcW w:type="dxa" w:w="3648"/>
            <w:vAlign w:val="center"/>
          </w:tcPr>
          <w:p>
            <w:pPr>
              <w:spacing w:before="0" w:after="0" w:line="240" w:lineRule="auto"/>
            </w:pPr>
            <w:r>
              <w:rPr>
                <w:sz w:val="12"/>
              </w:rPr>
              <w:t>Available / unavailable</w:t>
            </w:r>
          </w:p>
        </w:tc>
        <w:tc>
          <w:tcPr>
            <w:tcW w:type="dxa" w:w="3648"/>
            <w:vAlign w:val="center"/>
          </w:tcPr>
          <w:p>
            <w:pPr>
              <w:spacing w:before="0" w:after="0" w:line="240" w:lineRule="auto"/>
            </w:pPr>
            <w:r>
              <w:rPr>
                <w:sz w:val="12"/>
              </w:rPr>
              <w:t>The requested route can / cannot be built and executed on the platform.</w:t>
            </w:r>
          </w:p>
        </w:tc>
        <w:tc>
          <w:tcPr>
            <w:tcW w:type="dxa" w:w="3648"/>
            <w:vAlign w:val="center"/>
          </w:tcPr>
          <w:p>
            <w:pPr>
              <w:spacing w:before="0" w:after="0" w:line="240" w:lineRule="auto"/>
            </w:pPr>
            <w:r>
              <w:rPr>
                <w:sz w:val="12"/>
              </w:rPr>
              <w:t>Unavailable routes stop before model allocation.</w:t>
            </w:r>
          </w:p>
        </w:tc>
      </w:tr>
      <w:tr>
        <w:trPr>
          <w:cantSplit/>
        </w:trPr>
        <w:tc>
          <w:tcPr>
            <w:tcW w:type="dxa" w:w="3648"/>
            <w:vAlign w:val="center"/>
          </w:tcPr>
          <w:p>
            <w:pPr>
              <w:spacing w:before="0" w:after="0" w:line="240" w:lineRule="auto"/>
            </w:pPr>
            <w:r>
              <w:rPr>
                <w:sz w:val="12"/>
              </w:rPr>
              <w:t>Native / hybrid</w:t>
            </w:r>
          </w:p>
        </w:tc>
        <w:tc>
          <w:tcPr>
            <w:tcW w:type="dxa" w:w="3648"/>
            <w:vAlign w:val="center"/>
          </w:tcPr>
          <w:p>
            <w:pPr>
              <w:spacing w:before="0" w:after="0" w:line="240" w:lineRule="auto"/>
            </w:pPr>
            <w:r>
              <w:rPr>
                <w:sz w:val="12"/>
              </w:rPr>
              <w:t>All principal stages remain on the named backend / one or more stages execute on the host.</w:t>
            </w:r>
          </w:p>
        </w:tc>
        <w:tc>
          <w:tcPr>
            <w:tcW w:type="dxa" w:w="3648"/>
            <w:vAlign w:val="center"/>
          </w:tcPr>
          <w:p>
            <w:pPr>
              <w:spacing w:before="0" w:after="0" w:line="240" w:lineRule="auto"/>
            </w:pPr>
            <w:r>
              <w:rPr>
                <w:sz w:val="12"/>
              </w:rPr>
              <w:t>Residency is reported separately from numerical status.</w:t>
            </w:r>
          </w:p>
        </w:tc>
      </w:tr>
      <w:tr>
        <w:trPr>
          <w:cantSplit/>
        </w:trPr>
        <w:tc>
          <w:tcPr>
            <w:tcW w:type="dxa" w:w="3648"/>
            <w:vAlign w:val="center"/>
          </w:tcPr>
          <w:p>
            <w:pPr>
              <w:spacing w:before="0" w:after="0" w:line="240" w:lineRule="auto"/>
            </w:pPr>
            <w:r>
              <w:rPr>
                <w:sz w:val="12"/>
              </w:rPr>
              <w:t>Deterministic reference</w:t>
            </w:r>
          </w:p>
        </w:tc>
        <w:tc>
          <w:tcPr>
            <w:tcW w:type="dxa" w:w="3648"/>
            <w:vAlign w:val="center"/>
          </w:tcPr>
          <w:p>
            <w:pPr>
              <w:spacing w:before="0" w:after="0" w:line="240" w:lineRule="auto"/>
            </w:pPr>
            <w:r>
              <w:rPr>
                <w:sz w:val="12"/>
              </w:rPr>
              <w:t>Fixed-input, fixed-control CPU IRLBA or dense-LAPACK validation route.</w:t>
            </w:r>
          </w:p>
        </w:tc>
        <w:tc>
          <w:tcPr>
            <w:tcW w:type="dxa" w:w="3648"/>
            <w:vAlign w:val="center"/>
          </w:tcPr>
          <w:p>
            <w:pPr>
              <w:spacing w:before="0" w:after="0" w:line="240" w:lineRule="auto"/>
            </w:pPr>
            <w:r>
              <w:rPr>
                <w:sz w:val="12"/>
              </w:rPr>
              <w:t>Used for confirmatory numerical comparison; not called an exact dense solver when IRLBA is used.</w:t>
            </w:r>
          </w:p>
        </w:tc>
      </w:tr>
      <w:tr>
        <w:trPr>
          <w:cantSplit/>
        </w:trPr>
        <w:tc>
          <w:tcPr>
            <w:tcW w:type="dxa" w:w="3648"/>
            <w:vAlign w:val="center"/>
          </w:tcPr>
          <w:p>
            <w:pPr>
              <w:spacing w:before="0" w:after="0" w:line="240" w:lineRule="auto"/>
            </w:pPr>
            <w:r>
              <w:rPr>
                <w:sz w:val="12"/>
              </w:rPr>
              <w:t>Qualified approximate</w:t>
            </w:r>
          </w:p>
        </w:tc>
        <w:tc>
          <w:tcPr>
            <w:tcW w:type="dxa" w:w="3648"/>
            <w:vAlign w:val="center"/>
          </w:tcPr>
          <w:p>
            <w:pPr>
              <w:spacing w:before="0" w:after="0" w:line="240" w:lineRule="auto"/>
            </w:pPr>
            <w:r>
              <w:rPr>
                <w:sz w:val="12"/>
              </w:rPr>
              <w:t>The rSVD route met every stated tolerance in the specified validation panel.</w:t>
            </w:r>
          </w:p>
        </w:tc>
        <w:tc>
          <w:tcPr>
            <w:tcW w:type="dxa" w:w="3648"/>
            <w:vAlign w:val="center"/>
          </w:tcPr>
          <w:p>
            <w:pPr>
              <w:spacing w:before="0" w:after="0" w:line="240" w:lineRule="auto"/>
            </w:pPr>
            <w:r>
              <w:rPr>
                <w:sz w:val="12"/>
              </w:rPr>
              <w:t>Controls, seed, version, and status accompany each result.</w:t>
            </w:r>
          </w:p>
        </w:tc>
      </w:tr>
      <w:tr>
        <w:trPr>
          <w:cantSplit/>
        </w:trPr>
        <w:tc>
          <w:tcPr>
            <w:tcW w:type="dxa" w:w="3648"/>
            <w:vAlign w:val="center"/>
          </w:tcPr>
          <w:p>
            <w:pPr>
              <w:spacing w:before="0" w:after="0" w:line="240" w:lineRule="auto"/>
            </w:pPr>
            <w:r>
              <w:rPr>
                <w:sz w:val="12"/>
              </w:rPr>
              <w:t>Concordant / discordant</w:t>
            </w:r>
          </w:p>
        </w:tc>
        <w:tc>
          <w:tcPr>
            <w:tcW w:type="dxa" w:w="3648"/>
            <w:vAlign w:val="center"/>
          </w:tcPr>
          <w:p>
            <w:pPr>
              <w:spacing w:before="0" w:after="0" w:line="240" w:lineRule="auto"/>
            </w:pPr>
            <w:r>
              <w:rPr>
                <w:sz w:val="12"/>
              </w:rPr>
              <w:t>Paired predictions and endpoint metrics do / do not meet the stated agreement tolerances.</w:t>
            </w:r>
          </w:p>
        </w:tc>
        <w:tc>
          <w:tcPr>
            <w:tcW w:type="dxa" w:w="3648"/>
            <w:vAlign w:val="center"/>
          </w:tcPr>
          <w:p>
            <w:pPr>
              <w:spacing w:before="0" w:after="0" w:line="240" w:lineRule="auto"/>
            </w:pPr>
            <w:r>
              <w:rPr>
                <w:sz w:val="12"/>
              </w:rPr>
              <w:t>Discordant routes are excluded from validated speed claims.</w:t>
            </w:r>
          </w:p>
        </w:tc>
      </w:tr>
      <w:tr>
        <w:trPr>
          <w:cantSplit/>
        </w:trPr>
        <w:tc>
          <w:tcPr>
            <w:tcW w:type="dxa" w:w="3648"/>
            <w:vAlign w:val="center"/>
          </w:tcPr>
          <w:p>
            <w:pPr>
              <w:spacing w:before="0" w:after="0" w:line="240" w:lineRule="auto"/>
            </w:pPr>
            <w:r>
              <w:rPr>
                <w:sz w:val="12"/>
              </w:rPr>
              <w:t>Validated</w:t>
            </w:r>
          </w:p>
        </w:tc>
        <w:tc>
          <w:tcPr>
            <w:tcW w:type="dxa" w:w="3648"/>
            <w:vAlign w:val="center"/>
          </w:tcPr>
          <w:p>
            <w:pPr>
              <w:spacing w:before="0" w:after="0" w:line="240" w:lineRule="auto"/>
            </w:pPr>
            <w:r>
              <w:rPr>
                <w:sz w:val="12"/>
              </w:rPr>
              <w:t>The family/backend/endpoint combination has direct numerical evidence within the stated scope.</w:t>
            </w:r>
          </w:p>
        </w:tc>
        <w:tc>
          <w:tcPr>
            <w:tcW w:type="dxa" w:w="3648"/>
            <w:vAlign w:val="center"/>
          </w:tcPr>
          <w:p>
            <w:pPr>
              <w:spacing w:before="0" w:after="0" w:line="240" w:lineRule="auto"/>
            </w:pPr>
            <w:r>
              <w:rPr>
                <w:sz w:val="12"/>
              </w:rPr>
              <w:t>Claims are limited to that scope and precision.</w:t>
            </w:r>
          </w:p>
        </w:tc>
      </w:tr>
      <w:tr>
        <w:trPr>
          <w:cantSplit/>
        </w:trPr>
        <w:tc>
          <w:tcPr>
            <w:tcW w:type="dxa" w:w="3648"/>
            <w:vAlign w:val="center"/>
          </w:tcPr>
          <w:p>
            <w:pPr>
              <w:spacing w:before="0" w:after="0" w:line="240" w:lineRule="auto"/>
            </w:pPr>
            <w:r>
              <w:rPr>
                <w:sz w:val="12"/>
              </w:rPr>
              <w:t>Experimental / hybrid</w:t>
            </w:r>
          </w:p>
        </w:tc>
        <w:tc>
          <w:tcPr>
            <w:tcW w:type="dxa" w:w="3648"/>
            <w:vAlign w:val="center"/>
          </w:tcPr>
          <w:p>
            <w:pPr>
              <w:spacing w:before="0" w:after="0" w:line="240" w:lineRule="auto"/>
            </w:pPr>
            <w:r>
              <w:rPr>
                <w:sz w:val="12"/>
              </w:rPr>
              <w:t>The route executes but evidence is incomplete or includes host-assisted stages.</w:t>
            </w:r>
          </w:p>
        </w:tc>
        <w:tc>
          <w:tcPr>
            <w:tcW w:type="dxa" w:w="3648"/>
            <w:vAlign w:val="center"/>
          </w:tcPr>
          <w:p>
            <w:pPr>
              <w:spacing w:before="0" w:after="0" w:line="240" w:lineRule="auto"/>
            </w:pPr>
            <w:r>
              <w:rPr>
                <w:sz w:val="12"/>
              </w:rPr>
              <w:t>Warnings and diagnostics are retained; confirmatory claims are avoided.</w:t>
            </w:r>
          </w:p>
        </w:tc>
      </w:tr>
      <w:tr>
        <w:trPr>
          <w:cantSplit/>
        </w:trPr>
        <w:tc>
          <w:tcPr>
            <w:tcW w:type="dxa" w:w="3648"/>
            <w:vAlign w:val="center"/>
          </w:tcPr>
          <w:p>
            <w:pPr>
              <w:spacing w:before="0" w:after="0" w:line="240" w:lineRule="auto"/>
            </w:pPr>
            <w:r>
              <w:rPr>
                <w:sz w:val="12"/>
              </w:rPr>
              <w:t>Rejected / failed</w:t>
            </w:r>
          </w:p>
        </w:tc>
        <w:tc>
          <w:tcPr>
            <w:tcW w:type="dxa" w:w="3648"/>
            <w:vAlign w:val="center"/>
          </w:tcPr>
          <w:p>
            <w:pPr>
              <w:spacing w:before="0" w:after="0" w:line="240" w:lineRule="auto"/>
            </w:pPr>
            <w:r>
              <w:rPr>
                <w:sz w:val="12"/>
              </w:rPr>
              <w:t>Controls failed numerical criteria / execution did not complete.</w:t>
            </w:r>
          </w:p>
        </w:tc>
        <w:tc>
          <w:tcPr>
            <w:tcW w:type="dxa" w:w="3648"/>
            <w:vAlign w:val="center"/>
          </w:tcPr>
          <w:p>
            <w:pPr>
              <w:spacing w:before="0" w:after="0" w:line="240" w:lineRule="auto"/>
            </w:pPr>
            <w:r>
              <w:rPr>
                <w:sz w:val="12"/>
              </w:rPr>
              <w:t>The row remains visible and cannot support performance claims.</w:t>
            </w:r>
          </w:p>
        </w:tc>
      </w:tr>
    </w:tbl>
    <w:p>
      <w:pPr>
        <w:pStyle w:val="Caption"/>
        <w:keepNext/>
      </w:pPr>
      <w:r>
        <w:t>Table S6a. Practical interpretation of the computational evidence and recommended fastPLS route.</w:t>
      </w:r>
    </w:p>
    <w:tbl>
      <w:tblPr>
        <w:tblW w:type="dxa" w:w="10944"/>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CellMar>
          <w:top w:w="45" w:type="dxa"/>
          <w:start w:w="45" w:type="dxa"/>
          <w:bottom w:w="45" w:type="dxa"/>
          <w:end w:w="45" w:type="dxa"/>
        </w:tblCellMar>
      </w:tblPr>
      <w:tblGrid>
        <w:gridCol w:w="3648"/>
        <w:gridCol w:w="3648"/>
        <w:gridCol w:w="3648"/>
      </w:tblGrid>
      <w:tr>
        <w:trPr>
          <w:tblHeader w:val="true"/>
        </w:trPr>
        <w:tc>
          <w:tcPr>
            <w:tcW w:type="dxa" w:w="3648"/>
            <w:vAlign w:val="center"/>
            <w:tcMar>
              <w:top w:w="70" w:type="dxa"/>
              <w:start w:w="90" w:type="dxa"/>
              <w:bottom w:w="70" w:type="dxa"/>
              <w:end w:w="90" w:type="dxa"/>
            </w:tcMar>
            <w:shd w:fill="1F4E78"/>
          </w:tcPr>
          <w:p>
            <w:pPr>
              <w:spacing w:before="0" w:after="0" w:line="240" w:lineRule="auto"/>
              <w:jc w:val="center"/>
            </w:pPr>
            <w:r>
              <w:rPr>
                <w:rFonts w:ascii="Arial" w:hAnsi="Arial"/>
                <w:b/>
                <w:color w:val="FFFFFF"/>
                <w:sz w:val="12"/>
              </w:rPr>
              <w:t>Question</w:t>
            </w:r>
          </w:p>
        </w:tc>
        <w:tc>
          <w:tcPr>
            <w:tcW w:type="dxa" w:w="3648"/>
            <w:vAlign w:val="center"/>
            <w:tcMar>
              <w:top w:w="70" w:type="dxa"/>
              <w:start w:w="90" w:type="dxa"/>
              <w:bottom w:w="70" w:type="dxa"/>
              <w:end w:w="90" w:type="dxa"/>
            </w:tcMar>
            <w:shd w:fill="1F4E78"/>
          </w:tcPr>
          <w:p>
            <w:pPr>
              <w:spacing w:before="0" w:after="0" w:line="240" w:lineRule="auto"/>
              <w:jc w:val="left"/>
            </w:pPr>
            <w:r>
              <w:rPr>
                <w:rFonts w:ascii="Arial" w:hAnsi="Arial"/>
                <w:b/>
                <w:color w:val="FFFFFF"/>
                <w:sz w:val="12"/>
              </w:rPr>
              <w:t>Observed trigger or constraint</w:t>
            </w:r>
          </w:p>
        </w:tc>
        <w:tc>
          <w:tcPr>
            <w:tcW w:type="dxa" w:w="3648"/>
            <w:vAlign w:val="center"/>
            <w:tcMar>
              <w:top w:w="70" w:type="dxa"/>
              <w:start w:w="90" w:type="dxa"/>
              <w:bottom w:w="70" w:type="dxa"/>
              <w:end w:w="90" w:type="dxa"/>
            </w:tcMar>
            <w:shd w:fill="1F4E78"/>
          </w:tcPr>
          <w:p>
            <w:pPr>
              <w:spacing w:before="0" w:after="0" w:line="240" w:lineRule="auto"/>
              <w:jc w:val="left"/>
            </w:pPr>
            <w:r>
              <w:rPr>
                <w:rFonts w:ascii="Arial" w:hAnsi="Arial"/>
                <w:b/>
                <w:color w:val="FFFFFF"/>
                <w:sz w:val="12"/>
              </w:rPr>
              <w:t>Recommended action</w:t>
            </w:r>
          </w:p>
        </w:tc>
      </w:tr>
      <w:tr>
        <w:tc>
          <w:tcPr>
            <w:tcW w:type="dxa" w:w="3648"/>
            <w:vAlign w:val="center"/>
            <w:tcMar>
              <w:top w:w="70" w:type="dxa"/>
              <w:start w:w="90" w:type="dxa"/>
              <w:bottom w:w="70" w:type="dxa"/>
              <w:end w:w="90" w:type="dxa"/>
            </w:tcMar>
          </w:tcPr>
          <w:p>
            <w:pPr>
              <w:spacing w:before="0" w:after="0" w:line="240" w:lineRule="auto"/>
              <w:jc w:val="center"/>
            </w:pPr>
            <w:r>
              <w:rPr>
                <w:rFonts w:ascii="Arial" w:hAnsi="Arial"/>
                <w:sz w:val="12"/>
              </w:rPr>
              <w:t>PLS family</w:t>
            </w:r>
          </w:p>
        </w:tc>
        <w:tc>
          <w:tcPr>
            <w:tcW w:type="dxa" w:w="3648"/>
            <w:vAlign w:val="center"/>
            <w:tcMar>
              <w:top w:w="70" w:type="dxa"/>
              <w:start w:w="90" w:type="dxa"/>
              <w:bottom w:w="70" w:type="dxa"/>
              <w:end w:w="90" w:type="dxa"/>
            </w:tcMar>
          </w:tcPr>
          <w:p>
            <w:pPr>
              <w:spacing w:before="0" w:after="0" w:line="240" w:lineRule="auto"/>
              <w:jc w:val="left"/>
            </w:pPr>
            <w:r>
              <w:rPr>
                <w:rFonts w:ascii="Arial" w:hAnsi="Arial"/>
                <w:sz w:val="12"/>
              </w:rPr>
              <w:t>CPU matched shapes favored one-shot PLS-SVD; qualified CUDA shapes placed sequential SIMPLS near parity. PLS-SVD is response-rank limited.</w:t>
            </w:r>
          </w:p>
        </w:tc>
        <w:tc>
          <w:tcPr>
            <w:tcW w:type="dxa" w:w="3648"/>
            <w:vAlign w:val="center"/>
            <w:tcMar>
              <w:top w:w="70" w:type="dxa"/>
              <w:start w:w="90" w:type="dxa"/>
              <w:bottom w:w="70" w:type="dxa"/>
              <w:end w:w="90" w:type="dxa"/>
            </w:tcMar>
          </w:tcPr>
          <w:p>
            <w:pPr>
              <w:spacing w:before="0" w:after="0" w:line="240" w:lineRule="auto"/>
              <w:jc w:val="left"/>
            </w:pPr>
            <w:r>
              <w:rPr>
                <w:rFonts w:ascii="Arial" w:hAnsi="Arial"/>
                <w:sz w:val="12"/>
              </w:rPr>
              <w:t>Use training-only prediction to choose the estimator. Prefer PLS-SVD for a low-rank, one-shot path; use SIMPLS when sequential components or components beyond response rank are required.</w:t>
            </w:r>
          </w:p>
        </w:tc>
      </w:tr>
      <w:tr>
        <w:tc>
          <w:tcPr>
            <w:tcW w:type="dxa" w:w="3648"/>
            <w:vAlign w:val="center"/>
            <w:tcMar>
              <w:top w:w="70" w:type="dxa"/>
              <w:start w:w="90" w:type="dxa"/>
              <w:bottom w:w="70" w:type="dxa"/>
              <w:end w:w="90" w:type="dxa"/>
            </w:tcMar>
            <w:shd w:fill="EAF2F8"/>
          </w:tcPr>
          <w:p>
            <w:pPr>
              <w:spacing w:before="0" w:after="0" w:line="240" w:lineRule="auto"/>
              <w:jc w:val="center"/>
            </w:pPr>
            <w:r>
              <w:rPr>
                <w:rFonts w:ascii="Arial" w:hAnsi="Arial"/>
                <w:sz w:val="12"/>
              </w:rPr>
              <w:t>Compact prediction</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Large test n, large q, or many requested prefixes; up to 77.7% lower incremental RSS in the ablation.</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Retain latent factors and block predictions. Dense coefficient, score, loading, or fitted paths should be requested only when scientifically needed.</w:t>
            </w:r>
          </w:p>
        </w:tc>
      </w:tr>
      <w:tr>
        <w:tc>
          <w:tcPr>
            <w:tcW w:type="dxa" w:w="3648"/>
            <w:vAlign w:val="center"/>
            <w:tcMar>
              <w:top w:w="70" w:type="dxa"/>
              <w:start w:w="90" w:type="dxa"/>
              <w:bottom w:w="70" w:type="dxa"/>
              <w:end w:w="90" w:type="dxa"/>
            </w:tcMar>
          </w:tcPr>
          <w:p>
            <w:pPr>
              <w:spacing w:before="0" w:after="0" w:line="240" w:lineRule="auto"/>
              <w:jc w:val="center"/>
            </w:pPr>
            <w:r>
              <w:rPr>
                <w:rFonts w:ascii="Arial" w:hAnsi="Arial"/>
                <w:sz w:val="12"/>
              </w:rPr>
              <w:t>Implicit products</w:t>
            </w:r>
          </w:p>
        </w:tc>
        <w:tc>
          <w:tcPr>
            <w:tcW w:type="dxa" w:w="3648"/>
            <w:vAlign w:val="center"/>
            <w:tcMar>
              <w:top w:w="70" w:type="dxa"/>
              <w:start w:w="90" w:type="dxa"/>
              <w:bottom w:w="70" w:type="dxa"/>
              <w:end w:w="90" w:type="dxa"/>
            </w:tcMar>
          </w:tcPr>
          <w:p>
            <w:pPr>
              <w:spacing w:before="0" w:after="0" w:line="240" w:lineRule="auto"/>
              <w:jc w:val="left"/>
            </w:pPr>
            <w:r>
              <w:rPr>
                <w:sz w:val="12"/>
              </w:rPr>
              <w:t>Memory pressure from X-transpose-Y; slower below 32 MiB and near time-neutral at 32-64 MiB in the controlled CPU sweep.</w:t>
            </w:r>
          </w:p>
        </w:tc>
        <w:tc>
          <w:tcPr>
            <w:tcW w:type="dxa" w:w="3648"/>
            <w:vAlign w:val="center"/>
            <w:tcMar>
              <w:top w:w="70" w:type="dxa"/>
              <w:start w:w="90" w:type="dxa"/>
              <w:bottom w:w="70" w:type="dxa"/>
              <w:end w:w="90" w:type="dxa"/>
            </w:tcMar>
          </w:tcPr>
          <w:p>
            <w:pPr>
              <w:spacing w:before="0" w:after="0" w:line="240" w:lineRule="auto"/>
              <w:jc w:val="left"/>
            </w:pPr>
            <w:r>
              <w:rPr>
                <w:rFonts w:ascii="Arial" w:hAnsi="Arial"/>
                <w:sz w:val="12"/>
              </w:rPr>
              <w:t>Use primarily to reduce memory for large p by q products, especially high q. Keep the explicit route for small cross-covariance matrices unless profiling supports otherwise.</w:t>
            </w:r>
          </w:p>
        </w:tc>
      </w:tr>
      <w:tr>
        <w:tc>
          <w:tcPr>
            <w:tcW w:type="dxa" w:w="3648"/>
            <w:vAlign w:val="center"/>
            <w:tcMar>
              <w:top w:w="70" w:type="dxa"/>
              <w:start w:w="90" w:type="dxa"/>
              <w:bottom w:w="70" w:type="dxa"/>
              <w:end w:w="90" w:type="dxa"/>
            </w:tcMar>
            <w:shd w:fill="EAF2F8"/>
          </w:tcPr>
          <w:p>
            <w:pPr>
              <w:spacing w:before="0" w:after="0" w:line="240" w:lineRule="auto"/>
              <w:jc w:val="center"/>
            </w:pPr>
            <w:r>
              <w:rPr>
                <w:rFonts w:ascii="Arial" w:hAnsi="Arial"/>
                <w:sz w:val="12"/>
              </w:rPr>
              <w:t>CUDA</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First qualified crossover at n = 5,000 or p = 2,000 in separate one-factor sweeps on the tested NVIDIA system.</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Benchmark the intended shape including transfer and synchronization. Interpret speed only when paired predictions meet numerical tolerances.</w:t>
            </w:r>
          </w:p>
        </w:tc>
      </w:tr>
      <w:tr>
        <w:tc>
          <w:tcPr>
            <w:tcW w:type="dxa" w:w="3648"/>
            <w:vAlign w:val="center"/>
            <w:tcMar>
              <w:top w:w="70" w:type="dxa"/>
              <w:start w:w="90" w:type="dxa"/>
              <w:bottom w:w="70" w:type="dxa"/>
              <w:end w:w="90" w:type="dxa"/>
            </w:tcMar>
          </w:tcPr>
          <w:p>
            <w:pPr>
              <w:spacing w:before="0" w:after="0" w:line="240" w:lineRule="auto"/>
              <w:jc w:val="center"/>
            </w:pPr>
            <w:r>
              <w:rPr>
                <w:rFonts w:ascii="Arial" w:hAnsi="Arial"/>
                <w:sz w:val="12"/>
              </w:rPr>
              <w:t>Metal</w:t>
            </w:r>
          </w:p>
        </w:tc>
        <w:tc>
          <w:tcPr>
            <w:tcW w:type="dxa" w:w="3648"/>
            <w:vAlign w:val="center"/>
            <w:tcMar>
              <w:top w:w="70" w:type="dxa"/>
              <w:start w:w="90" w:type="dxa"/>
              <w:bottom w:w="70" w:type="dxa"/>
              <w:end w:w="90" w:type="dxa"/>
            </w:tcMar>
          </w:tcPr>
          <w:p>
            <w:pPr>
              <w:spacing w:before="0" w:after="0" w:line="240" w:lineRule="auto"/>
              <w:jc w:val="left"/>
            </w:pPr>
            <w:r>
              <w:rPr>
                <w:rFonts w:ascii="Arial" w:hAnsi="Arial"/>
                <w:sz w:val="12"/>
              </w:rPr>
              <w:t>Host-assisted stages and all 20 diagnostic rSVD routes were numerically discordant on the tested Apple system.</w:t>
            </w:r>
          </w:p>
        </w:tc>
        <w:tc>
          <w:tcPr>
            <w:tcW w:type="dxa" w:w="3648"/>
            <w:vAlign w:val="center"/>
            <w:tcMar>
              <w:top w:w="70" w:type="dxa"/>
              <w:start w:w="90" w:type="dxa"/>
              <w:bottom w:w="70" w:type="dxa"/>
              <w:end w:w="90" w:type="dxa"/>
            </w:tcMar>
          </w:tcPr>
          <w:p>
            <w:pPr>
              <w:spacing w:before="0" w:after="0" w:line="240" w:lineRule="auto"/>
              <w:jc w:val="left"/>
            </w:pPr>
            <w:r>
              <w:rPr>
                <w:rFonts w:ascii="Arial" w:hAnsi="Arial"/>
                <w:sz w:val="12"/>
              </w:rPr>
              <w:t>Treat Metal rSVD as experimental; use deterministic CPU execution for confirmatory work until the route is qualified.</w:t>
            </w:r>
          </w:p>
        </w:tc>
      </w:tr>
      <w:tr>
        <w:tc>
          <w:tcPr>
            <w:tcW w:type="dxa" w:w="3648"/>
            <w:vAlign w:val="center"/>
            <w:tcMar>
              <w:top w:w="70" w:type="dxa"/>
              <w:start w:w="90" w:type="dxa"/>
              <w:bottom w:w="70" w:type="dxa"/>
              <w:end w:w="90" w:type="dxa"/>
            </w:tcMar>
            <w:shd w:fill="EAF2F8"/>
          </w:tcPr>
          <w:p>
            <w:pPr>
              <w:spacing w:before="0" w:after="0" w:line="240" w:lineRule="auto"/>
              <w:jc w:val="center"/>
            </w:pPr>
            <w:r>
              <w:rPr>
                <w:rFonts w:ascii="Arial" w:hAnsi="Arial"/>
                <w:sz w:val="12"/>
              </w:rPr>
              <w:t>IRLBA or rSVD</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Need for deterministic reproducibility, diagnostic failure, material seed variation, ill-conditioning, or small problems where approximation saves little time.</w:t>
            </w:r>
          </w:p>
        </w:tc>
        <w:tc>
          <w:tcPr>
            <w:tcW w:type="dxa" w:w="3648"/>
            <w:vAlign w:val="center"/>
            <w:tcMar>
              <w:top w:w="70" w:type="dxa"/>
              <w:start w:w="90" w:type="dxa"/>
              <w:bottom w:w="70" w:type="dxa"/>
              <w:end w:w="90" w:type="dxa"/>
            </w:tcMar>
            <w:shd w:fill="EAF2F8"/>
          </w:tcPr>
          <w:p>
            <w:pPr>
              <w:spacing w:before="0" w:after="0" w:line="240" w:lineRule="auto"/>
            </w:pPr>
            <w:r>
              <w:rPr>
                <w:sz w:val="12"/>
              </w:rPr>
              <w:t>Use CPU IRLBA for confirmatory analysis. Use rSVD for exploratory acceleration or routine analysis only when case diagnostics and multi-seed sensitivity are satisfactory; retain controls and numerical status with the result.</w:t>
            </w:r>
          </w:p>
        </w:tc>
      </w:tr>
      <w:tr>
        <w:tc>
          <w:tcPr>
            <w:tcW w:type="dxa" w:w="3648"/>
            <w:vAlign w:val="center"/>
            <w:tcMar>
              <w:top w:w="70" w:type="dxa"/>
              <w:start w:w="90" w:type="dxa"/>
              <w:bottom w:w="70" w:type="dxa"/>
              <w:end w:w="90" w:type="dxa"/>
            </w:tcMar>
          </w:tcPr>
          <w:p>
            <w:pPr>
              <w:spacing w:before="0" w:after="0" w:line="240" w:lineRule="auto"/>
              <w:jc w:val="center"/>
            </w:pPr>
            <w:r>
              <w:rPr>
                <w:rFonts w:ascii="Arial" w:hAnsi="Arial"/>
                <w:sz w:val="12"/>
              </w:rPr>
              <w:t>rSVD seeds</w:t>
            </w:r>
          </w:p>
        </w:tc>
        <w:tc>
          <w:tcPr>
            <w:tcW w:type="dxa" w:w="3648"/>
            <w:vAlign w:val="center"/>
            <w:tcMar>
              <w:top w:w="70" w:type="dxa"/>
              <w:start w:w="90" w:type="dxa"/>
              <w:bottom w:w="70" w:type="dxa"/>
              <w:end w:w="90" w:type="dxa"/>
            </w:tcMar>
          </w:tcPr>
          <w:p>
            <w:pPr>
              <w:spacing w:before="0" w:after="0" w:line="240" w:lineRule="auto"/>
              <w:jc w:val="left"/>
            </w:pPr>
            <w:r>
              <w:rPr>
                <w:rFonts w:ascii="Arial" w:hAnsi="Arial"/>
                <w:sz w:val="12"/>
              </w:rPr>
              <w:t>Scientifically consequential approximate fit or a new matrix regime.</w:t>
            </w:r>
          </w:p>
        </w:tc>
        <w:tc>
          <w:tcPr>
            <w:tcW w:type="dxa" w:w="3648"/>
            <w:vAlign w:val="center"/>
            <w:tcMar>
              <w:top w:w="70" w:type="dxa"/>
              <w:start w:w="90" w:type="dxa"/>
              <w:bottom w:w="70" w:type="dxa"/>
              <w:end w:w="90" w:type="dxa"/>
            </w:tcMar>
          </w:tcPr>
          <w:p>
            <w:pPr>
              <w:spacing w:before="0" w:after="0" w:line="240" w:lineRule="auto"/>
              <w:jc w:val="left"/>
            </w:pPr>
            <w:r>
              <w:rPr>
                <w:sz w:val="12"/>
              </w:rPr>
              <w:t>Run several predefined seeds and compare predictions, endpoint metrics, and subspaces. Do not choose a seed using held-out test performance; switch to IRLBA if conclusions vary.</w:t>
            </w:r>
          </w:p>
        </w:tc>
      </w:tr>
      <w:tr>
        <w:tc>
          <w:tcPr>
            <w:tcW w:type="dxa" w:w="3648"/>
            <w:vAlign w:val="center"/>
            <w:tcMar>
              <w:top w:w="70" w:type="dxa"/>
              <w:start w:w="90" w:type="dxa"/>
              <w:bottom w:w="70" w:type="dxa"/>
              <w:end w:w="90" w:type="dxa"/>
            </w:tcMar>
            <w:shd w:fill="EAF2F8"/>
          </w:tcPr>
          <w:p>
            <w:pPr>
              <w:spacing w:before="0" w:after="0" w:line="240" w:lineRule="auto"/>
              <w:jc w:val="center"/>
            </w:pPr>
            <w:r>
              <w:rPr>
                <w:rFonts w:ascii="Arial" w:hAnsi="Arial"/>
                <w:sz w:val="12"/>
              </w:rPr>
              <w:t>Boundary component</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The selected component is the largest value evaluated or is constrained by rank.</w:t>
            </w:r>
          </w:p>
        </w:tc>
        <w:tc>
          <w:tcPr>
            <w:tcW w:type="dxa" w:w="3648"/>
            <w:vAlign w:val="center"/>
            <w:tcMar>
              <w:top w:w="70" w:type="dxa"/>
              <w:start w:w="90" w:type="dxa"/>
              <w:bottom w:w="70" w:type="dxa"/>
              <w:end w:w="90" w:type="dxa"/>
            </w:tcMar>
            <w:shd w:fill="EAF2F8"/>
          </w:tcPr>
          <w:p>
            <w:pPr>
              <w:spacing w:before="0" w:after="0" w:line="240" w:lineRule="auto"/>
              <w:jc w:val="left"/>
            </w:pPr>
            <w:r>
              <w:rPr>
                <w:sz w:val="12"/>
              </w:rPr>
              <w:t>Report 'best within the evaluated grid'; extend the training-only grid where feasible or use a predefined parsimonious rule such as one standard error.</w:t>
            </w:r>
          </w:p>
        </w:tc>
      </w:tr>
      <w:tr>
        <w:tc>
          <w:tcPr>
            <w:tcW w:type="dxa" w:w="3648"/>
            <w:vAlign w:val="center"/>
            <w:tcMar>
              <w:top w:w="70" w:type="dxa"/>
              <w:start w:w="90" w:type="dxa"/>
              <w:bottom w:w="70" w:type="dxa"/>
              <w:end w:w="90" w:type="dxa"/>
            </w:tcMar>
          </w:tcPr>
          <w:p>
            <w:pPr>
              <w:spacing w:before="0" w:after="0" w:line="240" w:lineRule="auto"/>
              <w:jc w:val="center"/>
            </w:pPr>
            <w:r>
              <w:rPr>
                <w:rFonts w:ascii="Arial" w:hAnsi="Arial"/>
                <w:sz w:val="12"/>
              </w:rPr>
              <w:t>Nonlinear kernel PLS</w:t>
            </w:r>
          </w:p>
        </w:tc>
        <w:tc>
          <w:tcPr>
            <w:tcW w:type="dxa" w:w="3648"/>
            <w:vAlign w:val="center"/>
            <w:tcMar>
              <w:top w:w="70" w:type="dxa"/>
              <w:start w:w="90" w:type="dxa"/>
              <w:bottom w:w="70" w:type="dxa"/>
              <w:end w:w="90" w:type="dxa"/>
            </w:tcMar>
          </w:tcPr>
          <w:p>
            <w:pPr>
              <w:spacing w:before="0" w:after="0" w:line="240" w:lineRule="auto"/>
            </w:pPr>
            <w:r>
              <w:rPr>
                <w:sz w:val="12"/>
              </w:rPr>
              <w:t>The float64 Gram matrix alone is 8n-squared bytes: about 0.75 GiB at 10,000, 4.66 GiB at 25,000, and 18.63 GiB at 50,000 samples.</w:t>
            </w:r>
          </w:p>
        </w:tc>
        <w:tc>
          <w:tcPr>
            <w:tcW w:type="dxa" w:w="3648"/>
            <w:vAlign w:val="center"/>
            <w:tcMar>
              <w:top w:w="70" w:type="dxa"/>
              <w:start w:w="90" w:type="dxa"/>
              <w:bottom w:w="70" w:type="dxa"/>
              <w:end w:w="90" w:type="dxa"/>
            </w:tcMar>
          </w:tcPr>
          <w:p>
            <w:pPr>
              <w:spacing w:before="0" w:after="0" w:line="240" w:lineRule="auto"/>
              <w:jc w:val="left"/>
            </w:pPr>
            <w:r>
              <w:rPr>
                <w:rFonts w:ascii="Arial" w:hAnsi="Arial"/>
                <w:sz w:val="12"/>
              </w:rPr>
              <w:t>Restrict to moderate n after accounting for copies and workspaces. For larger n, use linear PLS or an externally validated kernel approximation.</w:t>
            </w:r>
          </w:p>
        </w:tc>
      </w:tr>
      <w:tr>
        <w:tc>
          <w:tcPr>
            <w:tcW w:type="dxa" w:w="3648"/>
            <w:vAlign w:val="center"/>
            <w:tcMar>
              <w:top w:w="70" w:type="dxa"/>
              <w:start w:w="90" w:type="dxa"/>
              <w:bottom w:w="70" w:type="dxa"/>
              <w:end w:w="90" w:type="dxa"/>
            </w:tcMar>
            <w:shd w:fill="EAF2F8"/>
          </w:tcPr>
          <w:p>
            <w:pPr>
              <w:spacing w:before="0" w:after="0" w:line="240" w:lineRule="auto"/>
              <w:jc w:val="center"/>
            </w:pPr>
            <w:r>
              <w:rPr>
                <w:rFonts w:ascii="Arial" w:hAnsi="Arial"/>
                <w:sz w:val="12"/>
              </w:rPr>
              <w:t>Unsupported route</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Unavailable backend/solver/family combination or unqualified approximate controls.</w:t>
            </w:r>
          </w:p>
        </w:tc>
        <w:tc>
          <w:tcPr>
            <w:tcW w:type="dxa" w:w="3648"/>
            <w:vAlign w:val="center"/>
            <w:tcMar>
              <w:top w:w="70" w:type="dxa"/>
              <w:start w:w="90" w:type="dxa"/>
              <w:bottom w:w="70" w:type="dxa"/>
              <w:end w:w="90" w:type="dxa"/>
            </w:tcMar>
            <w:shd w:fill="EAF2F8"/>
          </w:tcPr>
          <w:p>
            <w:pPr>
              <w:spacing w:before="0" w:after="0" w:line="240" w:lineRule="auto"/>
              <w:jc w:val="left"/>
            </w:pPr>
            <w:r>
              <w:rPr>
                <w:rFonts w:ascii="Arial" w:hAnsi="Arial"/>
                <w:sz w:val="12"/>
              </w:rPr>
              <w:t>Unavailable combinations produce an error. Experimental or unqualified routes warn and record diagnostics; no silent estimator substitution is permitted.</w:t>
            </w:r>
          </w:p>
        </w:tc>
      </w:tr>
    </w:tbl>
    <w:p>
      <w:pPr>
        <w:pStyle w:val="Heading1"/>
      </w:pPr>
      <w:r>
        <w:t>S12. Deterministic estimator validation</w:t>
      </w:r>
    </w:p>
    <w:p>
      <w:pPr/>
      <w:r>
        <w:t>Deterministic estimator comparison and approximate-solver agreement are separate questions. Table S7 first reports the independent dense-LAPACK de Jong reference panel, then the iterative IRLBA comparison with pls::simpls.fit and the independent OPLS/kernel checks. rSVD is excluded from estimator-preservation evidence and evaluated in Section S13. The dense panel reports distributions as well as maxima because worst values are dominated by the deliberately near-tied singular-value case.</w:t>
      </w:r>
    </w:p>
    <w:p>
      <w:pPr>
        <w:pStyle w:val="Caption"/>
      </w:pPr>
      <w:r>
        <w:t>Table S7. Primary float64 CPU estimator-validation summary. Dense-reference results cover 82 component prefixes in ten conditions; the text reports median and 95th-percentile errors in addition to the maxima below. Angles are in degrees.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216"/>
        <w:gridCol w:w="1216"/>
        <w:gridCol w:w="1216"/>
        <w:gridCol w:w="1216"/>
        <w:gridCol w:w="1216"/>
        <w:gridCol w:w="1216"/>
        <w:gridCol w:w="1216"/>
        <w:gridCol w:w="1216"/>
        <w:gridCol w:w="1216"/>
      </w:tblGrid>
      <w:tr>
        <w:trPr>
          <w:tblHeader w:val="true"/>
          <w:cantSplit/>
        </w:trPr>
        <w:tc>
          <w:tcPr>
            <w:tcW w:type="dxa" w:w="1216"/>
            <w:vAlign w:val="center"/>
          </w:tcPr>
          <w:p>
            <w:pPr>
              <w:spacing w:before="0" w:after="0" w:line="240" w:lineRule="auto"/>
              <w:jc w:val="left"/>
            </w:pPr>
            <w:r>
              <w:rPr>
                <w:b/>
                <w:sz w:val="11"/>
              </w:rPr>
              <w:t>fastPLS scope</w:t>
            </w:r>
          </w:p>
        </w:tc>
        <w:tc>
          <w:tcPr>
            <w:tcW w:type="dxa" w:w="1216"/>
            <w:vAlign w:val="center"/>
          </w:tcPr>
          <w:p>
            <w:pPr>
              <w:spacing w:before="0" w:after="0" w:line="240" w:lineRule="auto"/>
              <w:jc w:val="center"/>
            </w:pPr>
            <w:r>
              <w:rPr>
                <w:b/>
                <w:sz w:val="11"/>
              </w:rPr>
              <w:t>Reference</w:t>
            </w:r>
          </w:p>
        </w:tc>
        <w:tc>
          <w:tcPr>
            <w:tcW w:type="dxa" w:w="1216"/>
            <w:vAlign w:val="center"/>
          </w:tcPr>
          <w:p>
            <w:pPr>
              <w:spacing w:before="0" w:after="0" w:line="240" w:lineRule="auto"/>
              <w:jc w:val="center"/>
            </w:pPr>
            <w:r>
              <w:rPr>
                <w:b/>
                <w:sz w:val="11"/>
              </w:rPr>
              <w:t>Endpoint tolerance status</w:t>
            </w:r>
          </w:p>
        </w:tc>
        <w:tc>
          <w:tcPr>
            <w:tcW w:type="dxa" w:w="1216"/>
            <w:vAlign w:val="center"/>
          </w:tcPr>
          <w:p>
            <w:pPr>
              <w:spacing w:before="0" w:after="0" w:line="240" w:lineRule="auto"/>
              <w:jc w:val="center"/>
            </w:pPr>
            <w:r>
              <w:rPr>
                <w:b/>
                <w:sz w:val="11"/>
              </w:rPr>
              <w:t>Selection agreement</w:t>
            </w:r>
          </w:p>
        </w:tc>
        <w:tc>
          <w:tcPr>
            <w:tcW w:type="dxa" w:w="1216"/>
            <w:vAlign w:val="center"/>
          </w:tcPr>
          <w:p>
            <w:pPr>
              <w:spacing w:before="0" w:after="0" w:line="240" w:lineRule="auto"/>
              <w:jc w:val="center"/>
            </w:pPr>
            <w:r>
              <w:rPr>
                <w:b/>
                <w:sz w:val="11"/>
              </w:rPr>
              <w:t>Max pred. rel. error</w:t>
            </w:r>
          </w:p>
        </w:tc>
        <w:tc>
          <w:tcPr>
            <w:tcW w:type="dxa" w:w="1216"/>
            <w:vAlign w:val="center"/>
          </w:tcPr>
          <w:p>
            <w:pPr>
              <w:spacing w:before="0" w:after="0" w:line="240" w:lineRule="auto"/>
              <w:jc w:val="center"/>
            </w:pPr>
            <w:r>
              <w:rPr>
                <w:b/>
                <w:sz w:val="11"/>
              </w:rPr>
              <w:t>Max coef. rel. error</w:t>
            </w:r>
          </w:p>
        </w:tc>
        <w:tc>
          <w:tcPr>
            <w:tcW w:type="dxa" w:w="1216"/>
            <w:vAlign w:val="center"/>
          </w:tcPr>
          <w:p>
            <w:pPr>
              <w:spacing w:before="0" w:after="0" w:line="240" w:lineRule="auto"/>
              <w:jc w:val="center"/>
            </w:pPr>
            <w:r>
              <w:rPr>
                <w:b/>
                <w:sz w:val="11"/>
              </w:rPr>
              <w:t>Max angle</w:t>
            </w:r>
          </w:p>
        </w:tc>
        <w:tc>
          <w:tcPr>
            <w:tcW w:type="dxa" w:w="1216"/>
            <w:vAlign w:val="center"/>
          </w:tcPr>
          <w:p>
            <w:pPr>
              <w:spacing w:before="0" w:after="0" w:line="240" w:lineRule="auto"/>
              <w:jc w:val="center"/>
            </w:pPr>
            <w:r>
              <w:rPr>
                <w:b/>
                <w:sz w:val="11"/>
              </w:rPr>
              <w:t>Max metric diff.</w:t>
            </w:r>
          </w:p>
        </w:tc>
        <w:tc>
          <w:tcPr>
            <w:tcW w:type="dxa" w:w="1216"/>
            <w:vAlign w:val="center"/>
          </w:tcPr>
          <w:p>
            <w:pPr>
              <w:spacing w:before="0" w:after="0" w:line="240" w:lineRule="auto"/>
              <w:jc w:val="center"/>
            </w:pPr>
            <w:r>
              <w:rPr>
                <w:b/>
                <w:sz w:val="11"/>
              </w:rPr>
              <w:t>Conclusion</w:t>
            </w:r>
          </w:p>
        </w:tc>
      </w:tr>
      <w:tr>
        <w:trPr>
          <w:tblHeader w:val="true"/>
          <w:cantSplit/>
        </w:trPr>
        <w:tc>
          <w:tcPr>
            <w:tcW w:type="dxa" w:w="1216"/>
            <w:vAlign w:val="center"/>
          </w:tcPr>
          <w:p>
            <w:pPr>
              <w:spacing w:after="0" w:before="0" w:line="240" w:lineRule="auto"/>
            </w:pPr>
            <w:r>
              <w:rPr>
                <w:sz w:val="11"/>
              </w:rPr>
              <w:t>SIMPLS / compiled dense LAPACK</w:t>
            </w:r>
          </w:p>
        </w:tc>
        <w:tc>
          <w:tcPr>
            <w:tcW w:type="dxa" w:w="1216"/>
            <w:vAlign w:val="center"/>
          </w:tcPr>
          <w:p>
            <w:pPr>
              <w:spacing w:after="0" w:before="0" w:line="240" w:lineRule="auto"/>
            </w:pPr>
            <w:r>
              <w:rPr>
                <w:sz w:val="11"/>
              </w:rPr>
              <w:t>Independent de Jong updates / base LAPACK SVD</w:t>
            </w:r>
          </w:p>
        </w:tc>
        <w:tc>
          <w:tcPr>
            <w:tcW w:type="dxa" w:w="1216"/>
            <w:vAlign w:val="center"/>
          </w:tcPr>
          <w:p>
            <w:pPr>
              <w:spacing w:after="0" w:before="0" w:line="240" w:lineRule="auto"/>
            </w:pPr>
            <w:r>
              <w:rPr>
                <w:sz w:val="11"/>
              </w:rPr>
              <w:t>82 / 82 completed</w:t>
            </w:r>
          </w:p>
        </w:tc>
        <w:tc>
          <w:tcPr>
            <w:tcW w:type="dxa" w:w="1216"/>
            <w:vAlign w:val="center"/>
          </w:tcPr>
          <w:p>
            <w:pPr>
              <w:spacing w:after="0" w:before="0" w:line="240" w:lineRule="auto"/>
            </w:pPr>
            <w:r>
              <w:rPr>
                <w:sz w:val="11"/>
              </w:rPr>
              <w:t>Not a selection study</w:t>
            </w:r>
          </w:p>
        </w:tc>
        <w:tc>
          <w:tcPr>
            <w:tcW w:type="dxa" w:w="1216"/>
            <w:vAlign w:val="center"/>
          </w:tcPr>
          <w:p>
            <w:pPr>
              <w:spacing w:after="0" w:before="0" w:line="240" w:lineRule="auto"/>
            </w:pPr>
            <w:r>
              <w:rPr>
                <w:sz w:val="11"/>
              </w:rPr>
              <w:t>3.36e-04 (4.53e-15 excluding tied case)</w:t>
            </w:r>
          </w:p>
        </w:tc>
        <w:tc>
          <w:tcPr>
            <w:tcW w:type="dxa" w:w="1216"/>
            <w:vAlign w:val="center"/>
          </w:tcPr>
          <w:p>
            <w:pPr>
              <w:spacing w:after="0" w:before="0" w:line="240" w:lineRule="auto"/>
            </w:pPr>
            <w:r>
              <w:rPr>
                <w:sz w:val="11"/>
              </w:rPr>
              <w:t>3.70e-04 (5.24e-15 excluding tied case)</w:t>
            </w:r>
          </w:p>
        </w:tc>
        <w:tc>
          <w:tcPr>
            <w:tcW w:type="dxa" w:w="1216"/>
            <w:vAlign w:val="center"/>
          </w:tcPr>
          <w:p>
            <w:pPr>
              <w:spacing w:after="0" w:before="0" w:line="240" w:lineRule="auto"/>
            </w:pPr>
            <w:r>
              <w:rPr>
                <w:sz w:val="11"/>
              </w:rPr>
              <w:t>0.0150 (2.42e-06 excluding tied case)</w:t>
            </w:r>
          </w:p>
        </w:tc>
        <w:tc>
          <w:tcPr>
            <w:tcW w:type="dxa" w:w="1216"/>
            <w:vAlign w:val="center"/>
          </w:tcPr>
          <w:p>
            <w:pPr>
              <w:spacing w:after="0" w:before="0" w:line="240" w:lineRule="auto"/>
            </w:pPr>
            <w:r>
              <w:rPr>
                <w:sz w:val="11"/>
              </w:rPr>
              <w:t>0 decoded-label difference</w:t>
            </w:r>
          </w:p>
        </w:tc>
        <w:tc>
          <w:tcPr>
            <w:tcW w:type="dxa" w:w="1216"/>
            <w:vAlign w:val="center"/>
          </w:tcPr>
          <w:p>
            <w:pPr>
              <w:spacing w:after="0" w:before="0" w:line="240" w:lineRule="auto"/>
            </w:pPr>
            <w:r>
              <w:rPr>
                <w:sz w:val="11"/>
              </w:rPr>
              <w:t>Machine precision except the non-identifiable near-tied basis</w:t>
            </w:r>
          </w:p>
        </w:tc>
      </w:tr>
      <w:tr>
        <w:trPr>
          <w:tblHeader w:val="true"/>
          <w:cantSplit/>
        </w:trPr>
        <w:tc>
          <w:tcPr>
            <w:tcW w:type="dxa" w:w="1216"/>
            <w:vAlign w:val="center"/>
          </w:tcPr>
          <w:p>
            <w:pPr>
              <w:spacing w:after="0" w:before="0" w:line="240" w:lineRule="auto"/>
            </w:pPr>
            <w:r>
              <w:rPr>
                <w:sz w:val="11"/>
              </w:rPr>
              <w:t>SIMPLS / deterministic IRLBA</w:t>
            </w:r>
          </w:p>
        </w:tc>
        <w:tc>
          <w:tcPr>
            <w:tcW w:type="dxa" w:w="1216"/>
            <w:vAlign w:val="center"/>
          </w:tcPr>
          <w:p>
            <w:pPr>
              <w:spacing w:after="0" w:before="0" w:line="240" w:lineRule="auto"/>
            </w:pPr>
            <w:r>
              <w:rPr>
                <w:sz w:val="11"/>
              </w:rPr>
              <w:t>pls::simpls.fit / de Jong</w:t>
            </w:r>
          </w:p>
        </w:tc>
        <w:tc>
          <w:tcPr>
            <w:tcW w:type="dxa" w:w="1216"/>
            <w:vAlign w:val="center"/>
          </w:tcPr>
          <w:p>
            <w:pPr>
              <w:spacing w:after="0" w:before="0" w:line="240" w:lineRule="auto"/>
            </w:pPr>
            <w:r>
              <w:rPr>
                <w:sz w:val="11"/>
              </w:rPr>
              <w:t>117 / 117</w:t>
            </w:r>
          </w:p>
        </w:tc>
        <w:tc>
          <w:tcPr>
            <w:tcW w:type="dxa" w:w="1216"/>
            <w:vAlign w:val="center"/>
          </w:tcPr>
          <w:p>
            <w:pPr>
              <w:spacing w:after="0" w:before="0" w:line="240" w:lineRule="auto"/>
            </w:pPr>
            <w:r>
              <w:rPr>
                <w:sz w:val="11"/>
              </w:rPr>
              <w:t>24 / 24</w:t>
            </w:r>
          </w:p>
        </w:tc>
        <w:tc>
          <w:tcPr>
            <w:tcW w:type="dxa" w:w="1216"/>
            <w:vAlign w:val="center"/>
          </w:tcPr>
          <w:p>
            <w:pPr>
              <w:spacing w:after="0" w:before="0" w:line="240" w:lineRule="auto"/>
            </w:pPr>
            <w:r>
              <w:rPr>
                <w:sz w:val="11"/>
              </w:rPr>
              <w:t>1.09e-05</w:t>
            </w:r>
          </w:p>
        </w:tc>
        <w:tc>
          <w:tcPr>
            <w:tcW w:type="dxa" w:w="1216"/>
            <w:vAlign w:val="center"/>
          </w:tcPr>
          <w:p>
            <w:pPr>
              <w:spacing w:after="0" w:before="0" w:line="240" w:lineRule="auto"/>
            </w:pPr>
            <w:r>
              <w:rPr>
                <w:sz w:val="11"/>
              </w:rPr>
              <w:t>1.13e-05</w:t>
            </w:r>
          </w:p>
        </w:tc>
        <w:tc>
          <w:tcPr>
            <w:tcW w:type="dxa" w:w="1216"/>
            <w:vAlign w:val="center"/>
          </w:tcPr>
          <w:p>
            <w:pPr>
              <w:spacing w:after="0" w:before="0" w:line="240" w:lineRule="auto"/>
            </w:pPr>
            <w:r>
              <w:rPr>
                <w:sz w:val="11"/>
              </w:rPr>
              <w:t>0.0015</w:t>
            </w:r>
          </w:p>
        </w:tc>
        <w:tc>
          <w:tcPr>
            <w:tcW w:type="dxa" w:w="1216"/>
            <w:vAlign w:val="center"/>
          </w:tcPr>
          <w:p>
            <w:pPr>
              <w:spacing w:after="0" w:before="0" w:line="240" w:lineRule="auto"/>
            </w:pPr>
            <w:r>
              <w:rPr>
                <w:sz w:val="11"/>
              </w:rPr>
              <w:t>1.92e-06</w:t>
            </w:r>
          </w:p>
        </w:tc>
        <w:tc>
          <w:tcPr>
            <w:tcW w:type="dxa" w:w="1216"/>
            <w:vAlign w:val="center"/>
          </w:tcPr>
          <w:p>
            <w:pPr>
              <w:spacing w:after="0" w:before="0" w:line="240" w:lineRule="auto"/>
            </w:pPr>
            <w:r>
              <w:rPr>
                <w:sz w:val="11"/>
              </w:rPr>
              <w:t>Met deterministic tolerances</w:t>
            </w:r>
          </w:p>
        </w:tc>
      </w:tr>
      <w:tr>
        <w:trPr>
          <w:tblHeader w:val="true"/>
          <w:cantSplit/>
        </w:trPr>
        <w:tc>
          <w:tcPr>
            <w:tcW w:type="dxa" w:w="1216"/>
            <w:vAlign w:val="center"/>
          </w:tcPr>
          <w:p>
            <w:pPr>
              <w:spacing w:after="0" w:before="0" w:line="240" w:lineRule="auto"/>
            </w:pPr>
            <w:r>
              <w:rPr>
                <w:sz w:val="11"/>
              </w:rPr>
              <w:t>OPLS (north 1-3) and kernel PLS (8 settings)</w:t>
            </w:r>
          </w:p>
        </w:tc>
        <w:tc>
          <w:tcPr>
            <w:tcW w:type="dxa" w:w="1216"/>
            <w:vAlign w:val="center"/>
          </w:tcPr>
          <w:p>
            <w:pPr>
              <w:spacing w:after="0" w:before="0" w:line="240" w:lineRule="auto"/>
            </w:pPr>
            <w:r>
              <w:rPr>
                <w:sz w:val="11"/>
              </w:rPr>
              <w:t>Independent filter/kernel + pls::simpls.fit</w:t>
            </w:r>
          </w:p>
        </w:tc>
        <w:tc>
          <w:tcPr>
            <w:tcW w:type="dxa" w:w="1216"/>
            <w:vAlign w:val="center"/>
          </w:tcPr>
          <w:p>
            <w:pPr>
              <w:spacing w:after="0" w:before="0" w:line="240" w:lineRule="auto"/>
            </w:pPr>
            <w:r>
              <w:rPr>
                <w:sz w:val="11"/>
              </w:rPr>
              <w:t>66 / 66</w:t>
            </w:r>
          </w:p>
        </w:tc>
        <w:tc>
          <w:tcPr>
            <w:tcW w:type="dxa" w:w="1216"/>
            <w:vAlign w:val="center"/>
          </w:tcPr>
          <w:p>
            <w:pPr>
              <w:spacing w:after="0" w:before="0" w:line="240" w:lineRule="auto"/>
            </w:pPr>
            <w:r>
              <w:rPr>
                <w:sz w:val="11"/>
              </w:rPr>
              <w:t>66 / 66</w:t>
            </w:r>
          </w:p>
        </w:tc>
        <w:tc>
          <w:tcPr>
            <w:tcW w:type="dxa" w:w="1216"/>
            <w:vAlign w:val="center"/>
          </w:tcPr>
          <w:p>
            <w:pPr>
              <w:spacing w:after="0" w:before="0" w:line="240" w:lineRule="auto"/>
            </w:pPr>
            <w:r>
              <w:rPr>
                <w:sz w:val="11"/>
              </w:rPr>
              <w:t>9.48e-12</w:t>
            </w:r>
          </w:p>
        </w:tc>
        <w:tc>
          <w:tcPr>
            <w:tcW w:type="dxa" w:w="1216"/>
            <w:vAlign w:val="center"/>
          </w:tcPr>
          <w:p>
            <w:pPr>
              <w:spacing w:after="0" w:before="0" w:line="240" w:lineRule="auto"/>
            </w:pPr>
            <w:r>
              <w:rPr>
                <w:sz w:val="11"/>
              </w:rPr>
              <w:t>3.07e-10</w:t>
            </w:r>
          </w:p>
        </w:tc>
        <w:tc>
          <w:tcPr>
            <w:tcW w:type="dxa" w:w="1216"/>
            <w:vAlign w:val="center"/>
          </w:tcPr>
          <w:p>
            <w:pPr>
              <w:spacing w:after="0" w:before="0" w:line="240" w:lineRule="auto"/>
            </w:pPr>
            <w:r>
              <w:rPr>
                <w:sz w:val="11"/>
              </w:rPr>
              <w:t>2.41e-06</w:t>
            </w:r>
          </w:p>
        </w:tc>
        <w:tc>
          <w:tcPr>
            <w:tcW w:type="dxa" w:w="1216"/>
            <w:vAlign w:val="center"/>
          </w:tcPr>
          <w:p>
            <w:pPr>
              <w:spacing w:after="0" w:before="0" w:line="240" w:lineRule="auto"/>
            </w:pPr>
            <w:r>
              <w:rPr>
                <w:sz w:val="11"/>
              </w:rPr>
              <w:t>3.19e-12</w:t>
            </w:r>
          </w:p>
        </w:tc>
        <w:tc>
          <w:tcPr>
            <w:tcW w:type="dxa" w:w="1216"/>
            <w:vAlign w:val="center"/>
          </w:tcPr>
          <w:p>
            <w:pPr>
              <w:spacing w:after="0" w:before="0" w:line="240" w:lineRule="auto"/>
            </w:pPr>
            <w:r>
              <w:rPr>
                <w:sz w:val="11"/>
              </w:rPr>
              <w:t>Reliable in deterministic float64 CPU scope</w:t>
            </w:r>
          </w:p>
        </w:tc>
      </w:tr>
    </w:tbl>
    <w:p>
      <w:pPr>
        <w:pStyle w:val="Heading2"/>
      </w:pPr>
      <w:r>
        <w:t>S12.1 Archival execution ablation and direct PLS-family timing</w:t>
      </w:r>
    </w:p>
    <w:p>
      <w:pPr/>
      <w:r>
        <w:t>These development-stage ablations predate the frozen central rerun and are retained only to document how the execution design was developed; they do not support release-level speed claims. Each ablation changed one internal feature relative to a minimally optimized compiled SIMPLS baseline while holding data, split, estimator, deterministic IRLBA solver, component count, seed, and prediction head fixed. Three isolated runs were used per configuration. The measured ranges quantify workload-dependent trade-offs rather than universal speed-ups.</w:t>
      </w:r>
    </w:p>
    <w:p>
      <w:r>
        <w:t>Table S7a. Same-code SIMPLS execution ablation. All endpoint metric differences were zero and minimum classification agreement was 1.000.</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2189"/>
        <w:gridCol w:w="2189"/>
        <w:gridCol w:w="2189"/>
        <w:gridCol w:w="2189"/>
        <w:gridCol w:w="2188"/>
      </w:tblGrid>
      <w:tr>
        <w:tc>
          <w:tcPr>
            <w:tcW w:type="dxa" w:w="2189"/>
            <w:vAlign w:val="center"/>
          </w:tcPr>
          <w:p>
            <w:pPr>
              <w:spacing w:before="0" w:after="0" w:line="240" w:lineRule="auto"/>
            </w:pPr>
            <w:r>
              <w:rPr>
                <w:b/>
                <w:sz w:val="12"/>
              </w:rPr>
              <w:t>Optimization</w:t>
            </w:r>
          </w:p>
        </w:tc>
        <w:tc>
          <w:tcPr>
            <w:tcW w:type="dxa" w:w="2189"/>
            <w:vAlign w:val="center"/>
          </w:tcPr>
          <w:p>
            <w:pPr>
              <w:spacing w:before="0" w:after="0" w:line="240" w:lineRule="auto"/>
            </w:pPr>
            <w:r>
              <w:rPr>
                <w:b/>
                <w:sz w:val="12"/>
              </w:rPr>
              <w:t>Datasets</w:t>
            </w:r>
          </w:p>
        </w:tc>
        <w:tc>
          <w:tcPr>
            <w:tcW w:type="dxa" w:w="2189"/>
            <w:vAlign w:val="center"/>
          </w:tcPr>
          <w:p>
            <w:pPr>
              <w:spacing w:before="0" w:after="0" w:line="240" w:lineRule="auto"/>
            </w:pPr>
            <w:r>
              <w:rPr>
                <w:b/>
                <w:sz w:val="12"/>
              </w:rPr>
              <w:t>Time speed-up range</w:t>
            </w:r>
          </w:p>
        </w:tc>
        <w:tc>
          <w:tcPr>
            <w:tcW w:type="dxa" w:w="2189"/>
            <w:vAlign w:val="center"/>
          </w:tcPr>
          <w:p>
            <w:pPr>
              <w:spacing w:before="0" w:after="0" w:line="240" w:lineRule="auto"/>
            </w:pPr>
            <w:r>
              <w:rPr>
                <w:b/>
                <w:sz w:val="12"/>
              </w:rPr>
              <w:t>Incremental RSS reduction</w:t>
            </w:r>
          </w:p>
        </w:tc>
        <w:tc>
          <w:tcPr>
            <w:tcW w:type="dxa" w:w="2188"/>
            <w:vAlign w:val="center"/>
          </w:tcPr>
          <w:p>
            <w:pPr>
              <w:spacing w:before="0" w:after="0" w:line="240" w:lineRule="auto"/>
            </w:pPr>
            <w:r>
              <w:rPr>
                <w:b/>
                <w:sz w:val="12"/>
              </w:rPr>
              <w:t>Interpretation</w:t>
            </w:r>
          </w:p>
        </w:tc>
      </w:tr>
      <w:tr>
        <w:tc>
          <w:tcPr>
            <w:tcW w:type="dxa" w:w="2189"/>
            <w:vAlign w:val="center"/>
          </w:tcPr>
          <w:p>
            <w:pPr>
              <w:spacing w:before="0" w:after="0" w:line="240" w:lineRule="auto"/>
            </w:pPr>
            <w:r>
              <w:rPr>
                <w:b w:val="0"/>
                <w:sz w:val="12"/>
              </w:rPr>
              <w:t>Cached deflation products</w:t>
            </w:r>
          </w:p>
        </w:tc>
        <w:tc>
          <w:tcPr>
            <w:tcW w:type="dxa" w:w="2189"/>
            <w:vAlign w:val="center"/>
          </w:tcPr>
          <w:p>
            <w:pPr>
              <w:spacing w:before="0" w:after="0" w:line="240" w:lineRule="auto"/>
            </w:pPr>
            <w:r>
              <w:rPr>
                <w:b w:val="0"/>
                <w:sz w:val="12"/>
              </w:rPr>
              <w:t>4</w:t>
            </w:r>
          </w:p>
        </w:tc>
        <w:tc>
          <w:tcPr>
            <w:tcW w:type="dxa" w:w="2189"/>
            <w:vAlign w:val="center"/>
          </w:tcPr>
          <w:p>
            <w:pPr>
              <w:spacing w:before="0" w:after="0" w:line="240" w:lineRule="auto"/>
            </w:pPr>
            <w:r>
              <w:rPr>
                <w:b w:val="0"/>
                <w:sz w:val="12"/>
              </w:rPr>
              <w:t>0.94-1.02x</w:t>
            </w:r>
          </w:p>
        </w:tc>
        <w:tc>
          <w:tcPr>
            <w:tcW w:type="dxa" w:w="2189"/>
            <w:vAlign w:val="center"/>
          </w:tcPr>
          <w:p>
            <w:pPr>
              <w:spacing w:before="0" w:after="0" w:line="240" w:lineRule="auto"/>
            </w:pPr>
            <w:r>
              <w:rPr>
                <w:b w:val="0"/>
                <w:sz w:val="12"/>
              </w:rPr>
              <w:t>0.16-70.60%</w:t>
            </w:r>
          </w:p>
        </w:tc>
        <w:tc>
          <w:tcPr>
            <w:tcW w:type="dxa" w:w="2188"/>
            <w:vAlign w:val="center"/>
          </w:tcPr>
          <w:p>
            <w:pPr>
              <w:spacing w:before="0" w:after="0" w:line="240" w:lineRule="auto"/>
            </w:pPr>
            <w:r>
              <w:rPr>
                <w:b w:val="0"/>
                <w:sz w:val="12"/>
              </w:rPr>
              <w:t>Memory benefit; no uniform time gain</w:t>
            </w:r>
          </w:p>
        </w:tc>
      </w:tr>
      <w:tr>
        <w:tc>
          <w:tcPr>
            <w:tcW w:type="dxa" w:w="2189"/>
            <w:vAlign w:val="center"/>
          </w:tcPr>
          <w:p>
            <w:pPr>
              <w:spacing w:before="0" w:after="0" w:line="240" w:lineRule="auto"/>
            </w:pPr>
            <w:r>
              <w:rPr>
                <w:b w:val="0"/>
                <w:sz w:val="12"/>
              </w:rPr>
              <w:t>Cached X-transpose-X</w:t>
            </w:r>
          </w:p>
        </w:tc>
        <w:tc>
          <w:tcPr>
            <w:tcW w:type="dxa" w:w="2189"/>
            <w:vAlign w:val="center"/>
          </w:tcPr>
          <w:p>
            <w:pPr>
              <w:spacing w:before="0" w:after="0" w:line="240" w:lineRule="auto"/>
            </w:pPr>
            <w:r>
              <w:rPr>
                <w:b w:val="0"/>
                <w:sz w:val="12"/>
              </w:rPr>
              <w:t>4 (active in 1)</w:t>
            </w:r>
          </w:p>
        </w:tc>
        <w:tc>
          <w:tcPr>
            <w:tcW w:type="dxa" w:w="2189"/>
            <w:vAlign w:val="center"/>
          </w:tcPr>
          <w:p>
            <w:pPr>
              <w:spacing w:before="0" w:after="0" w:line="240" w:lineRule="auto"/>
            </w:pPr>
            <w:r>
              <w:rPr>
                <w:b w:val="0"/>
                <w:sz w:val="12"/>
              </w:rPr>
              <w:t>0.99-1.00x</w:t>
            </w:r>
          </w:p>
        </w:tc>
        <w:tc>
          <w:tcPr>
            <w:tcW w:type="dxa" w:w="2189"/>
            <w:vAlign w:val="center"/>
          </w:tcPr>
          <w:p>
            <w:pPr>
              <w:spacing w:before="0" w:after="0" w:line="240" w:lineRule="auto"/>
            </w:pPr>
            <w:r>
              <w:rPr>
                <w:b w:val="0"/>
                <w:sz w:val="12"/>
              </w:rPr>
              <w:t>-0.06-0.57%</w:t>
            </w:r>
          </w:p>
        </w:tc>
        <w:tc>
          <w:tcPr>
            <w:tcW w:type="dxa" w:w="2188"/>
            <w:vAlign w:val="center"/>
          </w:tcPr>
          <w:p>
            <w:pPr>
              <w:spacing w:before="0" w:after="0" w:line="240" w:lineRule="auto"/>
            </w:pPr>
            <w:r>
              <w:rPr>
                <w:b w:val="0"/>
                <w:sz w:val="12"/>
              </w:rPr>
              <w:t>Shape-gated; negligible in this panel</w:t>
            </w:r>
          </w:p>
        </w:tc>
      </w:tr>
      <w:tr>
        <w:tc>
          <w:tcPr>
            <w:tcW w:type="dxa" w:w="2189"/>
            <w:vAlign w:val="center"/>
          </w:tcPr>
          <w:p>
            <w:pPr>
              <w:spacing w:before="0" w:after="0" w:line="240" w:lineRule="auto"/>
            </w:pPr>
            <w:r>
              <w:rPr>
                <w:b w:val="0"/>
                <w:sz w:val="12"/>
              </w:rPr>
              <w:t>Compact prediction</w:t>
            </w:r>
          </w:p>
        </w:tc>
        <w:tc>
          <w:tcPr>
            <w:tcW w:type="dxa" w:w="2189"/>
            <w:vAlign w:val="center"/>
          </w:tcPr>
          <w:p>
            <w:pPr>
              <w:spacing w:before="0" w:after="0" w:line="240" w:lineRule="auto"/>
            </w:pPr>
            <w:r>
              <w:rPr>
                <w:b w:val="0"/>
                <w:sz w:val="12"/>
              </w:rPr>
              <w:t>4</w:t>
            </w:r>
          </w:p>
        </w:tc>
        <w:tc>
          <w:tcPr>
            <w:tcW w:type="dxa" w:w="2189"/>
            <w:vAlign w:val="center"/>
          </w:tcPr>
          <w:p>
            <w:pPr>
              <w:spacing w:before="0" w:after="0" w:line="240" w:lineRule="auto"/>
            </w:pPr>
            <w:r>
              <w:rPr>
                <w:b w:val="0"/>
                <w:sz w:val="12"/>
              </w:rPr>
              <w:t>0.97-1.24x</w:t>
            </w:r>
          </w:p>
        </w:tc>
        <w:tc>
          <w:tcPr>
            <w:tcW w:type="dxa" w:w="2189"/>
            <w:vAlign w:val="center"/>
          </w:tcPr>
          <w:p>
            <w:pPr>
              <w:spacing w:before="0" w:after="0" w:line="240" w:lineRule="auto"/>
            </w:pPr>
            <w:r>
              <w:rPr>
                <w:b w:val="0"/>
                <w:sz w:val="12"/>
              </w:rPr>
              <w:t>-0.02-77.71%</w:t>
            </w:r>
          </w:p>
        </w:tc>
        <w:tc>
          <w:tcPr>
            <w:tcW w:type="dxa" w:w="2188"/>
            <w:vAlign w:val="center"/>
          </w:tcPr>
          <w:p>
            <w:pPr>
              <w:spacing w:before="0" w:after="0" w:line="240" w:lineRule="auto"/>
            </w:pPr>
            <w:r>
              <w:rPr>
                <w:b w:val="0"/>
                <w:sz w:val="12"/>
              </w:rPr>
              <w:t>Largest benefit for high-response PRISM</w:t>
            </w:r>
          </w:p>
        </w:tc>
      </w:tr>
      <w:tr>
        <w:tc>
          <w:tcPr>
            <w:tcW w:type="dxa" w:w="2189"/>
            <w:vAlign w:val="center"/>
          </w:tcPr>
          <w:p>
            <w:pPr>
              <w:spacing w:before="0" w:after="0" w:line="240" w:lineRule="auto"/>
            </w:pPr>
            <w:r>
              <w:rPr>
                <w:b w:val="0"/>
                <w:sz w:val="12"/>
              </w:rPr>
              <w:t>Incremental coefficients</w:t>
            </w:r>
          </w:p>
        </w:tc>
        <w:tc>
          <w:tcPr>
            <w:tcW w:type="dxa" w:w="2189"/>
            <w:vAlign w:val="center"/>
          </w:tcPr>
          <w:p>
            <w:pPr>
              <w:spacing w:before="0" w:after="0" w:line="240" w:lineRule="auto"/>
            </w:pPr>
            <w:r>
              <w:rPr>
                <w:b w:val="0"/>
                <w:sz w:val="12"/>
              </w:rPr>
              <w:t>4</w:t>
            </w:r>
          </w:p>
        </w:tc>
        <w:tc>
          <w:tcPr>
            <w:tcW w:type="dxa" w:w="2189"/>
            <w:vAlign w:val="center"/>
          </w:tcPr>
          <w:p>
            <w:pPr>
              <w:spacing w:before="0" w:after="0" w:line="240" w:lineRule="auto"/>
            </w:pPr>
            <w:r>
              <w:rPr>
                <w:b w:val="0"/>
                <w:sz w:val="12"/>
              </w:rPr>
              <w:t>0.99-1.07x</w:t>
            </w:r>
          </w:p>
        </w:tc>
        <w:tc>
          <w:tcPr>
            <w:tcW w:type="dxa" w:w="2189"/>
            <w:vAlign w:val="center"/>
          </w:tcPr>
          <w:p>
            <w:pPr>
              <w:spacing w:before="0" w:after="0" w:line="240" w:lineRule="auto"/>
            </w:pPr>
            <w:r>
              <w:rPr>
                <w:b w:val="0"/>
                <w:sz w:val="12"/>
              </w:rPr>
              <w:t>-3.66-2.68%</w:t>
            </w:r>
          </w:p>
        </w:tc>
        <w:tc>
          <w:tcPr>
            <w:tcW w:type="dxa" w:w="2188"/>
            <w:vAlign w:val="center"/>
          </w:tcPr>
          <w:p>
            <w:pPr>
              <w:spacing w:before="0" w:after="0" w:line="240" w:lineRule="auto"/>
            </w:pPr>
            <w:r>
              <w:rPr>
                <w:b w:val="0"/>
                <w:sz w:val="12"/>
              </w:rPr>
              <w:t>Small isolated effect</w:t>
            </w:r>
          </w:p>
        </w:tc>
      </w:tr>
      <w:tr>
        <w:tc>
          <w:tcPr>
            <w:tcW w:type="dxa" w:w="2189"/>
            <w:vAlign w:val="center"/>
          </w:tcPr>
          <w:p>
            <w:pPr>
              <w:spacing w:before="0" w:after="0" w:line="240" w:lineRule="auto"/>
            </w:pPr>
            <w:r>
              <w:rPr>
                <w:b w:val="0"/>
                <w:sz w:val="12"/>
              </w:rPr>
              <w:t>Implicit cross-covariance</w:t>
            </w:r>
          </w:p>
        </w:tc>
        <w:tc>
          <w:tcPr>
            <w:tcW w:type="dxa" w:w="2189"/>
            <w:vAlign w:val="center"/>
          </w:tcPr>
          <w:p>
            <w:pPr>
              <w:spacing w:before="0" w:after="0" w:line="240" w:lineRule="auto"/>
            </w:pPr>
            <w:r>
              <w:rPr>
                <w:b w:val="0"/>
                <w:sz w:val="12"/>
              </w:rPr>
              <w:t>4</w:t>
            </w:r>
          </w:p>
        </w:tc>
        <w:tc>
          <w:tcPr>
            <w:tcW w:type="dxa" w:w="2189"/>
            <w:vAlign w:val="center"/>
          </w:tcPr>
          <w:p>
            <w:pPr>
              <w:spacing w:before="0" w:after="0" w:line="240" w:lineRule="auto"/>
            </w:pPr>
            <w:r>
              <w:rPr>
                <w:b w:val="0"/>
                <w:sz w:val="12"/>
              </w:rPr>
              <w:t>0.065-6.24x</w:t>
            </w:r>
          </w:p>
        </w:tc>
        <w:tc>
          <w:tcPr>
            <w:tcW w:type="dxa" w:w="2189"/>
            <w:vAlign w:val="center"/>
          </w:tcPr>
          <w:p>
            <w:pPr>
              <w:spacing w:before="0" w:after="0" w:line="240" w:lineRule="auto"/>
            </w:pPr>
            <w:r>
              <w:rPr>
                <w:b w:val="0"/>
                <w:sz w:val="12"/>
              </w:rPr>
              <w:t>0.12-70.64%</w:t>
            </w:r>
          </w:p>
        </w:tc>
        <w:tc>
          <w:tcPr>
            <w:tcW w:type="dxa" w:w="2188"/>
            <w:vAlign w:val="center"/>
          </w:tcPr>
          <w:p>
            <w:pPr>
              <w:spacing w:before="0" w:after="0" w:line="240" w:lineRule="auto"/>
            </w:pPr>
            <w:r>
              <w:rPr>
                <w:b w:val="0"/>
                <w:sz w:val="12"/>
              </w:rPr>
              <w:t>Faster only in the high-response regime</w:t>
            </w:r>
          </w:p>
        </w:tc>
      </w:tr>
    </w:tbl>
    <w:p>
      <w:r>
        <w:t>The matched PLS-family timing study used the same synthetic matrices, requested components, rSVD controls (oversampling 10, one power iteration, seeds 101-103), split, and backend for PLS-SVD and SIMPLS. The two estimators can differ predictively; this experiment compares execution time only.</w:t>
      </w:r>
    </w:p>
    <w:p>
      <w:r>
        <w:t>Table S7b. Direct matched-shape runtime comparison. Ratios are SIMPLS time divided by PLS-SVD time; values below one favor SIMPLS.</w:t>
      </w:r>
    </w:p>
    <w:p>
      <w:pPr>
        <w:pStyle w:val="Heading2"/>
      </w:pPr>
      <w:r>
        <w:t>S12.2 Controlled scaling and route crossovers</w:t>
      </w:r>
    </w:p>
    <w:p>
      <w:pPr>
        <w:pStyle w:val="BodyText"/>
      </w:pPr>
      <w:r>
        <w:t>The baseline regression scenario used 2,000 training and 400 test observations, p = 400, q = 100, rank 30, and 20 retained components. One factor varied at a time: n = 500, 1,000, 2,000, 5,000, 10,000; p = 50, 100, 250, 500, 1,000, 2,000; q = 10, 25, 50, 100, 250, 500, 1,000; retained components = 2, 5, 10, 20, 40, 80; requested prefixes = 1, 2, 5, 10, 20; exact cross-covariance rank = 5, 10, 20, 40, 80; classes = 5, 10, 25, 50, 100, 200; and explicit cross-covariance storage = 2, 4, 8, 16, 32, 64 MiB. The rank sweep used noise-free responses to preserve exact rank; other regression sweeps used fixed Gaussian response noise. Classification labels arose from class scores in a fixed latent space. Three matched data/solver seeds were used per point. Every scenario included deterministic float64 CPU IRLBA and automatic CPU/CUDA rSVD with oversampling 20 and two power iterations; explicit and implicit rSVD were both forced in the storage sweep.</w:t>
      </w:r>
    </w:p>
    <w:p>
      <w:pPr>
        <w:pStyle w:val="BodyText"/>
      </w:pPr>
      <w:r>
        <w:t>All 486 CPU/CUDA runs completed. Automatic rSVD produced 73 tolerance failures among 276 runs; failures were retained and excluded from crossover inference. All 72 forced explicit/implicit runs met tolerance. Qualified CUDA speed crossovers occurred at n = 5,000, p = 2,000, and throughout the 2-64 MiB storage sweep. The CPU implicit route reduced incremental RSS by 29.7-47.5% but was slower below 32 MiB and near parity thereafter. CUDA explicit/implicit times differed by less than 1% through 32 MiB and by 0.1% at 64 MiB. The separate Metal smoke study completed 56 runs; all 20 Metal rSVD routes were outside tolerance, so no Metal performance crossover is claimed.</w:t>
      </w:r>
    </w:p>
    <w:p>
      <w:pPr>
        <w:pStyle w:val="Caption"/>
      </w:pPr>
      <w:r>
        <w:t>Table S7c. Controlled one-factor-at-a-time scaling. A point is qualified only when every replicate met the numerical tolerances; crossover values are the first tested values, not extrapolated thresholds.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824"/>
        <w:gridCol w:w="1824"/>
        <w:gridCol w:w="1824"/>
        <w:gridCol w:w="1824"/>
        <w:gridCol w:w="1824"/>
        <w:gridCol w:w="1824"/>
      </w:tblGrid>
      <w:tr>
        <w:trPr>
          <w:tblHeader w:val="true"/>
        </w:trPr>
        <w:tc>
          <w:tcPr>
            <w:tcW w:type="dxa" w:w="1824"/>
            <w:vAlign w:val="center"/>
          </w:tcPr>
          <w:p>
            <w:pPr>
              <w:spacing w:after="0" w:before="0" w:line="240" w:lineRule="auto"/>
            </w:pPr>
            <w:r>
              <w:rPr>
                <w:b/>
                <w:sz w:val="11"/>
              </w:rPr>
              <w:t>Factor</w:t>
            </w:r>
          </w:p>
        </w:tc>
        <w:tc>
          <w:tcPr>
            <w:tcW w:type="dxa" w:w="1824"/>
            <w:vAlign w:val="center"/>
          </w:tcPr>
          <w:p>
            <w:pPr>
              <w:spacing w:after="0" w:before="0" w:line="240" w:lineRule="auto"/>
            </w:pPr>
            <w:r>
              <w:rPr>
                <w:b/>
                <w:sz w:val="11"/>
              </w:rPr>
              <w:t>Tested values</w:t>
            </w:r>
          </w:p>
        </w:tc>
        <w:tc>
          <w:tcPr>
            <w:tcW w:type="dxa" w:w="1824"/>
            <w:vAlign w:val="center"/>
          </w:tcPr>
          <w:p>
            <w:pPr>
              <w:spacing w:after="0" w:before="0" w:line="240" w:lineRule="auto"/>
            </w:pPr>
            <w:r>
              <w:rPr>
                <w:b/>
                <w:sz w:val="11"/>
              </w:rPr>
              <w:t>CPU qualified</w:t>
            </w:r>
          </w:p>
        </w:tc>
        <w:tc>
          <w:tcPr>
            <w:tcW w:type="dxa" w:w="1824"/>
            <w:vAlign w:val="center"/>
          </w:tcPr>
          <w:p>
            <w:pPr>
              <w:spacing w:after="0" w:before="0" w:line="240" w:lineRule="auto"/>
            </w:pPr>
            <w:r>
              <w:rPr>
                <w:b/>
                <w:sz w:val="11"/>
              </w:rPr>
              <w:t>CUDA qualified</w:t>
            </w:r>
          </w:p>
        </w:tc>
        <w:tc>
          <w:tcPr>
            <w:tcW w:type="dxa" w:w="1824"/>
            <w:vAlign w:val="center"/>
          </w:tcPr>
          <w:p>
            <w:pPr>
              <w:spacing w:after="0" w:before="0" w:line="240" w:lineRule="auto"/>
            </w:pPr>
            <w:r>
              <w:rPr>
                <w:b/>
                <w:sz w:val="11"/>
              </w:rPr>
              <w:t>First qualified CUDA crossover</w:t>
            </w:r>
          </w:p>
        </w:tc>
        <w:tc>
          <w:tcPr>
            <w:tcW w:type="dxa" w:w="1824"/>
            <w:vAlign w:val="center"/>
          </w:tcPr>
          <w:p>
            <w:pPr>
              <w:spacing w:after="0" w:before="0" w:line="240" w:lineRule="auto"/>
            </w:pPr>
            <w:r>
              <w:rPr>
                <w:b/>
                <w:sz w:val="11"/>
              </w:rPr>
              <w:t>Median total-time range, CPU / CUDA (s)</w:t>
            </w:r>
          </w:p>
        </w:tc>
      </w:tr>
      <w:tr>
        <w:tc>
          <w:tcPr>
            <w:tcW w:type="dxa" w:w="1824"/>
            <w:vAlign w:val="center"/>
          </w:tcPr>
          <w:p>
            <w:pPr>
              <w:spacing w:after="0" w:before="0" w:line="240" w:lineRule="auto"/>
            </w:pPr>
            <w:r>
              <w:rPr>
                <w:b w:val="0"/>
                <w:sz w:val="11"/>
              </w:rPr>
              <w:t>Classes</w:t>
            </w:r>
          </w:p>
        </w:tc>
        <w:tc>
          <w:tcPr>
            <w:tcW w:type="dxa" w:w="1824"/>
            <w:vAlign w:val="center"/>
          </w:tcPr>
          <w:p>
            <w:pPr>
              <w:spacing w:after="0" w:before="0" w:line="240" w:lineRule="auto"/>
            </w:pPr>
            <w:r>
              <w:rPr>
                <w:b w:val="0"/>
                <w:sz w:val="11"/>
              </w:rPr>
              <w:t>5, 10, 25, 50, 100, 200</w:t>
            </w:r>
          </w:p>
        </w:tc>
        <w:tc>
          <w:tcPr>
            <w:tcW w:type="dxa" w:w="1824"/>
            <w:vAlign w:val="center"/>
          </w:tcPr>
          <w:p>
            <w:pPr>
              <w:spacing w:after="0" w:before="0" w:line="240" w:lineRule="auto"/>
            </w:pPr>
            <w:r>
              <w:rPr>
                <w:b w:val="0"/>
                <w:sz w:val="11"/>
              </w:rPr>
              <w:t>3/6</w:t>
            </w:r>
          </w:p>
        </w:tc>
        <w:tc>
          <w:tcPr>
            <w:tcW w:type="dxa" w:w="1824"/>
            <w:vAlign w:val="center"/>
          </w:tcPr>
          <w:p>
            <w:pPr>
              <w:spacing w:after="0" w:before="0" w:line="240" w:lineRule="auto"/>
            </w:pPr>
            <w:r>
              <w:rPr>
                <w:b w:val="0"/>
                <w:sz w:val="11"/>
              </w:rPr>
              <w:t>3/6</w:t>
            </w:r>
          </w:p>
        </w:tc>
        <w:tc>
          <w:tcPr>
            <w:tcW w:type="dxa" w:w="1824"/>
            <w:vAlign w:val="center"/>
          </w:tcPr>
          <w:p>
            <w:pPr>
              <w:spacing w:after="0" w:before="0" w:line="240" w:lineRule="auto"/>
            </w:pPr>
            <w:r>
              <w:rPr>
                <w:b w:val="0"/>
                <w:sz w:val="11"/>
              </w:rPr>
              <w:t>-</w:t>
            </w:r>
          </w:p>
        </w:tc>
        <w:tc>
          <w:tcPr>
            <w:tcW w:type="dxa" w:w="1824"/>
            <w:vAlign w:val="center"/>
          </w:tcPr>
          <w:p>
            <w:pPr>
              <w:spacing w:after="0" w:before="0" w:line="240" w:lineRule="auto"/>
            </w:pPr>
            <w:r>
              <w:rPr>
                <w:b w:val="0"/>
                <w:sz w:val="11"/>
              </w:rPr>
              <w:t>0.02-0.528 / 0.238-0.295</w:t>
            </w:r>
          </w:p>
        </w:tc>
      </w:tr>
      <w:tr>
        <w:tc>
          <w:tcPr>
            <w:tcW w:type="dxa" w:w="1824"/>
            <w:vAlign w:val="center"/>
          </w:tcPr>
          <w:p>
            <w:pPr>
              <w:spacing w:after="0" w:before="0" w:line="240" w:lineRule="auto"/>
            </w:pPr>
            <w:r>
              <w:rPr>
                <w:sz w:val="11"/>
              </w:rPr>
              <w:t>Cross-covariance MiB</w:t>
            </w:r>
          </w:p>
        </w:tc>
        <w:tc>
          <w:tcPr>
            <w:tcW w:type="dxa" w:w="1824"/>
            <w:vAlign w:val="center"/>
          </w:tcPr>
          <w:p>
            <w:pPr>
              <w:spacing w:after="0" w:before="0" w:line="240" w:lineRule="auto"/>
            </w:pPr>
            <w:r>
              <w:rPr>
                <w:b w:val="0"/>
                <w:sz w:val="11"/>
              </w:rPr>
              <w:t>1.9989, 3.9978, 8.00323, 15.9988, 31.9977, 64.003</w:t>
            </w:r>
          </w:p>
        </w:tc>
        <w:tc>
          <w:tcPr>
            <w:tcW w:type="dxa" w:w="1824"/>
            <w:vAlign w:val="center"/>
          </w:tcPr>
          <w:p>
            <w:pPr>
              <w:spacing w:after="0" w:before="0" w:line="240" w:lineRule="auto"/>
            </w:pPr>
            <w:r>
              <w:rPr>
                <w:b w:val="0"/>
                <w:sz w:val="11"/>
              </w:rPr>
              <w:t>6/6</w:t>
            </w:r>
          </w:p>
        </w:tc>
        <w:tc>
          <w:tcPr>
            <w:tcW w:type="dxa" w:w="1824"/>
            <w:vAlign w:val="center"/>
          </w:tcPr>
          <w:p>
            <w:pPr>
              <w:spacing w:after="0" w:before="0" w:line="240" w:lineRule="auto"/>
            </w:pPr>
            <w:r>
              <w:rPr>
                <w:b w:val="0"/>
                <w:sz w:val="11"/>
              </w:rPr>
              <w:t>6/6</w:t>
            </w:r>
          </w:p>
        </w:tc>
        <w:tc>
          <w:tcPr>
            <w:tcW w:type="dxa" w:w="1824"/>
            <w:vAlign w:val="center"/>
          </w:tcPr>
          <w:p>
            <w:pPr>
              <w:spacing w:after="0" w:before="0" w:line="240" w:lineRule="auto"/>
            </w:pPr>
            <w:r>
              <w:rPr>
                <w:b w:val="0"/>
                <w:sz w:val="11"/>
              </w:rPr>
              <w:t>1.9989</w:t>
            </w:r>
          </w:p>
        </w:tc>
        <w:tc>
          <w:tcPr>
            <w:tcW w:type="dxa" w:w="1824"/>
            <w:vAlign w:val="center"/>
          </w:tcPr>
          <w:p>
            <w:pPr>
              <w:spacing w:after="0" w:before="0" w:line="240" w:lineRule="auto"/>
            </w:pPr>
            <w:r>
              <w:rPr>
                <w:b w:val="0"/>
                <w:sz w:val="11"/>
              </w:rPr>
              <w:t>0.933-9.314 / 0.307-1.561</w:t>
            </w:r>
          </w:p>
        </w:tc>
      </w:tr>
      <w:tr>
        <w:tc>
          <w:tcPr>
            <w:tcW w:type="dxa" w:w="1824"/>
            <w:vAlign w:val="center"/>
          </w:tcPr>
          <w:p>
            <w:pPr>
              <w:spacing w:after="0" w:before="0" w:line="240" w:lineRule="auto"/>
            </w:pPr>
            <w:r>
              <w:rPr>
                <w:b w:val="0"/>
                <w:sz w:val="11"/>
              </w:rPr>
              <w:t>Training observations</w:t>
            </w:r>
          </w:p>
        </w:tc>
        <w:tc>
          <w:tcPr>
            <w:tcW w:type="dxa" w:w="1824"/>
            <w:vAlign w:val="center"/>
          </w:tcPr>
          <w:p>
            <w:pPr>
              <w:spacing w:after="0" w:before="0" w:line="240" w:lineRule="auto"/>
            </w:pPr>
            <w:r>
              <w:rPr>
                <w:b w:val="0"/>
                <w:sz w:val="11"/>
              </w:rPr>
              <w:t>500, 1000, 2000, 5000, 10000</w:t>
            </w:r>
          </w:p>
        </w:tc>
        <w:tc>
          <w:tcPr>
            <w:tcW w:type="dxa" w:w="1824"/>
            <w:vAlign w:val="center"/>
          </w:tcPr>
          <w:p>
            <w:pPr>
              <w:spacing w:after="0" w:before="0" w:line="240" w:lineRule="auto"/>
            </w:pPr>
            <w:r>
              <w:rPr>
                <w:b w:val="0"/>
                <w:sz w:val="11"/>
              </w:rPr>
              <w:t>5/5</w:t>
            </w:r>
          </w:p>
        </w:tc>
        <w:tc>
          <w:tcPr>
            <w:tcW w:type="dxa" w:w="1824"/>
            <w:vAlign w:val="center"/>
          </w:tcPr>
          <w:p>
            <w:pPr>
              <w:spacing w:after="0" w:before="0" w:line="240" w:lineRule="auto"/>
            </w:pPr>
            <w:r>
              <w:rPr>
                <w:b w:val="0"/>
                <w:sz w:val="11"/>
              </w:rPr>
              <w:t>5/5</w:t>
            </w:r>
          </w:p>
        </w:tc>
        <w:tc>
          <w:tcPr>
            <w:tcW w:type="dxa" w:w="1824"/>
            <w:vAlign w:val="center"/>
          </w:tcPr>
          <w:p>
            <w:pPr>
              <w:spacing w:after="0" w:before="0" w:line="240" w:lineRule="auto"/>
            </w:pPr>
            <w:r>
              <w:rPr>
                <w:b w:val="0"/>
                <w:sz w:val="11"/>
              </w:rPr>
              <w:t>5000</w:t>
            </w:r>
          </w:p>
        </w:tc>
        <w:tc>
          <w:tcPr>
            <w:tcW w:type="dxa" w:w="1824"/>
            <w:vAlign w:val="center"/>
          </w:tcPr>
          <w:p>
            <w:pPr>
              <w:spacing w:after="0" w:before="0" w:line="240" w:lineRule="auto"/>
            </w:pPr>
            <w:r>
              <w:rPr>
                <w:b w:val="0"/>
                <w:sz w:val="11"/>
              </w:rPr>
              <w:t>0.071-1.175 / 0.26-0.325</w:t>
            </w:r>
          </w:p>
        </w:tc>
      </w:tr>
      <w:tr>
        <w:tc>
          <w:tcPr>
            <w:tcW w:type="dxa" w:w="1824"/>
            <w:vAlign w:val="center"/>
          </w:tcPr>
          <w:p>
            <w:pPr>
              <w:spacing w:after="0" w:before="0" w:line="240" w:lineRule="auto"/>
            </w:pPr>
            <w:r>
              <w:rPr>
                <w:b w:val="0"/>
                <w:sz w:val="11"/>
              </w:rPr>
              <w:t>Retained components</w:t>
            </w:r>
          </w:p>
        </w:tc>
        <w:tc>
          <w:tcPr>
            <w:tcW w:type="dxa" w:w="1824"/>
            <w:vAlign w:val="center"/>
          </w:tcPr>
          <w:p>
            <w:pPr>
              <w:spacing w:after="0" w:before="0" w:line="240" w:lineRule="auto"/>
            </w:pPr>
            <w:r>
              <w:rPr>
                <w:b w:val="0"/>
                <w:sz w:val="11"/>
              </w:rPr>
              <w:t>2, 5, 10, 20, 40, 80</w:t>
            </w:r>
          </w:p>
        </w:tc>
        <w:tc>
          <w:tcPr>
            <w:tcW w:type="dxa" w:w="1824"/>
            <w:vAlign w:val="center"/>
          </w:tcPr>
          <w:p>
            <w:pPr>
              <w:spacing w:after="0" w:before="0" w:line="240" w:lineRule="auto"/>
            </w:pPr>
            <w:r>
              <w:rPr>
                <w:b w:val="0"/>
                <w:sz w:val="11"/>
              </w:rPr>
              <w:t>0/6</w:t>
            </w:r>
          </w:p>
        </w:tc>
        <w:tc>
          <w:tcPr>
            <w:tcW w:type="dxa" w:w="1824"/>
            <w:vAlign w:val="center"/>
          </w:tcPr>
          <w:p>
            <w:pPr>
              <w:spacing w:after="0" w:before="0" w:line="240" w:lineRule="auto"/>
            </w:pPr>
            <w:r>
              <w:rPr>
                <w:b w:val="0"/>
                <w:sz w:val="11"/>
              </w:rPr>
              <w:t>0/6</w:t>
            </w:r>
          </w:p>
        </w:tc>
        <w:tc>
          <w:tcPr>
            <w:tcW w:type="dxa" w:w="1824"/>
            <w:vAlign w:val="center"/>
          </w:tcPr>
          <w:p>
            <w:pPr>
              <w:spacing w:after="0" w:before="0" w:line="240" w:lineRule="auto"/>
            </w:pPr>
            <w:r>
              <w:rPr>
                <w:b w:val="0"/>
                <w:sz w:val="11"/>
              </w:rPr>
              <w:t>-</w:t>
            </w:r>
          </w:p>
        </w:tc>
        <w:tc>
          <w:tcPr>
            <w:tcW w:type="dxa" w:w="1824"/>
            <w:vAlign w:val="center"/>
          </w:tcPr>
          <w:p>
            <w:pPr>
              <w:spacing w:after="0" w:before="0" w:line="240" w:lineRule="auto"/>
            </w:pPr>
            <w:r>
              <w:rPr>
                <w:b w:val="0"/>
                <w:sz w:val="11"/>
              </w:rPr>
              <w:t>0.132-0.58 / 0.251-0.349</w:t>
            </w:r>
          </w:p>
        </w:tc>
      </w:tr>
      <w:tr>
        <w:tc>
          <w:tcPr>
            <w:tcW w:type="dxa" w:w="1824"/>
            <w:vAlign w:val="center"/>
          </w:tcPr>
          <w:p>
            <w:pPr>
              <w:spacing w:after="0" w:before="0" w:line="240" w:lineRule="auto"/>
            </w:pPr>
            <w:r>
              <w:rPr>
                <w:b w:val="0"/>
                <w:sz w:val="11"/>
              </w:rPr>
              <w:t>Predictors</w:t>
            </w:r>
          </w:p>
        </w:tc>
        <w:tc>
          <w:tcPr>
            <w:tcW w:type="dxa" w:w="1824"/>
            <w:vAlign w:val="center"/>
          </w:tcPr>
          <w:p>
            <w:pPr>
              <w:spacing w:after="0" w:before="0" w:line="240" w:lineRule="auto"/>
            </w:pPr>
            <w:r>
              <w:rPr>
                <w:b w:val="0"/>
                <w:sz w:val="11"/>
              </w:rPr>
              <w:t>50, 100, 250, 500, 1000, 2000</w:t>
            </w:r>
          </w:p>
        </w:tc>
        <w:tc>
          <w:tcPr>
            <w:tcW w:type="dxa" w:w="1824"/>
            <w:vAlign w:val="center"/>
          </w:tcPr>
          <w:p>
            <w:pPr>
              <w:spacing w:after="0" w:before="0" w:line="240" w:lineRule="auto"/>
            </w:pPr>
            <w:r>
              <w:rPr>
                <w:b w:val="0"/>
                <w:sz w:val="11"/>
              </w:rPr>
              <w:t>6/6</w:t>
            </w:r>
          </w:p>
        </w:tc>
        <w:tc>
          <w:tcPr>
            <w:tcW w:type="dxa" w:w="1824"/>
            <w:vAlign w:val="center"/>
          </w:tcPr>
          <w:p>
            <w:pPr>
              <w:spacing w:after="0" w:before="0" w:line="240" w:lineRule="auto"/>
            </w:pPr>
            <w:r>
              <w:rPr>
                <w:b w:val="0"/>
                <w:sz w:val="11"/>
              </w:rPr>
              <w:t>6/6</w:t>
            </w:r>
          </w:p>
        </w:tc>
        <w:tc>
          <w:tcPr>
            <w:tcW w:type="dxa" w:w="1824"/>
            <w:vAlign w:val="center"/>
          </w:tcPr>
          <w:p>
            <w:pPr>
              <w:spacing w:after="0" w:before="0" w:line="240" w:lineRule="auto"/>
            </w:pPr>
            <w:r>
              <w:rPr>
                <w:b w:val="0"/>
                <w:sz w:val="11"/>
              </w:rPr>
              <w:t>2000</w:t>
            </w:r>
          </w:p>
        </w:tc>
        <w:tc>
          <w:tcPr>
            <w:tcW w:type="dxa" w:w="1824"/>
            <w:vAlign w:val="center"/>
          </w:tcPr>
          <w:p>
            <w:pPr>
              <w:spacing w:after="0" w:before="0" w:line="240" w:lineRule="auto"/>
            </w:pPr>
            <w:r>
              <w:rPr>
                <w:b w:val="0"/>
                <w:sz w:val="11"/>
              </w:rPr>
              <w:t>0.025-0.634 / 0.258-0.339</w:t>
            </w:r>
          </w:p>
        </w:tc>
      </w:tr>
      <w:tr>
        <w:tc>
          <w:tcPr>
            <w:tcW w:type="dxa" w:w="1824"/>
            <w:vAlign w:val="center"/>
          </w:tcPr>
          <w:p>
            <w:pPr>
              <w:spacing w:after="0" w:before="0" w:line="240" w:lineRule="auto"/>
            </w:pPr>
            <w:r>
              <w:rPr>
                <w:b w:val="0"/>
                <w:sz w:val="11"/>
              </w:rPr>
              <w:t>Requested prefixes</w:t>
            </w:r>
          </w:p>
        </w:tc>
        <w:tc>
          <w:tcPr>
            <w:tcW w:type="dxa" w:w="1824"/>
            <w:vAlign w:val="center"/>
          </w:tcPr>
          <w:p>
            <w:pPr>
              <w:spacing w:after="0" w:before="0" w:line="240" w:lineRule="auto"/>
            </w:pPr>
            <w:r>
              <w:rPr>
                <w:b w:val="0"/>
                <w:sz w:val="11"/>
              </w:rPr>
              <w:t>1, 2, 5, 10, 20</w:t>
            </w:r>
          </w:p>
        </w:tc>
        <w:tc>
          <w:tcPr>
            <w:tcW w:type="dxa" w:w="1824"/>
            <w:vAlign w:val="center"/>
          </w:tcPr>
          <w:p>
            <w:pPr>
              <w:spacing w:after="0" w:before="0" w:line="240" w:lineRule="auto"/>
            </w:pPr>
            <w:r>
              <w:rPr>
                <w:b w:val="0"/>
                <w:sz w:val="11"/>
              </w:rPr>
              <w:t>5/5</w:t>
            </w:r>
          </w:p>
        </w:tc>
        <w:tc>
          <w:tcPr>
            <w:tcW w:type="dxa" w:w="1824"/>
            <w:vAlign w:val="center"/>
          </w:tcPr>
          <w:p>
            <w:pPr>
              <w:spacing w:after="0" w:before="0" w:line="240" w:lineRule="auto"/>
            </w:pPr>
            <w:r>
              <w:rPr>
                <w:b w:val="0"/>
                <w:sz w:val="11"/>
              </w:rPr>
              <w:t>5/5</w:t>
            </w:r>
          </w:p>
        </w:tc>
        <w:tc>
          <w:tcPr>
            <w:tcW w:type="dxa" w:w="1824"/>
            <w:vAlign w:val="center"/>
          </w:tcPr>
          <w:p>
            <w:pPr>
              <w:spacing w:after="0" w:before="0" w:line="240" w:lineRule="auto"/>
            </w:pPr>
            <w:r>
              <w:rPr>
                <w:b w:val="0"/>
                <w:sz w:val="11"/>
              </w:rPr>
              <w:t>-</w:t>
            </w:r>
          </w:p>
        </w:tc>
        <w:tc>
          <w:tcPr>
            <w:tcW w:type="dxa" w:w="1824"/>
            <w:vAlign w:val="center"/>
          </w:tcPr>
          <w:p>
            <w:pPr>
              <w:spacing w:after="0" w:before="0" w:line="240" w:lineRule="auto"/>
            </w:pPr>
            <w:r>
              <w:rPr>
                <w:b w:val="0"/>
                <w:sz w:val="11"/>
              </w:rPr>
              <w:t>0.064-0.247 / 0.241-0.397</w:t>
            </w:r>
          </w:p>
        </w:tc>
      </w:tr>
      <w:tr>
        <w:tc>
          <w:tcPr>
            <w:tcW w:type="dxa" w:w="1824"/>
            <w:vAlign w:val="center"/>
          </w:tcPr>
          <w:p>
            <w:pPr>
              <w:spacing w:after="0" w:before="0" w:line="240" w:lineRule="auto"/>
            </w:pPr>
            <w:r>
              <w:rPr>
                <w:b w:val="0"/>
                <w:sz w:val="11"/>
              </w:rPr>
              <w:t>Responses</w:t>
            </w:r>
          </w:p>
        </w:tc>
        <w:tc>
          <w:tcPr>
            <w:tcW w:type="dxa" w:w="1824"/>
            <w:vAlign w:val="center"/>
          </w:tcPr>
          <w:p>
            <w:pPr>
              <w:spacing w:after="0" w:before="0" w:line="240" w:lineRule="auto"/>
            </w:pPr>
            <w:r>
              <w:rPr>
                <w:b w:val="0"/>
                <w:sz w:val="11"/>
              </w:rPr>
              <w:t>10, 25, 50, 100, 250, 500, 1000</w:t>
            </w:r>
          </w:p>
        </w:tc>
        <w:tc>
          <w:tcPr>
            <w:tcW w:type="dxa" w:w="1824"/>
            <w:vAlign w:val="center"/>
          </w:tcPr>
          <w:p>
            <w:pPr>
              <w:spacing w:after="0" w:before="0" w:line="240" w:lineRule="auto"/>
            </w:pPr>
            <w:r>
              <w:rPr>
                <w:b w:val="0"/>
                <w:sz w:val="11"/>
              </w:rPr>
              <w:t>7/7</w:t>
            </w:r>
          </w:p>
        </w:tc>
        <w:tc>
          <w:tcPr>
            <w:tcW w:type="dxa" w:w="1824"/>
            <w:vAlign w:val="center"/>
          </w:tcPr>
          <w:p>
            <w:pPr>
              <w:spacing w:after="0" w:before="0" w:line="240" w:lineRule="auto"/>
            </w:pPr>
            <w:r>
              <w:rPr>
                <w:b w:val="0"/>
                <w:sz w:val="11"/>
              </w:rPr>
              <w:t>4/7</w:t>
            </w:r>
          </w:p>
        </w:tc>
        <w:tc>
          <w:tcPr>
            <w:tcW w:type="dxa" w:w="1824"/>
            <w:vAlign w:val="center"/>
          </w:tcPr>
          <w:p>
            <w:pPr>
              <w:spacing w:after="0" w:before="0" w:line="240" w:lineRule="auto"/>
            </w:pPr>
            <w:r>
              <w:rPr>
                <w:b w:val="0"/>
                <w:sz w:val="11"/>
              </w:rPr>
              <w:t>-</w:t>
            </w:r>
          </w:p>
        </w:tc>
        <w:tc>
          <w:tcPr>
            <w:tcW w:type="dxa" w:w="1824"/>
            <w:vAlign w:val="center"/>
          </w:tcPr>
          <w:p>
            <w:pPr>
              <w:spacing w:after="0" w:before="0" w:line="240" w:lineRule="auto"/>
            </w:pPr>
            <w:r>
              <w:rPr>
                <w:b w:val="0"/>
                <w:sz w:val="11"/>
              </w:rPr>
              <w:t>0.031-0.915 / 0.25-0.366</w:t>
            </w:r>
          </w:p>
        </w:tc>
      </w:tr>
      <w:tr>
        <w:tc>
          <w:tcPr>
            <w:tcW w:type="dxa" w:w="1824"/>
            <w:vAlign w:val="center"/>
          </w:tcPr>
          <w:p>
            <w:pPr>
              <w:spacing w:after="0" w:before="0" w:line="240" w:lineRule="auto"/>
            </w:pPr>
            <w:r>
              <w:rPr>
                <w:b w:val="0"/>
                <w:sz w:val="11"/>
              </w:rPr>
              <w:t>Exact rank</w:t>
            </w:r>
          </w:p>
        </w:tc>
        <w:tc>
          <w:tcPr>
            <w:tcW w:type="dxa" w:w="1824"/>
            <w:vAlign w:val="center"/>
          </w:tcPr>
          <w:p>
            <w:pPr>
              <w:spacing w:after="0" w:before="0" w:line="240" w:lineRule="auto"/>
            </w:pPr>
            <w:r>
              <w:rPr>
                <w:b w:val="0"/>
                <w:sz w:val="11"/>
              </w:rPr>
              <w:t>5, 10, 20, 40, 80</w:t>
            </w:r>
          </w:p>
        </w:tc>
        <w:tc>
          <w:tcPr>
            <w:tcW w:type="dxa" w:w="1824"/>
            <w:vAlign w:val="center"/>
          </w:tcPr>
          <w:p>
            <w:pPr>
              <w:spacing w:after="0" w:before="0" w:line="240" w:lineRule="auto"/>
            </w:pPr>
            <w:r>
              <w:rPr>
                <w:b w:val="0"/>
                <w:sz w:val="11"/>
              </w:rPr>
              <w:t>3/5</w:t>
            </w:r>
          </w:p>
        </w:tc>
        <w:tc>
          <w:tcPr>
            <w:tcW w:type="dxa" w:w="1824"/>
            <w:vAlign w:val="center"/>
          </w:tcPr>
          <w:p>
            <w:pPr>
              <w:spacing w:after="0" w:before="0" w:line="240" w:lineRule="auto"/>
            </w:pPr>
            <w:r>
              <w:rPr>
                <w:b w:val="0"/>
                <w:sz w:val="11"/>
              </w:rPr>
              <w:t>3/5</w:t>
            </w:r>
          </w:p>
        </w:tc>
        <w:tc>
          <w:tcPr>
            <w:tcW w:type="dxa" w:w="1824"/>
            <w:vAlign w:val="center"/>
          </w:tcPr>
          <w:p>
            <w:pPr>
              <w:spacing w:after="0" w:before="0" w:line="240" w:lineRule="auto"/>
            </w:pPr>
            <w:r>
              <w:rPr>
                <w:b w:val="0"/>
                <w:sz w:val="11"/>
              </w:rPr>
              <w:t>-</w:t>
            </w:r>
          </w:p>
        </w:tc>
        <w:tc>
          <w:tcPr>
            <w:tcW w:type="dxa" w:w="1824"/>
            <w:vAlign w:val="center"/>
          </w:tcPr>
          <w:p>
            <w:pPr>
              <w:spacing w:after="0" w:before="0" w:line="240" w:lineRule="auto"/>
            </w:pPr>
            <w:r>
              <w:rPr>
                <w:b w:val="0"/>
                <w:sz w:val="11"/>
              </w:rPr>
              <w:t>0.25-0.252 / 0.254-0.257</w:t>
            </w:r>
          </w:p>
        </w:tc>
      </w:tr>
    </w:tbl>
    <w:p>
      <w:pPr>
        <w:pStyle w:val="Caption"/>
      </w:pPr>
      <w:r>
        <w:t>Table S7d. Forced explicit versus implicit cross-covariance routes. Incremental RSS excludes the loaded synthetic input but includes fit and prediction workspaces.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563"/>
        <w:gridCol w:w="1563"/>
        <w:gridCol w:w="1563"/>
        <w:gridCol w:w="1563"/>
        <w:gridCol w:w="1563"/>
        <w:gridCol w:w="1563"/>
        <w:gridCol w:w="1566"/>
      </w:tblGrid>
      <w:tr>
        <w:trPr>
          <w:tblHeader w:val="true"/>
        </w:trPr>
        <w:tc>
          <w:tcPr>
            <w:tcW w:type="dxa" w:w="1563"/>
            <w:vAlign w:val="center"/>
          </w:tcPr>
          <w:p>
            <w:pPr>
              <w:spacing w:after="0" w:before="0" w:line="240" w:lineRule="auto"/>
            </w:pPr>
            <w:r>
              <w:rPr>
                <w:b/>
                <w:sz w:val="11"/>
              </w:rPr>
              <w:t>Backend</w:t>
            </w:r>
          </w:p>
        </w:tc>
        <w:tc>
          <w:tcPr>
            <w:tcW w:type="dxa" w:w="1563"/>
            <w:vAlign w:val="center"/>
          </w:tcPr>
          <w:p>
            <w:pPr>
              <w:spacing w:after="0" w:before="0" w:line="240" w:lineRule="auto"/>
            </w:pPr>
            <w:r>
              <w:rPr>
                <w:b/>
                <w:sz w:val="11"/>
              </w:rPr>
              <w:t>S size (MiB)</w:t>
            </w:r>
          </w:p>
        </w:tc>
        <w:tc>
          <w:tcPr>
            <w:tcW w:type="dxa" w:w="1563"/>
            <w:vAlign w:val="center"/>
          </w:tcPr>
          <w:p>
            <w:pPr>
              <w:spacing w:after="0" w:before="0" w:line="240" w:lineRule="auto"/>
            </w:pPr>
            <w:r>
              <w:rPr>
                <w:b/>
                <w:sz w:val="11"/>
              </w:rPr>
              <w:t>Explicit time (s)</w:t>
            </w:r>
          </w:p>
        </w:tc>
        <w:tc>
          <w:tcPr>
            <w:tcW w:type="dxa" w:w="1563"/>
            <w:vAlign w:val="center"/>
          </w:tcPr>
          <w:p>
            <w:pPr>
              <w:spacing w:after="0" w:before="0" w:line="240" w:lineRule="auto"/>
            </w:pPr>
            <w:r>
              <w:rPr>
                <w:b/>
                <w:sz w:val="11"/>
              </w:rPr>
              <w:t>Implicit time (s)</w:t>
            </w:r>
          </w:p>
        </w:tc>
        <w:tc>
          <w:tcPr>
            <w:tcW w:type="dxa" w:w="1563"/>
            <w:vAlign w:val="center"/>
          </w:tcPr>
          <w:p>
            <w:pPr>
              <w:spacing w:after="0" w:before="0" w:line="240" w:lineRule="auto"/>
            </w:pPr>
            <w:r>
              <w:rPr>
                <w:b/>
                <w:sz w:val="11"/>
              </w:rPr>
              <w:t>Implicit / explicit</w:t>
            </w:r>
          </w:p>
        </w:tc>
        <w:tc>
          <w:tcPr>
            <w:tcW w:type="dxa" w:w="1563"/>
            <w:vAlign w:val="center"/>
          </w:tcPr>
          <w:p>
            <w:pPr>
              <w:spacing w:after="0" w:before="0" w:line="240" w:lineRule="auto"/>
            </w:pPr>
            <w:r>
              <w:rPr>
                <w:b/>
                <w:sz w:val="11"/>
              </w:rPr>
              <w:t>Incremental RSS explicit / implicit (MiB)</w:t>
            </w:r>
          </w:p>
        </w:tc>
        <w:tc>
          <w:tcPr>
            <w:tcW w:type="dxa" w:w="1566"/>
            <w:vAlign w:val="center"/>
          </w:tcPr>
          <w:p>
            <w:pPr>
              <w:spacing w:after="0" w:before="0" w:line="240" w:lineRule="auto"/>
            </w:pPr>
            <w:r>
              <w:rPr>
                <w:b/>
                <w:sz w:val="11"/>
              </w:rPr>
              <w:t>Qualified time / memory preference</w:t>
            </w:r>
          </w:p>
        </w:tc>
      </w:tr>
      <w:tr>
        <w:tc>
          <w:tcPr>
            <w:tcW w:type="dxa" w:w="1563"/>
            <w:vAlign w:val="center"/>
          </w:tcPr>
          <w:p>
            <w:pPr>
              <w:spacing w:after="0" w:before="0" w:line="240" w:lineRule="auto"/>
            </w:pPr>
            <w:r>
              <w:rPr>
                <w:b w:val="0"/>
                <w:sz w:val="11"/>
              </w:rPr>
              <w:t>CPU</w:t>
            </w:r>
          </w:p>
        </w:tc>
        <w:tc>
          <w:tcPr>
            <w:tcW w:type="dxa" w:w="1563"/>
            <w:vAlign w:val="center"/>
          </w:tcPr>
          <w:p>
            <w:pPr>
              <w:spacing w:after="0" w:before="0" w:line="240" w:lineRule="auto"/>
            </w:pPr>
            <w:r>
              <w:rPr>
                <w:b w:val="0"/>
                <w:sz w:val="11"/>
              </w:rPr>
              <w:t>1.999</w:t>
            </w:r>
          </w:p>
        </w:tc>
        <w:tc>
          <w:tcPr>
            <w:tcW w:type="dxa" w:w="1563"/>
            <w:vAlign w:val="center"/>
          </w:tcPr>
          <w:p>
            <w:pPr>
              <w:spacing w:after="0" w:before="0" w:line="240" w:lineRule="auto"/>
            </w:pPr>
            <w:r>
              <w:rPr>
                <w:b w:val="0"/>
                <w:sz w:val="11"/>
              </w:rPr>
              <w:t>0.292</w:t>
            </w:r>
          </w:p>
        </w:tc>
        <w:tc>
          <w:tcPr>
            <w:tcW w:type="dxa" w:w="1563"/>
            <w:vAlign w:val="center"/>
          </w:tcPr>
          <w:p>
            <w:pPr>
              <w:spacing w:after="0" w:before="0" w:line="240" w:lineRule="auto"/>
            </w:pPr>
            <w:r>
              <w:rPr>
                <w:b w:val="0"/>
                <w:sz w:val="11"/>
              </w:rPr>
              <w:t>0.938</w:t>
            </w:r>
          </w:p>
        </w:tc>
        <w:tc>
          <w:tcPr>
            <w:tcW w:type="dxa" w:w="1563"/>
            <w:vAlign w:val="center"/>
          </w:tcPr>
          <w:p>
            <w:pPr>
              <w:spacing w:after="0" w:before="0" w:line="240" w:lineRule="auto"/>
            </w:pPr>
            <w:r>
              <w:rPr>
                <w:b w:val="0"/>
                <w:sz w:val="11"/>
              </w:rPr>
              <w:t>3.21</w:t>
            </w:r>
          </w:p>
        </w:tc>
        <w:tc>
          <w:tcPr>
            <w:tcW w:type="dxa" w:w="1563"/>
            <w:vAlign w:val="center"/>
          </w:tcPr>
          <w:p>
            <w:pPr>
              <w:spacing w:after="0" w:before="0" w:line="240" w:lineRule="auto"/>
            </w:pPr>
            <w:r>
              <w:rPr>
                <w:b w:val="0"/>
                <w:sz w:val="11"/>
              </w:rPr>
              <w:t>32.79 / 17.23</w:t>
            </w:r>
          </w:p>
        </w:tc>
        <w:tc>
          <w:tcPr>
            <w:tcW w:type="dxa" w:w="1566"/>
            <w:vAlign w:val="center"/>
          </w:tcPr>
          <w:p>
            <w:pPr>
              <w:spacing w:after="0" w:before="0" w:line="240" w:lineRule="auto"/>
            </w:pPr>
            <w:r>
              <w:rPr>
                <w:b w:val="0"/>
                <w:sz w:val="11"/>
              </w:rPr>
              <w:t>explicit / implicit</w:t>
            </w:r>
          </w:p>
        </w:tc>
      </w:tr>
      <w:tr>
        <w:tc>
          <w:tcPr>
            <w:tcW w:type="dxa" w:w="1563"/>
            <w:vAlign w:val="center"/>
          </w:tcPr>
          <w:p>
            <w:pPr>
              <w:spacing w:after="0" w:before="0" w:line="240" w:lineRule="auto"/>
            </w:pPr>
            <w:r>
              <w:rPr>
                <w:b w:val="0"/>
                <w:sz w:val="11"/>
              </w:rPr>
              <w:t>CUDA</w:t>
            </w:r>
          </w:p>
        </w:tc>
        <w:tc>
          <w:tcPr>
            <w:tcW w:type="dxa" w:w="1563"/>
            <w:vAlign w:val="center"/>
          </w:tcPr>
          <w:p>
            <w:pPr>
              <w:spacing w:after="0" w:before="0" w:line="240" w:lineRule="auto"/>
            </w:pPr>
            <w:r>
              <w:rPr>
                <w:b w:val="0"/>
                <w:sz w:val="11"/>
              </w:rPr>
              <w:t>1.999</w:t>
            </w:r>
          </w:p>
        </w:tc>
        <w:tc>
          <w:tcPr>
            <w:tcW w:type="dxa" w:w="1563"/>
            <w:vAlign w:val="center"/>
          </w:tcPr>
          <w:p>
            <w:pPr>
              <w:spacing w:after="0" w:before="0" w:line="240" w:lineRule="auto"/>
            </w:pPr>
            <w:r>
              <w:rPr>
                <w:b w:val="0"/>
                <w:sz w:val="11"/>
              </w:rPr>
              <w:t>0.304</w:t>
            </w:r>
          </w:p>
        </w:tc>
        <w:tc>
          <w:tcPr>
            <w:tcW w:type="dxa" w:w="1563"/>
            <w:vAlign w:val="center"/>
          </w:tcPr>
          <w:p>
            <w:pPr>
              <w:spacing w:after="0" w:before="0" w:line="240" w:lineRule="auto"/>
            </w:pPr>
            <w:r>
              <w:rPr>
                <w:b w:val="0"/>
                <w:sz w:val="11"/>
              </w:rPr>
              <w:t>0.302</w:t>
            </w:r>
          </w:p>
        </w:tc>
        <w:tc>
          <w:tcPr>
            <w:tcW w:type="dxa" w:w="1563"/>
            <w:vAlign w:val="center"/>
          </w:tcPr>
          <w:p>
            <w:pPr>
              <w:spacing w:after="0" w:before="0" w:line="240" w:lineRule="auto"/>
            </w:pPr>
            <w:r>
              <w:rPr>
                <w:b w:val="0"/>
                <w:sz w:val="11"/>
              </w:rPr>
              <w:t>0.993</w:t>
            </w:r>
          </w:p>
        </w:tc>
        <w:tc>
          <w:tcPr>
            <w:tcW w:type="dxa" w:w="1563"/>
            <w:vAlign w:val="center"/>
          </w:tcPr>
          <w:p>
            <w:pPr>
              <w:spacing w:after="0" w:before="0" w:line="240" w:lineRule="auto"/>
            </w:pPr>
            <w:r>
              <w:rPr>
                <w:b w:val="0"/>
                <w:sz w:val="11"/>
              </w:rPr>
              <w:t>376.5 / 376.5</w:t>
            </w:r>
          </w:p>
        </w:tc>
        <w:tc>
          <w:tcPr>
            <w:tcW w:type="dxa" w:w="1566"/>
            <w:vAlign w:val="center"/>
          </w:tcPr>
          <w:p>
            <w:pPr>
              <w:spacing w:after="0" w:before="0" w:line="240" w:lineRule="auto"/>
            </w:pPr>
            <w:r>
              <w:rPr>
                <w:b w:val="0"/>
                <w:sz w:val="11"/>
              </w:rPr>
              <w:t>implicit / explicit</w:t>
            </w:r>
          </w:p>
        </w:tc>
      </w:tr>
      <w:tr>
        <w:tc>
          <w:tcPr>
            <w:tcW w:type="dxa" w:w="1563"/>
            <w:vAlign w:val="center"/>
          </w:tcPr>
          <w:p>
            <w:pPr>
              <w:spacing w:after="0" w:before="0" w:line="240" w:lineRule="auto"/>
            </w:pPr>
            <w:r>
              <w:rPr>
                <w:b w:val="0"/>
                <w:sz w:val="11"/>
              </w:rPr>
              <w:t>CPU</w:t>
            </w:r>
          </w:p>
        </w:tc>
        <w:tc>
          <w:tcPr>
            <w:tcW w:type="dxa" w:w="1563"/>
            <w:vAlign w:val="center"/>
          </w:tcPr>
          <w:p>
            <w:pPr>
              <w:spacing w:after="0" w:before="0" w:line="240" w:lineRule="auto"/>
            </w:pPr>
            <w:r>
              <w:rPr>
                <w:b w:val="0"/>
                <w:sz w:val="11"/>
              </w:rPr>
              <w:t>3.998</w:t>
            </w:r>
          </w:p>
        </w:tc>
        <w:tc>
          <w:tcPr>
            <w:tcW w:type="dxa" w:w="1563"/>
            <w:vAlign w:val="center"/>
          </w:tcPr>
          <w:p>
            <w:pPr>
              <w:spacing w:after="0" w:before="0" w:line="240" w:lineRule="auto"/>
            </w:pPr>
            <w:r>
              <w:rPr>
                <w:b w:val="0"/>
                <w:sz w:val="11"/>
              </w:rPr>
              <w:t>0.565</w:t>
            </w:r>
          </w:p>
        </w:tc>
        <w:tc>
          <w:tcPr>
            <w:tcW w:type="dxa" w:w="1563"/>
            <w:vAlign w:val="center"/>
          </w:tcPr>
          <w:p>
            <w:pPr>
              <w:spacing w:after="0" w:before="0" w:line="240" w:lineRule="auto"/>
            </w:pPr>
            <w:r>
              <w:rPr>
                <w:b w:val="0"/>
                <w:sz w:val="11"/>
              </w:rPr>
              <w:t>1.16</w:t>
            </w:r>
          </w:p>
        </w:tc>
        <w:tc>
          <w:tcPr>
            <w:tcW w:type="dxa" w:w="1563"/>
            <w:vAlign w:val="center"/>
          </w:tcPr>
          <w:p>
            <w:pPr>
              <w:spacing w:after="0" w:before="0" w:line="240" w:lineRule="auto"/>
            </w:pPr>
            <w:r>
              <w:rPr>
                <w:b w:val="0"/>
                <w:sz w:val="11"/>
              </w:rPr>
              <w:t>2.06</w:t>
            </w:r>
          </w:p>
        </w:tc>
        <w:tc>
          <w:tcPr>
            <w:tcW w:type="dxa" w:w="1563"/>
            <w:vAlign w:val="center"/>
          </w:tcPr>
          <w:p>
            <w:pPr>
              <w:spacing w:after="0" w:before="0" w:line="240" w:lineRule="auto"/>
            </w:pPr>
            <w:r>
              <w:rPr>
                <w:b w:val="0"/>
                <w:sz w:val="11"/>
              </w:rPr>
              <w:t>46.84 / 25.23</w:t>
            </w:r>
          </w:p>
        </w:tc>
        <w:tc>
          <w:tcPr>
            <w:tcW w:type="dxa" w:w="1566"/>
            <w:vAlign w:val="center"/>
          </w:tcPr>
          <w:p>
            <w:pPr>
              <w:spacing w:after="0" w:before="0" w:line="240" w:lineRule="auto"/>
            </w:pPr>
            <w:r>
              <w:rPr>
                <w:b w:val="0"/>
                <w:sz w:val="11"/>
              </w:rPr>
              <w:t>explicit / implicit</w:t>
            </w:r>
          </w:p>
        </w:tc>
      </w:tr>
      <w:tr>
        <w:tc>
          <w:tcPr>
            <w:tcW w:type="dxa" w:w="1563"/>
            <w:vAlign w:val="center"/>
          </w:tcPr>
          <w:p>
            <w:pPr>
              <w:spacing w:after="0" w:before="0" w:line="240" w:lineRule="auto"/>
            </w:pPr>
            <w:r>
              <w:rPr>
                <w:b w:val="0"/>
                <w:sz w:val="11"/>
              </w:rPr>
              <w:t>CUDA</w:t>
            </w:r>
          </w:p>
        </w:tc>
        <w:tc>
          <w:tcPr>
            <w:tcW w:type="dxa" w:w="1563"/>
            <w:vAlign w:val="center"/>
          </w:tcPr>
          <w:p>
            <w:pPr>
              <w:spacing w:after="0" w:before="0" w:line="240" w:lineRule="auto"/>
            </w:pPr>
            <w:r>
              <w:rPr>
                <w:b w:val="0"/>
                <w:sz w:val="11"/>
              </w:rPr>
              <w:t>3.998</w:t>
            </w:r>
          </w:p>
        </w:tc>
        <w:tc>
          <w:tcPr>
            <w:tcW w:type="dxa" w:w="1563"/>
            <w:vAlign w:val="center"/>
          </w:tcPr>
          <w:p>
            <w:pPr>
              <w:spacing w:after="0" w:before="0" w:line="240" w:lineRule="auto"/>
            </w:pPr>
            <w:r>
              <w:rPr>
                <w:b w:val="0"/>
                <w:sz w:val="11"/>
              </w:rPr>
              <w:t>0.344</w:t>
            </w:r>
          </w:p>
        </w:tc>
        <w:tc>
          <w:tcPr>
            <w:tcW w:type="dxa" w:w="1563"/>
            <w:vAlign w:val="center"/>
          </w:tcPr>
          <w:p>
            <w:pPr>
              <w:spacing w:after="0" w:before="0" w:line="240" w:lineRule="auto"/>
            </w:pPr>
            <w:r>
              <w:rPr>
                <w:b w:val="0"/>
                <w:sz w:val="11"/>
              </w:rPr>
              <w:t>0.339</w:t>
            </w:r>
          </w:p>
        </w:tc>
        <w:tc>
          <w:tcPr>
            <w:tcW w:type="dxa" w:w="1563"/>
            <w:vAlign w:val="center"/>
          </w:tcPr>
          <w:p>
            <w:pPr>
              <w:spacing w:after="0" w:before="0" w:line="240" w:lineRule="auto"/>
            </w:pPr>
            <w:r>
              <w:rPr>
                <w:b w:val="0"/>
                <w:sz w:val="11"/>
              </w:rPr>
              <w:t>0.985</w:t>
            </w:r>
          </w:p>
        </w:tc>
        <w:tc>
          <w:tcPr>
            <w:tcW w:type="dxa" w:w="1563"/>
            <w:vAlign w:val="center"/>
          </w:tcPr>
          <w:p>
            <w:pPr>
              <w:spacing w:after="0" w:before="0" w:line="240" w:lineRule="auto"/>
            </w:pPr>
            <w:r>
              <w:rPr>
                <w:b w:val="0"/>
                <w:sz w:val="11"/>
              </w:rPr>
              <w:t>384.2 / 384.5</w:t>
            </w:r>
          </w:p>
        </w:tc>
        <w:tc>
          <w:tcPr>
            <w:tcW w:type="dxa" w:w="1566"/>
            <w:vAlign w:val="center"/>
          </w:tcPr>
          <w:p>
            <w:pPr>
              <w:spacing w:after="0" w:before="0" w:line="240" w:lineRule="auto"/>
            </w:pPr>
            <w:r>
              <w:rPr>
                <w:b w:val="0"/>
                <w:sz w:val="11"/>
              </w:rPr>
              <w:t>implicit / explicit</w:t>
            </w:r>
          </w:p>
        </w:tc>
      </w:tr>
      <w:tr>
        <w:tc>
          <w:tcPr>
            <w:tcW w:type="dxa" w:w="1563"/>
            <w:vAlign w:val="center"/>
          </w:tcPr>
          <w:p>
            <w:pPr>
              <w:spacing w:after="0" w:before="0" w:line="240" w:lineRule="auto"/>
            </w:pPr>
            <w:r>
              <w:rPr>
                <w:b w:val="0"/>
                <w:sz w:val="11"/>
              </w:rPr>
              <w:t>CPU</w:t>
            </w:r>
          </w:p>
        </w:tc>
        <w:tc>
          <w:tcPr>
            <w:tcW w:type="dxa" w:w="1563"/>
            <w:vAlign w:val="center"/>
          </w:tcPr>
          <w:p>
            <w:pPr>
              <w:spacing w:after="0" w:before="0" w:line="240" w:lineRule="auto"/>
            </w:pPr>
            <w:r>
              <w:rPr>
                <w:b w:val="0"/>
                <w:sz w:val="11"/>
              </w:rPr>
              <w:t>8.003</w:t>
            </w:r>
          </w:p>
        </w:tc>
        <w:tc>
          <w:tcPr>
            <w:tcW w:type="dxa" w:w="1563"/>
            <w:vAlign w:val="center"/>
          </w:tcPr>
          <w:p>
            <w:pPr>
              <w:spacing w:after="0" w:before="0" w:line="240" w:lineRule="auto"/>
            </w:pPr>
            <w:r>
              <w:rPr>
                <w:b w:val="0"/>
                <w:sz w:val="11"/>
              </w:rPr>
              <w:t>1.1</w:t>
            </w:r>
          </w:p>
        </w:tc>
        <w:tc>
          <w:tcPr>
            <w:tcW w:type="dxa" w:w="1563"/>
            <w:vAlign w:val="center"/>
          </w:tcPr>
          <w:p>
            <w:pPr>
              <w:spacing w:after="0" w:before="0" w:line="240" w:lineRule="auto"/>
            </w:pPr>
            <w:r>
              <w:rPr>
                <w:b w:val="0"/>
                <w:sz w:val="11"/>
              </w:rPr>
              <w:t>1.63</w:t>
            </w:r>
          </w:p>
        </w:tc>
        <w:tc>
          <w:tcPr>
            <w:tcW w:type="dxa" w:w="1563"/>
            <w:vAlign w:val="center"/>
          </w:tcPr>
          <w:p>
            <w:pPr>
              <w:spacing w:after="0" w:before="0" w:line="240" w:lineRule="auto"/>
            </w:pPr>
            <w:r>
              <w:rPr>
                <w:b w:val="0"/>
                <w:sz w:val="11"/>
              </w:rPr>
              <w:t>1.48</w:t>
            </w:r>
          </w:p>
        </w:tc>
        <w:tc>
          <w:tcPr>
            <w:tcW w:type="dxa" w:w="1563"/>
            <w:vAlign w:val="center"/>
          </w:tcPr>
          <w:p>
            <w:pPr>
              <w:spacing w:after="0" w:before="0" w:line="240" w:lineRule="auto"/>
            </w:pPr>
            <w:r>
              <w:rPr>
                <w:b w:val="0"/>
                <w:sz w:val="11"/>
              </w:rPr>
              <w:t>80.83 / 56.84</w:t>
            </w:r>
          </w:p>
        </w:tc>
        <w:tc>
          <w:tcPr>
            <w:tcW w:type="dxa" w:w="1566"/>
            <w:vAlign w:val="center"/>
          </w:tcPr>
          <w:p>
            <w:pPr>
              <w:spacing w:after="0" w:before="0" w:line="240" w:lineRule="auto"/>
            </w:pPr>
            <w:r>
              <w:rPr>
                <w:b w:val="0"/>
                <w:sz w:val="11"/>
              </w:rPr>
              <w:t>explicit / implicit</w:t>
            </w:r>
          </w:p>
        </w:tc>
      </w:tr>
      <w:tr>
        <w:tc>
          <w:tcPr>
            <w:tcW w:type="dxa" w:w="1563"/>
            <w:vAlign w:val="center"/>
          </w:tcPr>
          <w:p>
            <w:pPr>
              <w:spacing w:after="0" w:before="0" w:line="240" w:lineRule="auto"/>
            </w:pPr>
            <w:r>
              <w:rPr>
                <w:b w:val="0"/>
                <w:sz w:val="11"/>
              </w:rPr>
              <w:t>CUDA</w:t>
            </w:r>
          </w:p>
        </w:tc>
        <w:tc>
          <w:tcPr>
            <w:tcW w:type="dxa" w:w="1563"/>
            <w:vAlign w:val="center"/>
          </w:tcPr>
          <w:p>
            <w:pPr>
              <w:spacing w:after="0" w:before="0" w:line="240" w:lineRule="auto"/>
            </w:pPr>
            <w:r>
              <w:rPr>
                <w:b w:val="0"/>
                <w:sz w:val="11"/>
              </w:rPr>
              <w:t>8.003</w:t>
            </w:r>
          </w:p>
        </w:tc>
        <w:tc>
          <w:tcPr>
            <w:tcW w:type="dxa" w:w="1563"/>
            <w:vAlign w:val="center"/>
          </w:tcPr>
          <w:p>
            <w:pPr>
              <w:spacing w:after="0" w:before="0" w:line="240" w:lineRule="auto"/>
            </w:pPr>
            <w:r>
              <w:rPr>
                <w:b w:val="0"/>
                <w:sz w:val="11"/>
              </w:rPr>
              <w:t>0.419</w:t>
            </w:r>
          </w:p>
        </w:tc>
        <w:tc>
          <w:tcPr>
            <w:tcW w:type="dxa" w:w="1563"/>
            <w:vAlign w:val="center"/>
          </w:tcPr>
          <w:p>
            <w:pPr>
              <w:spacing w:after="0" w:before="0" w:line="240" w:lineRule="auto"/>
            </w:pPr>
            <w:r>
              <w:rPr>
                <w:b w:val="0"/>
                <w:sz w:val="11"/>
              </w:rPr>
              <w:t>0.416</w:t>
            </w:r>
          </w:p>
        </w:tc>
        <w:tc>
          <w:tcPr>
            <w:tcW w:type="dxa" w:w="1563"/>
            <w:vAlign w:val="center"/>
          </w:tcPr>
          <w:p>
            <w:pPr>
              <w:spacing w:after="0" w:before="0" w:line="240" w:lineRule="auto"/>
            </w:pPr>
            <w:r>
              <w:rPr>
                <w:b w:val="0"/>
                <w:sz w:val="11"/>
              </w:rPr>
              <w:t>0.993</w:t>
            </w:r>
          </w:p>
        </w:tc>
        <w:tc>
          <w:tcPr>
            <w:tcW w:type="dxa" w:w="1563"/>
            <w:vAlign w:val="center"/>
          </w:tcPr>
          <w:p>
            <w:pPr>
              <w:spacing w:after="0" w:before="0" w:line="240" w:lineRule="auto"/>
            </w:pPr>
            <w:r>
              <w:rPr>
                <w:b w:val="0"/>
                <w:sz w:val="11"/>
              </w:rPr>
              <w:t>410.2 / 410.3</w:t>
            </w:r>
          </w:p>
        </w:tc>
        <w:tc>
          <w:tcPr>
            <w:tcW w:type="dxa" w:w="1566"/>
            <w:vAlign w:val="center"/>
          </w:tcPr>
          <w:p>
            <w:pPr>
              <w:spacing w:after="0" w:before="0" w:line="240" w:lineRule="auto"/>
            </w:pPr>
            <w:r>
              <w:rPr>
                <w:b w:val="0"/>
                <w:sz w:val="11"/>
              </w:rPr>
              <w:t>implicit / explicit</w:t>
            </w:r>
          </w:p>
        </w:tc>
      </w:tr>
      <w:tr>
        <w:tc>
          <w:tcPr>
            <w:tcW w:type="dxa" w:w="1563"/>
            <w:vAlign w:val="center"/>
          </w:tcPr>
          <w:p>
            <w:pPr>
              <w:spacing w:after="0" w:before="0" w:line="240" w:lineRule="auto"/>
            </w:pPr>
            <w:r>
              <w:rPr>
                <w:b w:val="0"/>
                <w:sz w:val="11"/>
              </w:rPr>
              <w:t>CPU</w:t>
            </w:r>
          </w:p>
        </w:tc>
        <w:tc>
          <w:tcPr>
            <w:tcW w:type="dxa" w:w="1563"/>
            <w:vAlign w:val="center"/>
          </w:tcPr>
          <w:p>
            <w:pPr>
              <w:spacing w:after="0" w:before="0" w:line="240" w:lineRule="auto"/>
            </w:pPr>
            <w:r>
              <w:rPr>
                <w:b w:val="0"/>
                <w:sz w:val="11"/>
              </w:rPr>
              <w:t>16</w:t>
            </w:r>
          </w:p>
        </w:tc>
        <w:tc>
          <w:tcPr>
            <w:tcW w:type="dxa" w:w="1563"/>
            <w:vAlign w:val="center"/>
          </w:tcPr>
          <w:p>
            <w:pPr>
              <w:spacing w:after="0" w:before="0" w:line="240" w:lineRule="auto"/>
            </w:pPr>
            <w:r>
              <w:rPr>
                <w:b w:val="0"/>
                <w:sz w:val="11"/>
              </w:rPr>
              <w:t>2.16</w:t>
            </w:r>
          </w:p>
        </w:tc>
        <w:tc>
          <w:tcPr>
            <w:tcW w:type="dxa" w:w="1563"/>
            <w:vAlign w:val="center"/>
          </w:tcPr>
          <w:p>
            <w:pPr>
              <w:spacing w:after="0" w:before="0" w:line="240" w:lineRule="auto"/>
            </w:pPr>
            <w:r>
              <w:rPr>
                <w:b w:val="0"/>
                <w:sz w:val="11"/>
              </w:rPr>
              <w:t>2.69</w:t>
            </w:r>
          </w:p>
        </w:tc>
        <w:tc>
          <w:tcPr>
            <w:tcW w:type="dxa" w:w="1563"/>
            <w:vAlign w:val="center"/>
          </w:tcPr>
          <w:p>
            <w:pPr>
              <w:spacing w:after="0" w:before="0" w:line="240" w:lineRule="auto"/>
            </w:pPr>
            <w:r>
              <w:rPr>
                <w:b w:val="0"/>
                <w:sz w:val="11"/>
              </w:rPr>
              <w:t>1.25</w:t>
            </w:r>
          </w:p>
        </w:tc>
        <w:tc>
          <w:tcPr>
            <w:tcW w:type="dxa" w:w="1563"/>
            <w:vAlign w:val="center"/>
          </w:tcPr>
          <w:p>
            <w:pPr>
              <w:spacing w:after="0" w:before="0" w:line="240" w:lineRule="auto"/>
            </w:pPr>
            <w:r>
              <w:rPr>
                <w:b w:val="0"/>
                <w:sz w:val="11"/>
              </w:rPr>
              <w:t>136.8 / 85.24</w:t>
            </w:r>
          </w:p>
        </w:tc>
        <w:tc>
          <w:tcPr>
            <w:tcW w:type="dxa" w:w="1566"/>
            <w:vAlign w:val="center"/>
          </w:tcPr>
          <w:p>
            <w:pPr>
              <w:spacing w:after="0" w:before="0" w:line="240" w:lineRule="auto"/>
            </w:pPr>
            <w:r>
              <w:rPr>
                <w:b w:val="0"/>
                <w:sz w:val="11"/>
              </w:rPr>
              <w:t>explicit / implicit</w:t>
            </w:r>
          </w:p>
        </w:tc>
      </w:tr>
      <w:tr>
        <w:tc>
          <w:tcPr>
            <w:tcW w:type="dxa" w:w="1563"/>
            <w:vAlign w:val="center"/>
          </w:tcPr>
          <w:p>
            <w:pPr>
              <w:spacing w:after="0" w:before="0" w:line="240" w:lineRule="auto"/>
            </w:pPr>
            <w:r>
              <w:rPr>
                <w:b w:val="0"/>
                <w:sz w:val="11"/>
              </w:rPr>
              <w:t>CUDA</w:t>
            </w:r>
          </w:p>
        </w:tc>
        <w:tc>
          <w:tcPr>
            <w:tcW w:type="dxa" w:w="1563"/>
            <w:vAlign w:val="center"/>
          </w:tcPr>
          <w:p>
            <w:pPr>
              <w:spacing w:after="0" w:before="0" w:line="240" w:lineRule="auto"/>
            </w:pPr>
            <w:r>
              <w:rPr>
                <w:b w:val="0"/>
                <w:sz w:val="11"/>
              </w:rPr>
              <w:t>16</w:t>
            </w:r>
          </w:p>
        </w:tc>
        <w:tc>
          <w:tcPr>
            <w:tcW w:type="dxa" w:w="1563"/>
            <w:vAlign w:val="center"/>
          </w:tcPr>
          <w:p>
            <w:pPr>
              <w:spacing w:after="0" w:before="0" w:line="240" w:lineRule="auto"/>
            </w:pPr>
            <w:r>
              <w:rPr>
                <w:b w:val="0"/>
                <w:sz w:val="11"/>
              </w:rPr>
              <w:t>0.578</w:t>
            </w:r>
          </w:p>
        </w:tc>
        <w:tc>
          <w:tcPr>
            <w:tcW w:type="dxa" w:w="1563"/>
            <w:vAlign w:val="center"/>
          </w:tcPr>
          <w:p>
            <w:pPr>
              <w:spacing w:after="0" w:before="0" w:line="240" w:lineRule="auto"/>
            </w:pPr>
            <w:r>
              <w:rPr>
                <w:b w:val="0"/>
                <w:sz w:val="11"/>
              </w:rPr>
              <w:t>0.573</w:t>
            </w:r>
          </w:p>
        </w:tc>
        <w:tc>
          <w:tcPr>
            <w:tcW w:type="dxa" w:w="1563"/>
            <w:vAlign w:val="center"/>
          </w:tcPr>
          <w:p>
            <w:pPr>
              <w:spacing w:after="0" w:before="0" w:line="240" w:lineRule="auto"/>
            </w:pPr>
            <w:r>
              <w:rPr>
                <w:b w:val="0"/>
                <w:sz w:val="11"/>
              </w:rPr>
              <w:t>0.991</w:t>
            </w:r>
          </w:p>
        </w:tc>
        <w:tc>
          <w:tcPr>
            <w:tcW w:type="dxa" w:w="1563"/>
            <w:vAlign w:val="center"/>
          </w:tcPr>
          <w:p>
            <w:pPr>
              <w:spacing w:after="0" w:before="0" w:line="240" w:lineRule="auto"/>
            </w:pPr>
            <w:r>
              <w:rPr>
                <w:b w:val="0"/>
                <w:sz w:val="11"/>
              </w:rPr>
              <w:t>446.6 / 446.6</w:t>
            </w:r>
          </w:p>
        </w:tc>
        <w:tc>
          <w:tcPr>
            <w:tcW w:type="dxa" w:w="1566"/>
            <w:vAlign w:val="center"/>
          </w:tcPr>
          <w:p>
            <w:pPr>
              <w:spacing w:after="0" w:before="0" w:line="240" w:lineRule="auto"/>
            </w:pPr>
            <w:r>
              <w:rPr>
                <w:b w:val="0"/>
                <w:sz w:val="11"/>
              </w:rPr>
              <w:t>implicit / implicit</w:t>
            </w:r>
          </w:p>
        </w:tc>
      </w:tr>
      <w:tr>
        <w:tc>
          <w:tcPr>
            <w:tcW w:type="dxa" w:w="1563"/>
            <w:vAlign w:val="center"/>
          </w:tcPr>
          <w:p>
            <w:pPr>
              <w:spacing w:after="0" w:before="0" w:line="240" w:lineRule="auto"/>
            </w:pPr>
            <w:r>
              <w:rPr>
                <w:b w:val="0"/>
                <w:sz w:val="11"/>
              </w:rPr>
              <w:t>CPU</w:t>
            </w:r>
          </w:p>
        </w:tc>
        <w:tc>
          <w:tcPr>
            <w:tcW w:type="dxa" w:w="1563"/>
            <w:vAlign w:val="center"/>
          </w:tcPr>
          <w:p>
            <w:pPr>
              <w:spacing w:after="0" w:before="0" w:line="240" w:lineRule="auto"/>
            </w:pPr>
            <w:r>
              <w:rPr>
                <w:b w:val="0"/>
                <w:sz w:val="11"/>
              </w:rPr>
              <w:t>32</w:t>
            </w:r>
          </w:p>
        </w:tc>
        <w:tc>
          <w:tcPr>
            <w:tcW w:type="dxa" w:w="1563"/>
            <w:vAlign w:val="center"/>
          </w:tcPr>
          <w:p>
            <w:pPr>
              <w:spacing w:after="0" w:before="0" w:line="240" w:lineRule="auto"/>
            </w:pPr>
            <w:r>
              <w:rPr>
                <w:b w:val="0"/>
                <w:sz w:val="11"/>
              </w:rPr>
              <w:t>4.98</w:t>
            </w:r>
          </w:p>
        </w:tc>
        <w:tc>
          <w:tcPr>
            <w:tcW w:type="dxa" w:w="1563"/>
            <w:vAlign w:val="center"/>
          </w:tcPr>
          <w:p>
            <w:pPr>
              <w:spacing w:after="0" w:before="0" w:line="240" w:lineRule="auto"/>
            </w:pPr>
            <w:r>
              <w:rPr>
                <w:b w:val="0"/>
                <w:sz w:val="11"/>
              </w:rPr>
              <w:t>4.97</w:t>
            </w:r>
          </w:p>
        </w:tc>
        <w:tc>
          <w:tcPr>
            <w:tcW w:type="dxa" w:w="1563"/>
            <w:vAlign w:val="center"/>
          </w:tcPr>
          <w:p>
            <w:pPr>
              <w:spacing w:after="0" w:before="0" w:line="240" w:lineRule="auto"/>
            </w:pPr>
            <w:r>
              <w:rPr>
                <w:b w:val="0"/>
                <w:sz w:val="11"/>
              </w:rPr>
              <w:t>0.999</w:t>
            </w:r>
          </w:p>
        </w:tc>
        <w:tc>
          <w:tcPr>
            <w:tcW w:type="dxa" w:w="1563"/>
            <w:vAlign w:val="center"/>
          </w:tcPr>
          <w:p>
            <w:pPr>
              <w:spacing w:after="0" w:before="0" w:line="240" w:lineRule="auto"/>
            </w:pPr>
            <w:r>
              <w:rPr>
                <w:b w:val="0"/>
                <w:sz w:val="11"/>
              </w:rPr>
              <w:t>225.3 / 128.8</w:t>
            </w:r>
          </w:p>
        </w:tc>
        <w:tc>
          <w:tcPr>
            <w:tcW w:type="dxa" w:w="1566"/>
            <w:vAlign w:val="center"/>
          </w:tcPr>
          <w:p>
            <w:pPr>
              <w:spacing w:after="0" w:before="0" w:line="240" w:lineRule="auto"/>
            </w:pPr>
            <w:r>
              <w:rPr>
                <w:b w:val="0"/>
                <w:sz w:val="11"/>
              </w:rPr>
              <w:t>implicit / implicit</w:t>
            </w:r>
          </w:p>
        </w:tc>
      </w:tr>
      <w:tr>
        <w:tc>
          <w:tcPr>
            <w:tcW w:type="dxa" w:w="1563"/>
            <w:vAlign w:val="center"/>
          </w:tcPr>
          <w:p>
            <w:pPr>
              <w:spacing w:after="0" w:before="0" w:line="240" w:lineRule="auto"/>
            </w:pPr>
            <w:r>
              <w:rPr>
                <w:b w:val="0"/>
                <w:sz w:val="11"/>
              </w:rPr>
              <w:t>CUDA</w:t>
            </w:r>
          </w:p>
        </w:tc>
        <w:tc>
          <w:tcPr>
            <w:tcW w:type="dxa" w:w="1563"/>
            <w:vAlign w:val="center"/>
          </w:tcPr>
          <w:p>
            <w:pPr>
              <w:spacing w:after="0" w:before="0" w:line="240" w:lineRule="auto"/>
            </w:pPr>
            <w:r>
              <w:rPr>
                <w:b w:val="0"/>
                <w:sz w:val="11"/>
              </w:rPr>
              <w:t>32</w:t>
            </w:r>
          </w:p>
        </w:tc>
        <w:tc>
          <w:tcPr>
            <w:tcW w:type="dxa" w:w="1563"/>
            <w:vAlign w:val="center"/>
          </w:tcPr>
          <w:p>
            <w:pPr>
              <w:spacing w:after="0" w:before="0" w:line="240" w:lineRule="auto"/>
            </w:pPr>
            <w:r>
              <w:rPr>
                <w:b w:val="0"/>
                <w:sz w:val="11"/>
              </w:rPr>
              <w:t>0.897</w:t>
            </w:r>
          </w:p>
        </w:tc>
        <w:tc>
          <w:tcPr>
            <w:tcW w:type="dxa" w:w="1563"/>
            <w:vAlign w:val="center"/>
          </w:tcPr>
          <w:p>
            <w:pPr>
              <w:spacing w:after="0" w:before="0" w:line="240" w:lineRule="auto"/>
            </w:pPr>
            <w:r>
              <w:rPr>
                <w:b w:val="0"/>
                <w:sz w:val="11"/>
              </w:rPr>
              <w:t>0.89</w:t>
            </w:r>
          </w:p>
        </w:tc>
        <w:tc>
          <w:tcPr>
            <w:tcW w:type="dxa" w:w="1563"/>
            <w:vAlign w:val="center"/>
          </w:tcPr>
          <w:p>
            <w:pPr>
              <w:spacing w:after="0" w:before="0" w:line="240" w:lineRule="auto"/>
            </w:pPr>
            <w:r>
              <w:rPr>
                <w:b w:val="0"/>
                <w:sz w:val="11"/>
              </w:rPr>
              <w:t>0.992</w:t>
            </w:r>
          </w:p>
        </w:tc>
        <w:tc>
          <w:tcPr>
            <w:tcW w:type="dxa" w:w="1563"/>
            <w:vAlign w:val="center"/>
          </w:tcPr>
          <w:p>
            <w:pPr>
              <w:spacing w:after="0" w:before="0" w:line="240" w:lineRule="auto"/>
            </w:pPr>
            <w:r>
              <w:rPr>
                <w:b w:val="0"/>
                <w:sz w:val="11"/>
              </w:rPr>
              <w:t>485.5 / 497.7</w:t>
            </w:r>
          </w:p>
        </w:tc>
        <w:tc>
          <w:tcPr>
            <w:tcW w:type="dxa" w:w="1566"/>
            <w:vAlign w:val="center"/>
          </w:tcPr>
          <w:p>
            <w:pPr>
              <w:spacing w:after="0" w:before="0" w:line="240" w:lineRule="auto"/>
            </w:pPr>
            <w:r>
              <w:rPr>
                <w:b w:val="0"/>
                <w:sz w:val="11"/>
              </w:rPr>
              <w:t>implicit / explicit</w:t>
            </w:r>
          </w:p>
        </w:tc>
      </w:tr>
      <w:tr>
        <w:tc>
          <w:tcPr>
            <w:tcW w:type="dxa" w:w="1563"/>
            <w:vAlign w:val="center"/>
          </w:tcPr>
          <w:p>
            <w:pPr>
              <w:spacing w:after="0" w:before="0" w:line="240" w:lineRule="auto"/>
            </w:pPr>
            <w:r>
              <w:rPr>
                <w:b w:val="0"/>
                <w:sz w:val="11"/>
              </w:rPr>
              <w:t>CPU</w:t>
            </w:r>
          </w:p>
        </w:tc>
        <w:tc>
          <w:tcPr>
            <w:tcW w:type="dxa" w:w="1563"/>
            <w:vAlign w:val="center"/>
          </w:tcPr>
          <w:p>
            <w:pPr>
              <w:spacing w:after="0" w:before="0" w:line="240" w:lineRule="auto"/>
            </w:pPr>
            <w:r>
              <w:rPr>
                <w:b w:val="0"/>
                <w:sz w:val="11"/>
              </w:rPr>
              <w:t>64</w:t>
            </w:r>
          </w:p>
        </w:tc>
        <w:tc>
          <w:tcPr>
            <w:tcW w:type="dxa" w:w="1563"/>
            <w:vAlign w:val="center"/>
          </w:tcPr>
          <w:p>
            <w:pPr>
              <w:spacing w:after="0" w:before="0" w:line="240" w:lineRule="auto"/>
            </w:pPr>
            <w:r>
              <w:rPr>
                <w:b w:val="0"/>
                <w:sz w:val="11"/>
              </w:rPr>
              <w:t>9.3</w:t>
            </w:r>
          </w:p>
        </w:tc>
        <w:tc>
          <w:tcPr>
            <w:tcW w:type="dxa" w:w="1563"/>
            <w:vAlign w:val="center"/>
          </w:tcPr>
          <w:p>
            <w:pPr>
              <w:spacing w:after="0" w:before="0" w:line="240" w:lineRule="auto"/>
            </w:pPr>
            <w:r>
              <w:rPr>
                <w:b w:val="0"/>
                <w:sz w:val="11"/>
              </w:rPr>
              <w:t>9.36</w:t>
            </w:r>
          </w:p>
        </w:tc>
        <w:tc>
          <w:tcPr>
            <w:tcW w:type="dxa" w:w="1563"/>
            <w:vAlign w:val="center"/>
          </w:tcPr>
          <w:p>
            <w:pPr>
              <w:spacing w:after="0" w:before="0" w:line="240" w:lineRule="auto"/>
            </w:pPr>
            <w:r>
              <w:rPr>
                <w:b w:val="0"/>
                <w:sz w:val="11"/>
              </w:rPr>
              <w:t>1.01</w:t>
            </w:r>
          </w:p>
        </w:tc>
        <w:tc>
          <w:tcPr>
            <w:tcW w:type="dxa" w:w="1563"/>
            <w:vAlign w:val="center"/>
          </w:tcPr>
          <w:p>
            <w:pPr>
              <w:spacing w:after="0" w:before="0" w:line="240" w:lineRule="auto"/>
            </w:pPr>
            <w:r>
              <w:rPr>
                <w:b w:val="0"/>
                <w:sz w:val="11"/>
              </w:rPr>
              <w:t>427 / 261</w:t>
            </w:r>
          </w:p>
        </w:tc>
        <w:tc>
          <w:tcPr>
            <w:tcW w:type="dxa" w:w="1566"/>
            <w:vAlign w:val="center"/>
          </w:tcPr>
          <w:p>
            <w:pPr>
              <w:spacing w:after="0" w:before="0" w:line="240" w:lineRule="auto"/>
            </w:pPr>
            <w:r>
              <w:rPr>
                <w:b w:val="0"/>
                <w:sz w:val="11"/>
              </w:rPr>
              <w:t>explicit / implicit</w:t>
            </w:r>
          </w:p>
        </w:tc>
      </w:tr>
      <w:tr>
        <w:tc>
          <w:tcPr>
            <w:tcW w:type="dxa" w:w="1563"/>
            <w:vAlign w:val="center"/>
          </w:tcPr>
          <w:p>
            <w:pPr>
              <w:spacing w:after="0" w:before="0" w:line="240" w:lineRule="auto"/>
            </w:pPr>
            <w:r>
              <w:rPr>
                <w:b w:val="0"/>
                <w:sz w:val="11"/>
              </w:rPr>
              <w:t>CUDA</w:t>
            </w:r>
          </w:p>
        </w:tc>
        <w:tc>
          <w:tcPr>
            <w:tcW w:type="dxa" w:w="1563"/>
            <w:vAlign w:val="center"/>
          </w:tcPr>
          <w:p>
            <w:pPr>
              <w:spacing w:after="0" w:before="0" w:line="240" w:lineRule="auto"/>
            </w:pPr>
            <w:r>
              <w:rPr>
                <w:b w:val="0"/>
                <w:sz w:val="11"/>
              </w:rPr>
              <w:t>64</w:t>
            </w:r>
          </w:p>
        </w:tc>
        <w:tc>
          <w:tcPr>
            <w:tcW w:type="dxa" w:w="1563"/>
            <w:vAlign w:val="center"/>
          </w:tcPr>
          <w:p>
            <w:pPr>
              <w:spacing w:after="0" w:before="0" w:line="240" w:lineRule="auto"/>
            </w:pPr>
            <w:r>
              <w:rPr>
                <w:b w:val="0"/>
                <w:sz w:val="11"/>
              </w:rPr>
              <w:t>1.55</w:t>
            </w:r>
          </w:p>
        </w:tc>
        <w:tc>
          <w:tcPr>
            <w:tcW w:type="dxa" w:w="1563"/>
            <w:vAlign w:val="center"/>
          </w:tcPr>
          <w:p>
            <w:pPr>
              <w:spacing w:after="0" w:before="0" w:line="240" w:lineRule="auto"/>
            </w:pPr>
            <w:r>
              <w:rPr>
                <w:b w:val="0"/>
                <w:sz w:val="11"/>
              </w:rPr>
              <w:t>1.55</w:t>
            </w:r>
          </w:p>
        </w:tc>
        <w:tc>
          <w:tcPr>
            <w:tcW w:type="dxa" w:w="1563"/>
            <w:vAlign w:val="center"/>
          </w:tcPr>
          <w:p>
            <w:pPr>
              <w:spacing w:after="0" w:before="0" w:line="240" w:lineRule="auto"/>
            </w:pPr>
            <w:r>
              <w:rPr>
                <w:b w:val="0"/>
                <w:sz w:val="11"/>
              </w:rPr>
              <w:t>1</w:t>
            </w:r>
          </w:p>
        </w:tc>
        <w:tc>
          <w:tcPr>
            <w:tcW w:type="dxa" w:w="1563"/>
            <w:vAlign w:val="center"/>
          </w:tcPr>
          <w:p>
            <w:pPr>
              <w:spacing w:after="0" w:before="0" w:line="240" w:lineRule="auto"/>
            </w:pPr>
            <w:r>
              <w:rPr>
                <w:b w:val="0"/>
                <w:sz w:val="11"/>
              </w:rPr>
              <w:t>604.4 / 596.7</w:t>
            </w:r>
          </w:p>
        </w:tc>
        <w:tc>
          <w:tcPr>
            <w:tcW w:type="dxa" w:w="1566"/>
            <w:vAlign w:val="center"/>
          </w:tcPr>
          <w:p>
            <w:pPr>
              <w:spacing w:after="0" w:before="0" w:line="240" w:lineRule="auto"/>
            </w:pPr>
            <w:r>
              <w:rPr>
                <w:b w:val="0"/>
                <w:sz w:val="11"/>
              </w:rPr>
              <w:t>explicit / implicit</w:t>
            </w:r>
          </w:p>
        </w:tc>
      </w:tr>
    </w:tbl>
    <w:p>
      <w:pPr>
        <w:jc w:val="center"/>
      </w:pPr>
      <w:r/>
    </w:p>
    <w:p>
      <w:pPr>
        <w:keepNext/>
        <w:spacing w:before="0" w:after="0"/>
        <w:jc w:val="center"/>
      </w:pPr>
      <w:r>
        <w:drawing>
          <wp:inline>
            <wp:extent cx="5897880" cy="4627048"/>
            <wp:docPr id="5" name="Picture 5"/>
            <wp:cNvGraphicFramePr>
              <a:graphicFrameLocks noChangeAspect="1"/>
            </wp:cNvGraphicFramePr>
            <a:graphic>
              <a:graphicData uri="http://schemas.openxmlformats.org/drawingml/2006/picture">
                <pic:pic>
                  <pic:nvPicPr>
                    <pic:cNvPr id="0" name="Figure_S1_frozen_scaling.png"/>
                    <pic:cNvPicPr/>
                  </pic:nvPicPr>
                  <pic:blipFill>
                    <a:blip r:embed="rId12"/>
                    <a:stretch>
                      <a:fillRect/>
                    </a:stretch>
                  </pic:blipFill>
                  <pic:spPr>
                    <a:xfrm>
                      <a:off x="0" y="0"/>
                      <a:ext cx="5897880" cy="4627048"/>
                    </a:xfrm>
                    <a:prstGeom prst="rect"/>
                  </pic:spPr>
                </pic:pic>
              </a:graphicData>
            </a:graphic>
          </wp:inline>
        </w:drawing>
      </w:r>
    </w:p>
    <w:p>
      <w:pPr>
        <w:pStyle w:val="Caption"/>
        <w:keepNext w:val="0"/>
        <w:keepLines/>
      </w:pPr>
      <w:r>
        <w:t>Figure S1. Archived-release controlled one-factor SIMPLS scaling. Median total time and baseline-corrected complete-process peak RSS are shown across sample, predictor, response, component, requested-prefix, rank, class-count, and cross-covariance-size sweeps. Open points were outside predefined numerical tolerance and are excluded from speed claims. Each point summarizes three isolated runs; all 486 requested runs completed.</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2189"/>
        <w:gridCol w:w="2189"/>
        <w:gridCol w:w="2189"/>
        <w:gridCol w:w="2189"/>
        <w:gridCol w:w="2188"/>
      </w:tblGrid>
      <w:tr>
        <w:tc>
          <w:tcPr>
            <w:tcW w:type="dxa" w:w="2189"/>
            <w:vAlign w:val="center"/>
          </w:tcPr>
          <w:p>
            <w:pPr>
              <w:spacing w:before="0" w:after="0" w:line="240" w:lineRule="auto"/>
            </w:pPr>
            <w:r>
              <w:rPr>
                <w:b/>
                <w:sz w:val="12"/>
              </w:rPr>
              <w:t>Shape</w:t>
            </w:r>
          </w:p>
        </w:tc>
        <w:tc>
          <w:tcPr>
            <w:tcW w:type="dxa" w:w="2189"/>
            <w:vAlign w:val="center"/>
          </w:tcPr>
          <w:p>
            <w:pPr>
              <w:spacing w:before="0" w:after="0" w:line="240" w:lineRule="auto"/>
            </w:pPr>
            <w:r>
              <w:rPr>
                <w:b/>
                <w:sz w:val="12"/>
              </w:rPr>
              <w:t>n / p / q / A</w:t>
            </w:r>
          </w:p>
        </w:tc>
        <w:tc>
          <w:tcPr>
            <w:tcW w:type="dxa" w:w="2189"/>
            <w:vAlign w:val="center"/>
          </w:tcPr>
          <w:p>
            <w:pPr>
              <w:spacing w:before="0" w:after="0" w:line="240" w:lineRule="auto"/>
            </w:pPr>
            <w:r>
              <w:rPr>
                <w:b/>
                <w:sz w:val="12"/>
              </w:rPr>
              <w:t>CPU ratio</w:t>
            </w:r>
          </w:p>
        </w:tc>
        <w:tc>
          <w:tcPr>
            <w:tcW w:type="dxa" w:w="2189"/>
            <w:vAlign w:val="center"/>
          </w:tcPr>
          <w:p>
            <w:pPr>
              <w:spacing w:before="0" w:after="0" w:line="240" w:lineRule="auto"/>
            </w:pPr>
            <w:r>
              <w:rPr>
                <w:b/>
                <w:sz w:val="12"/>
              </w:rPr>
              <w:t>CUDA ratio</w:t>
            </w:r>
          </w:p>
        </w:tc>
        <w:tc>
          <w:tcPr>
            <w:tcW w:type="dxa" w:w="2188"/>
            <w:vAlign w:val="center"/>
          </w:tcPr>
          <w:p>
            <w:pPr>
              <w:spacing w:before="0" w:after="0" w:line="240" w:lineRule="auto"/>
            </w:pPr>
            <w:r>
              <w:rPr>
                <w:b/>
                <w:sz w:val="12"/>
              </w:rPr>
              <w:t>Interpretation</w:t>
            </w:r>
          </w:p>
        </w:tc>
      </w:tr>
      <w:tr>
        <w:tc>
          <w:tcPr>
            <w:tcW w:type="dxa" w:w="2189"/>
            <w:vAlign w:val="center"/>
          </w:tcPr>
          <w:p>
            <w:pPr>
              <w:spacing w:before="0" w:after="0" w:line="240" w:lineRule="auto"/>
            </w:pPr>
            <w:r>
              <w:rPr>
                <w:b w:val="0"/>
                <w:sz w:val="12"/>
              </w:rPr>
              <w:t>Wide</w:t>
            </w:r>
          </w:p>
        </w:tc>
        <w:tc>
          <w:tcPr>
            <w:tcW w:type="dxa" w:w="2189"/>
            <w:vAlign w:val="center"/>
          </w:tcPr>
          <w:p>
            <w:pPr>
              <w:spacing w:before="0" w:after="0" w:line="240" w:lineRule="auto"/>
            </w:pPr>
            <w:r>
              <w:rPr>
                <w:b w:val="0"/>
                <w:sz w:val="12"/>
              </w:rPr>
              <w:t>400 / 2000 / 20 / 10</w:t>
            </w:r>
          </w:p>
        </w:tc>
        <w:tc>
          <w:tcPr>
            <w:tcW w:type="dxa" w:w="2189"/>
            <w:vAlign w:val="center"/>
          </w:tcPr>
          <w:p>
            <w:pPr>
              <w:spacing w:before="0" w:after="0" w:line="240" w:lineRule="auto"/>
            </w:pPr>
            <w:r>
              <w:rPr>
                <w:b w:val="0"/>
                <w:sz w:val="12"/>
              </w:rPr>
              <w:t>1.18</w:t>
            </w:r>
          </w:p>
        </w:tc>
        <w:tc>
          <w:tcPr>
            <w:tcW w:type="dxa" w:w="2189"/>
            <w:vAlign w:val="center"/>
          </w:tcPr>
          <w:p>
            <w:pPr>
              <w:spacing w:before="0" w:after="0" w:line="240" w:lineRule="auto"/>
            </w:pPr>
            <w:r>
              <w:rPr>
                <w:b w:val="0"/>
                <w:sz w:val="12"/>
              </w:rPr>
              <w:t>0.93</w:t>
            </w:r>
          </w:p>
        </w:tc>
        <w:tc>
          <w:tcPr>
            <w:tcW w:type="dxa" w:w="2188"/>
            <w:vAlign w:val="center"/>
          </w:tcPr>
          <w:p>
            <w:pPr>
              <w:spacing w:before="0" w:after="0" w:line="240" w:lineRule="auto"/>
            </w:pPr>
            <w:r>
              <w:rPr>
                <w:b w:val="0"/>
                <w:sz w:val="12"/>
              </w:rPr>
              <w:t>Near parity</w:t>
            </w:r>
          </w:p>
        </w:tc>
      </w:tr>
      <w:tr>
        <w:tc>
          <w:tcPr>
            <w:tcW w:type="dxa" w:w="2189"/>
            <w:vAlign w:val="center"/>
          </w:tcPr>
          <w:p>
            <w:pPr>
              <w:spacing w:before="0" w:after="0" w:line="240" w:lineRule="auto"/>
            </w:pPr>
            <w:r>
              <w:rPr>
                <w:b w:val="0"/>
                <w:sz w:val="12"/>
              </w:rPr>
              <w:t>Tall-thin</w:t>
            </w:r>
          </w:p>
        </w:tc>
        <w:tc>
          <w:tcPr>
            <w:tcW w:type="dxa" w:w="2189"/>
            <w:vAlign w:val="center"/>
          </w:tcPr>
          <w:p>
            <w:pPr>
              <w:spacing w:before="0" w:after="0" w:line="240" w:lineRule="auto"/>
            </w:pPr>
            <w:r>
              <w:rPr>
                <w:b w:val="0"/>
                <w:sz w:val="12"/>
              </w:rPr>
              <w:t>5000 / 50 / 20 / 10</w:t>
            </w:r>
          </w:p>
        </w:tc>
        <w:tc>
          <w:tcPr>
            <w:tcW w:type="dxa" w:w="2189"/>
            <w:vAlign w:val="center"/>
          </w:tcPr>
          <w:p>
            <w:pPr>
              <w:spacing w:before="0" w:after="0" w:line="240" w:lineRule="auto"/>
            </w:pPr>
            <w:r>
              <w:rPr>
                <w:b w:val="0"/>
                <w:sz w:val="12"/>
              </w:rPr>
              <w:t>1.00</w:t>
            </w:r>
          </w:p>
        </w:tc>
        <w:tc>
          <w:tcPr>
            <w:tcW w:type="dxa" w:w="2189"/>
            <w:vAlign w:val="center"/>
          </w:tcPr>
          <w:p>
            <w:pPr>
              <w:spacing w:before="0" w:after="0" w:line="240" w:lineRule="auto"/>
            </w:pPr>
            <w:r>
              <w:rPr>
                <w:b w:val="0"/>
                <w:sz w:val="12"/>
              </w:rPr>
              <w:t>0.94</w:t>
            </w:r>
          </w:p>
        </w:tc>
        <w:tc>
          <w:tcPr>
            <w:tcW w:type="dxa" w:w="2188"/>
            <w:vAlign w:val="center"/>
          </w:tcPr>
          <w:p>
            <w:pPr>
              <w:spacing w:before="0" w:after="0" w:line="240" w:lineRule="auto"/>
            </w:pPr>
            <w:r>
              <w:rPr>
                <w:b w:val="0"/>
                <w:sz w:val="12"/>
              </w:rPr>
              <w:t>Near parity</w:t>
            </w:r>
          </w:p>
        </w:tc>
      </w:tr>
      <w:tr>
        <w:tc>
          <w:tcPr>
            <w:tcW w:type="dxa" w:w="2189"/>
            <w:vAlign w:val="center"/>
          </w:tcPr>
          <w:p>
            <w:pPr>
              <w:spacing w:before="0" w:after="0" w:line="240" w:lineRule="auto"/>
            </w:pPr>
            <w:r>
              <w:rPr>
                <w:b w:val="0"/>
                <w:sz w:val="12"/>
              </w:rPr>
              <w:t>High response</w:t>
            </w:r>
          </w:p>
        </w:tc>
        <w:tc>
          <w:tcPr>
            <w:tcW w:type="dxa" w:w="2189"/>
            <w:vAlign w:val="center"/>
          </w:tcPr>
          <w:p>
            <w:pPr>
              <w:spacing w:before="0" w:after="0" w:line="240" w:lineRule="auto"/>
            </w:pPr>
            <w:r>
              <w:rPr>
                <w:b w:val="0"/>
                <w:sz w:val="12"/>
              </w:rPr>
              <w:t>1000 / 300 / 500 / 50</w:t>
            </w:r>
          </w:p>
        </w:tc>
        <w:tc>
          <w:tcPr>
            <w:tcW w:type="dxa" w:w="2189"/>
            <w:vAlign w:val="center"/>
          </w:tcPr>
          <w:p>
            <w:pPr>
              <w:spacing w:before="0" w:after="0" w:line="240" w:lineRule="auto"/>
            </w:pPr>
            <w:r>
              <w:rPr>
                <w:b w:val="0"/>
                <w:sz w:val="12"/>
              </w:rPr>
              <w:t>1.11</w:t>
            </w:r>
          </w:p>
        </w:tc>
        <w:tc>
          <w:tcPr>
            <w:tcW w:type="dxa" w:w="2189"/>
            <w:vAlign w:val="center"/>
          </w:tcPr>
          <w:p>
            <w:pPr>
              <w:spacing w:before="0" w:after="0" w:line="240" w:lineRule="auto"/>
            </w:pPr>
            <w:r>
              <w:rPr>
                <w:b w:val="0"/>
                <w:sz w:val="12"/>
              </w:rPr>
              <w:t>0.94</w:t>
            </w:r>
          </w:p>
        </w:tc>
        <w:tc>
          <w:tcPr>
            <w:tcW w:type="dxa" w:w="2188"/>
            <w:vAlign w:val="center"/>
          </w:tcPr>
          <w:p>
            <w:pPr>
              <w:spacing w:before="0" w:after="0" w:line="240" w:lineRule="auto"/>
            </w:pPr>
            <w:r>
              <w:rPr>
                <w:b w:val="0"/>
                <w:sz w:val="12"/>
              </w:rPr>
              <w:t>Near parity</w:t>
            </w:r>
          </w:p>
        </w:tc>
      </w:tr>
      <w:tr>
        <w:tc>
          <w:tcPr>
            <w:tcW w:type="dxa" w:w="2189"/>
            <w:vAlign w:val="center"/>
          </w:tcPr>
          <w:p>
            <w:pPr>
              <w:spacing w:before="0" w:after="0" w:line="240" w:lineRule="auto"/>
            </w:pPr>
            <w:r>
              <w:rPr>
                <w:b w:val="0"/>
                <w:sz w:val="12"/>
              </w:rPr>
              <w:t>Balanced</w:t>
            </w:r>
          </w:p>
        </w:tc>
        <w:tc>
          <w:tcPr>
            <w:tcW w:type="dxa" w:w="2189"/>
            <w:vAlign w:val="center"/>
          </w:tcPr>
          <w:p>
            <w:pPr>
              <w:spacing w:before="0" w:after="0" w:line="240" w:lineRule="auto"/>
            </w:pPr>
            <w:r>
              <w:rPr>
                <w:b w:val="0"/>
                <w:sz w:val="12"/>
              </w:rPr>
              <w:t>5000 / 500 / 50 / 50</w:t>
            </w:r>
          </w:p>
        </w:tc>
        <w:tc>
          <w:tcPr>
            <w:tcW w:type="dxa" w:w="2189"/>
            <w:vAlign w:val="center"/>
          </w:tcPr>
          <w:p>
            <w:pPr>
              <w:spacing w:before="0" w:after="0" w:line="240" w:lineRule="auto"/>
            </w:pPr>
            <w:r>
              <w:rPr>
                <w:b w:val="0"/>
                <w:sz w:val="12"/>
              </w:rPr>
              <w:t>3.84</w:t>
            </w:r>
          </w:p>
        </w:tc>
        <w:tc>
          <w:tcPr>
            <w:tcW w:type="dxa" w:w="2189"/>
            <w:vAlign w:val="center"/>
          </w:tcPr>
          <w:p>
            <w:pPr>
              <w:spacing w:before="0" w:after="0" w:line="240" w:lineRule="auto"/>
            </w:pPr>
            <w:r>
              <w:rPr>
                <w:b w:val="0"/>
                <w:sz w:val="12"/>
              </w:rPr>
              <w:t>0.98</w:t>
            </w:r>
          </w:p>
        </w:tc>
        <w:tc>
          <w:tcPr>
            <w:tcW w:type="dxa" w:w="2188"/>
            <w:vAlign w:val="center"/>
          </w:tcPr>
          <w:p>
            <w:pPr>
              <w:spacing w:before="0" w:after="0" w:line="240" w:lineRule="auto"/>
            </w:pPr>
            <w:r>
              <w:rPr>
                <w:b w:val="0"/>
                <w:sz w:val="12"/>
              </w:rPr>
              <w:t>CPU favors PLS-SVD</w:t>
            </w:r>
          </w:p>
        </w:tc>
      </w:tr>
      <w:tr>
        <w:tc>
          <w:tcPr>
            <w:tcW w:type="dxa" w:w="2189"/>
            <w:vAlign w:val="center"/>
          </w:tcPr>
          <w:p>
            <w:pPr>
              <w:spacing w:before="0" w:after="0" w:line="240" w:lineRule="auto"/>
            </w:pPr>
            <w:r>
              <w:rPr>
                <w:b w:val="0"/>
                <w:sz w:val="12"/>
              </w:rPr>
              <w:t>High components</w:t>
            </w:r>
          </w:p>
        </w:tc>
        <w:tc>
          <w:tcPr>
            <w:tcW w:type="dxa" w:w="2189"/>
            <w:vAlign w:val="center"/>
          </w:tcPr>
          <w:p>
            <w:pPr>
              <w:spacing w:before="0" w:after="0" w:line="240" w:lineRule="auto"/>
            </w:pPr>
            <w:r>
              <w:rPr>
                <w:b w:val="0"/>
                <w:sz w:val="12"/>
              </w:rPr>
              <w:t>3000 / 768 / 200 / 100</w:t>
            </w:r>
          </w:p>
        </w:tc>
        <w:tc>
          <w:tcPr>
            <w:tcW w:type="dxa" w:w="2189"/>
            <w:vAlign w:val="center"/>
          </w:tcPr>
          <w:p>
            <w:pPr>
              <w:spacing w:before="0" w:after="0" w:line="240" w:lineRule="auto"/>
            </w:pPr>
            <w:r>
              <w:rPr>
                <w:b w:val="0"/>
                <w:sz w:val="12"/>
              </w:rPr>
              <w:t>1.34</w:t>
            </w:r>
          </w:p>
        </w:tc>
        <w:tc>
          <w:tcPr>
            <w:tcW w:type="dxa" w:w="2189"/>
            <w:vAlign w:val="center"/>
          </w:tcPr>
          <w:p>
            <w:pPr>
              <w:spacing w:before="0" w:after="0" w:line="240" w:lineRule="auto"/>
            </w:pPr>
            <w:r>
              <w:rPr>
                <w:b w:val="0"/>
                <w:sz w:val="12"/>
              </w:rPr>
              <w:t>0.92</w:t>
            </w:r>
          </w:p>
        </w:tc>
        <w:tc>
          <w:tcPr>
            <w:tcW w:type="dxa" w:w="2188"/>
            <w:vAlign w:val="center"/>
          </w:tcPr>
          <w:p>
            <w:pPr>
              <w:spacing w:before="0" w:after="0" w:line="240" w:lineRule="auto"/>
            </w:pPr>
            <w:r>
              <w:rPr>
                <w:b w:val="0"/>
                <w:sz w:val="12"/>
              </w:rPr>
              <w:t>CUDA near parity</w:t>
            </w:r>
          </w:p>
        </w:tc>
      </w:tr>
    </w:tbl>
    <w:p>
      <w:pPr>
        <w:pStyle w:val="Heading1"/>
      </w:pPr>
      <w:r>
        <w:t>S13. Approximate rSVD reliability</w:t>
      </w:r>
    </w:p>
    <w:p>
      <w:pPr/>
      <w:r>
        <w:t>rSVD uses a Gaussian range sketch, oversampling, power iterations, and a recorded seed. Qualification required relative Frobenius prediction error &lt;= 0.05, prediction correlation &gt;= 0.99, each score/projection/loading subspace angle &lt;= 10 degrees, decoded-label agreement &gt;= 0.99, and absolute predictive-metric difference &lt;= 0.01. These predefined values are computational non-inferiority screens, not clinical or exact-equivalence margins. Release validation used seeds 1, 7, 19, 43, and 123 and required every check to meet tolerance. The oversampling-20, two-power configuration met 585/585 CPU and 40/40 CUDA checks in that panel; the broader controlled shape study identified out-of-tolerance regimes, which are reported separately and excluded from validated speed claims. Metal remains unqualified.</w:t>
      </w:r>
    </w:p>
    <w:p>
      <w:pPr>
        <w:pStyle w:val="Caption"/>
      </w:pPr>
      <w:r>
        <w:t>Table S8. rSVD numerical-validation summary for fastPLS 0.99.25. Release rows use seeds 1, 7, 19, 43, and 123; rejected alternatives were evaluated over the same seeds.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094"/>
        <w:gridCol w:w="1094"/>
        <w:gridCol w:w="1094"/>
        <w:gridCol w:w="1094"/>
        <w:gridCol w:w="1094"/>
        <w:gridCol w:w="1094"/>
        <w:gridCol w:w="1094"/>
        <w:gridCol w:w="1094"/>
        <w:gridCol w:w="1094"/>
        <w:gridCol w:w="1098"/>
      </w:tblGrid>
      <w:tr>
        <w:trPr>
          <w:tblHeader w:val="true"/>
          <w:cantSplit/>
        </w:trPr>
        <w:tc>
          <w:tcPr>
            <w:tcW w:type="dxa" w:w="1094"/>
            <w:vAlign w:val="center"/>
          </w:tcPr>
          <w:p>
            <w:pPr>
              <w:spacing w:before="0" w:after="0" w:line="240" w:lineRule="auto"/>
              <w:jc w:val="left"/>
            </w:pPr>
            <w:r>
              <w:rPr>
                <w:b/>
                <w:sz w:val="11"/>
              </w:rPr>
              <w:t>Backend</w:t>
            </w:r>
          </w:p>
        </w:tc>
        <w:tc>
          <w:tcPr>
            <w:tcW w:type="dxa" w:w="1094"/>
            <w:vAlign w:val="center"/>
          </w:tcPr>
          <w:p>
            <w:pPr>
              <w:spacing w:before="0" w:after="0" w:line="240" w:lineRule="auto"/>
              <w:jc w:val="center"/>
            </w:pPr>
            <w:r>
              <w:rPr>
                <w:b/>
                <w:sz w:val="11"/>
              </w:rPr>
              <w:t>Oversample</w:t>
            </w:r>
          </w:p>
        </w:tc>
        <w:tc>
          <w:tcPr>
            <w:tcW w:type="dxa" w:w="1094"/>
            <w:vAlign w:val="center"/>
          </w:tcPr>
          <w:p>
            <w:pPr>
              <w:spacing w:before="0" w:after="0" w:line="240" w:lineRule="auto"/>
              <w:jc w:val="center"/>
            </w:pPr>
            <w:r>
              <w:rPr>
                <w:b/>
                <w:sz w:val="11"/>
              </w:rPr>
              <w:t>Power</w:t>
            </w:r>
          </w:p>
        </w:tc>
        <w:tc>
          <w:tcPr>
            <w:tcW w:type="dxa" w:w="1094"/>
            <w:vAlign w:val="center"/>
          </w:tcPr>
          <w:p>
            <w:pPr>
              <w:spacing w:before="0" w:after="0" w:line="240" w:lineRule="auto"/>
              <w:jc w:val="center"/>
            </w:pPr>
            <w:r>
              <w:rPr>
                <w:b/>
                <w:sz w:val="11"/>
              </w:rPr>
              <w:t>Tolerance checks met</w:t>
            </w:r>
          </w:p>
        </w:tc>
        <w:tc>
          <w:tcPr>
            <w:tcW w:type="dxa" w:w="1094"/>
            <w:vAlign w:val="center"/>
          </w:tcPr>
          <w:p>
            <w:pPr>
              <w:spacing w:before="0" w:after="0" w:line="240" w:lineRule="auto"/>
              <w:jc w:val="center"/>
            </w:pPr>
            <w:r>
              <w:rPr>
                <w:b/>
                <w:sz w:val="11"/>
              </w:rPr>
              <w:t>Max pred. rel. error</w:t>
            </w:r>
          </w:p>
        </w:tc>
        <w:tc>
          <w:tcPr>
            <w:tcW w:type="dxa" w:w="1094"/>
            <w:vAlign w:val="center"/>
          </w:tcPr>
          <w:p>
            <w:pPr>
              <w:spacing w:before="0" w:after="0" w:line="240" w:lineRule="auto"/>
              <w:jc w:val="center"/>
            </w:pPr>
            <w:r>
              <w:rPr>
                <w:b/>
                <w:sz w:val="11"/>
              </w:rPr>
              <w:t>Min pred. corr.</w:t>
            </w:r>
          </w:p>
        </w:tc>
        <w:tc>
          <w:tcPr>
            <w:tcW w:type="dxa" w:w="1094"/>
            <w:vAlign w:val="center"/>
          </w:tcPr>
          <w:p>
            <w:pPr>
              <w:spacing w:before="0" w:after="0" w:line="240" w:lineRule="auto"/>
              <w:jc w:val="center"/>
            </w:pPr>
            <w:r>
              <w:rPr>
                <w:b/>
                <w:sz w:val="11"/>
              </w:rPr>
              <w:t>Max score angle</w:t>
            </w:r>
          </w:p>
        </w:tc>
        <w:tc>
          <w:tcPr>
            <w:tcW w:type="dxa" w:w="1094"/>
            <w:vAlign w:val="center"/>
          </w:tcPr>
          <w:p>
            <w:pPr>
              <w:spacing w:before="0" w:after="0" w:line="240" w:lineRule="auto"/>
              <w:jc w:val="center"/>
            </w:pPr>
            <w:r>
              <w:rPr>
                <w:b/>
                <w:sz w:val="11"/>
              </w:rPr>
              <w:t>Min label agree.</w:t>
            </w:r>
          </w:p>
        </w:tc>
        <w:tc>
          <w:tcPr>
            <w:tcW w:type="dxa" w:w="1094"/>
            <w:vAlign w:val="center"/>
          </w:tcPr>
          <w:p>
            <w:pPr>
              <w:spacing w:before="0" w:after="0" w:line="240" w:lineRule="auto"/>
              <w:jc w:val="center"/>
            </w:pPr>
            <w:r>
              <w:rPr>
                <w:b/>
                <w:sz w:val="11"/>
              </w:rPr>
              <w:t>Max metric diff.</w:t>
            </w:r>
          </w:p>
        </w:tc>
        <w:tc>
          <w:tcPr>
            <w:tcW w:type="dxa" w:w="1098"/>
            <w:vAlign w:val="center"/>
          </w:tcPr>
          <w:p>
            <w:pPr>
              <w:spacing w:before="0" w:after="0" w:line="240" w:lineRule="auto"/>
              <w:jc w:val="center"/>
            </w:pPr>
            <w:r>
              <w:rPr>
                <w:b/>
                <w:sz w:val="11"/>
              </w:rPr>
              <w:t>Status</w:t>
            </w:r>
          </w:p>
        </w:tc>
      </w:tr>
      <w:tr>
        <w:tc>
          <w:tcPr>
            <w:tcW w:type="dxa" w:w="1094"/>
            <w:vAlign w:val="center"/>
          </w:tcPr>
          <w:p>
            <w:pPr>
              <w:spacing w:before="0" w:after="0" w:line="240" w:lineRule="auto"/>
            </w:pPr>
            <w:r>
              <w:rPr>
                <w:sz w:val="11"/>
              </w:rPr>
              <w:t>CPU</w:t>
            </w:r>
          </w:p>
        </w:tc>
        <w:tc>
          <w:tcPr>
            <w:tcW w:type="dxa" w:w="1094"/>
            <w:vAlign w:val="center"/>
          </w:tcPr>
          <w:p>
            <w:pPr>
              <w:spacing w:before="0" w:after="0" w:line="240" w:lineRule="auto"/>
            </w:pPr>
            <w:r>
              <w:rPr>
                <w:sz w:val="11"/>
              </w:rPr>
              <w:t>20</w:t>
            </w:r>
          </w:p>
        </w:tc>
        <w:tc>
          <w:tcPr>
            <w:tcW w:type="dxa" w:w="1094"/>
            <w:vAlign w:val="center"/>
          </w:tcPr>
          <w:p>
            <w:pPr>
              <w:spacing w:before="0" w:after="0" w:line="240" w:lineRule="auto"/>
            </w:pPr>
            <w:r>
              <w:rPr>
                <w:sz w:val="11"/>
              </w:rPr>
              <w:t>2</w:t>
            </w:r>
          </w:p>
        </w:tc>
        <w:tc>
          <w:tcPr>
            <w:tcW w:type="dxa" w:w="1094"/>
            <w:vAlign w:val="center"/>
          </w:tcPr>
          <w:p>
            <w:pPr>
              <w:spacing w:before="0" w:after="0" w:line="240" w:lineRule="auto"/>
            </w:pPr>
            <w:r>
              <w:rPr>
                <w:sz w:val="11"/>
              </w:rPr>
              <w:t>585/585</w:t>
            </w:r>
          </w:p>
        </w:tc>
        <w:tc>
          <w:tcPr>
            <w:tcW w:type="dxa" w:w="1094"/>
            <w:vAlign w:val="center"/>
          </w:tcPr>
          <w:p>
            <w:pPr>
              <w:spacing w:before="0" w:after="0" w:line="240" w:lineRule="auto"/>
            </w:pPr>
            <w:r>
              <w:rPr>
                <w:sz w:val="11"/>
              </w:rPr>
              <w:t>1.24e-09</w:t>
            </w:r>
          </w:p>
        </w:tc>
        <w:tc>
          <w:tcPr>
            <w:tcW w:type="dxa" w:w="1094"/>
            <w:vAlign w:val="center"/>
          </w:tcPr>
          <w:p>
            <w:pPr>
              <w:spacing w:before="0" w:after="0" w:line="240" w:lineRule="auto"/>
            </w:pPr>
            <w:r>
              <w:rPr>
                <w:sz w:val="11"/>
              </w:rPr>
              <w:t>1.00000</w:t>
            </w:r>
          </w:p>
        </w:tc>
        <w:tc>
          <w:tcPr>
            <w:tcW w:type="dxa" w:w="1094"/>
            <w:vAlign w:val="center"/>
          </w:tcPr>
          <w:p>
            <w:pPr>
              <w:spacing w:before="0" w:after="0" w:line="240" w:lineRule="auto"/>
            </w:pPr>
            <w:r>
              <w:rPr>
                <w:sz w:val="11"/>
              </w:rPr>
              <w:t>&lt;0.001</w:t>
            </w:r>
          </w:p>
        </w:tc>
        <w:tc>
          <w:tcPr>
            <w:tcW w:type="dxa" w:w="1094"/>
            <w:vAlign w:val="center"/>
          </w:tcPr>
          <w:p>
            <w:pPr>
              <w:spacing w:before="0" w:after="0" w:line="240" w:lineRule="auto"/>
            </w:pPr>
            <w:r>
              <w:rPr>
                <w:sz w:val="11"/>
              </w:rPr>
              <w:t>1.000</w:t>
            </w:r>
          </w:p>
        </w:tc>
        <w:tc>
          <w:tcPr>
            <w:tcW w:type="dxa" w:w="1094"/>
            <w:vAlign w:val="center"/>
          </w:tcPr>
          <w:p>
            <w:pPr>
              <w:spacing w:before="0" w:after="0" w:line="240" w:lineRule="auto"/>
            </w:pPr>
            <w:r>
              <w:rPr>
                <w:sz w:val="11"/>
              </w:rPr>
              <w:t>5.32e-10</w:t>
            </w:r>
          </w:p>
        </w:tc>
        <w:tc>
          <w:tcPr>
            <w:tcW w:type="dxa" w:w="1098"/>
            <w:vAlign w:val="center"/>
          </w:tcPr>
          <w:p>
            <w:pPr>
              <w:spacing w:before="0" w:after="0" w:line="240" w:lineRule="auto"/>
            </w:pPr>
            <w:r>
              <w:rPr>
                <w:sz w:val="11"/>
              </w:rPr>
              <w:t>v0.99.25; Qualified release default</w:t>
            </w:r>
          </w:p>
        </w:tc>
      </w:tr>
      <w:tr>
        <w:tc>
          <w:tcPr>
            <w:tcW w:type="dxa" w:w="1094"/>
            <w:vAlign w:val="center"/>
          </w:tcPr>
          <w:p>
            <w:pPr>
              <w:spacing w:before="0" w:after="0" w:line="240" w:lineRule="auto"/>
            </w:pPr>
            <w:r>
              <w:rPr>
                <w:sz w:val="11"/>
              </w:rPr>
              <w:t>CUDA</w:t>
            </w:r>
          </w:p>
        </w:tc>
        <w:tc>
          <w:tcPr>
            <w:tcW w:type="dxa" w:w="1094"/>
            <w:vAlign w:val="center"/>
          </w:tcPr>
          <w:p>
            <w:pPr>
              <w:spacing w:before="0" w:after="0" w:line="240" w:lineRule="auto"/>
            </w:pPr>
            <w:r>
              <w:rPr>
                <w:sz w:val="11"/>
              </w:rPr>
              <w:t>10</w:t>
            </w:r>
          </w:p>
        </w:tc>
        <w:tc>
          <w:tcPr>
            <w:tcW w:type="dxa" w:w="1094"/>
            <w:vAlign w:val="center"/>
          </w:tcPr>
          <w:p>
            <w:pPr>
              <w:spacing w:before="0" w:after="0" w:line="240" w:lineRule="auto"/>
            </w:pPr>
            <w:r>
              <w:rPr>
                <w:sz w:val="11"/>
              </w:rPr>
              <w:t>1</w:t>
            </w:r>
          </w:p>
        </w:tc>
        <w:tc>
          <w:tcPr>
            <w:tcW w:type="dxa" w:w="1094"/>
            <w:vAlign w:val="center"/>
          </w:tcPr>
          <w:p>
            <w:pPr>
              <w:spacing w:before="0" w:after="0" w:line="240" w:lineRule="auto"/>
            </w:pPr>
            <w:r>
              <w:rPr>
                <w:sz w:val="11"/>
              </w:rPr>
              <w:t>0/40</w:t>
            </w:r>
          </w:p>
        </w:tc>
        <w:tc>
          <w:tcPr>
            <w:tcW w:type="dxa" w:w="1094"/>
            <w:vAlign w:val="center"/>
          </w:tcPr>
          <w:p>
            <w:pPr>
              <w:spacing w:before="0" w:after="0" w:line="240" w:lineRule="auto"/>
            </w:pPr>
            <w:r>
              <w:rPr>
                <w:sz w:val="11"/>
              </w:rPr>
              <w:t>0.2486</w:t>
            </w:r>
          </w:p>
        </w:tc>
        <w:tc>
          <w:tcPr>
            <w:tcW w:type="dxa" w:w="1094"/>
            <w:vAlign w:val="center"/>
          </w:tcPr>
          <w:p>
            <w:pPr>
              <w:spacing w:before="0" w:after="0" w:line="240" w:lineRule="auto"/>
            </w:pPr>
            <w:r>
              <w:rPr>
                <w:sz w:val="11"/>
              </w:rPr>
              <w:t>0.96884</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0.830</w:t>
            </w:r>
          </w:p>
        </w:tc>
        <w:tc>
          <w:tcPr>
            <w:tcW w:type="dxa" w:w="1094"/>
            <w:vAlign w:val="center"/>
          </w:tcPr>
          <w:p>
            <w:pPr>
              <w:spacing w:before="0" w:after="0" w:line="240" w:lineRule="auto"/>
            </w:pPr>
            <w:r>
              <w:rPr>
                <w:sz w:val="11"/>
              </w:rPr>
              <w:t>0.0300</w:t>
            </w:r>
          </w:p>
        </w:tc>
        <w:tc>
          <w:tcPr>
            <w:tcW w:type="dxa" w:w="1098"/>
            <w:vAlign w:val="center"/>
          </w:tcPr>
          <w:p>
            <w:pPr>
              <w:spacing w:before="0" w:after="0" w:line="240" w:lineRule="auto"/>
            </w:pPr>
            <w:r>
              <w:rPr>
                <w:sz w:val="11"/>
              </w:rPr>
              <w:t>v0.99.25; Rejected</w:t>
            </w:r>
          </w:p>
        </w:tc>
      </w:tr>
      <w:tr>
        <w:tc>
          <w:tcPr>
            <w:tcW w:type="dxa" w:w="1094"/>
            <w:vAlign w:val="center"/>
          </w:tcPr>
          <w:p>
            <w:pPr>
              <w:spacing w:before="0" w:after="0" w:line="240" w:lineRule="auto"/>
            </w:pPr>
            <w:r>
              <w:rPr>
                <w:sz w:val="11"/>
              </w:rPr>
              <w:t>CUDA</w:t>
            </w:r>
          </w:p>
        </w:tc>
        <w:tc>
          <w:tcPr>
            <w:tcW w:type="dxa" w:w="1094"/>
            <w:vAlign w:val="center"/>
          </w:tcPr>
          <w:p>
            <w:pPr>
              <w:spacing w:before="0" w:after="0" w:line="240" w:lineRule="auto"/>
            </w:pPr>
            <w:r>
              <w:rPr>
                <w:sz w:val="11"/>
              </w:rPr>
              <w:t>10</w:t>
            </w:r>
          </w:p>
        </w:tc>
        <w:tc>
          <w:tcPr>
            <w:tcW w:type="dxa" w:w="1094"/>
            <w:vAlign w:val="center"/>
          </w:tcPr>
          <w:p>
            <w:pPr>
              <w:spacing w:before="0" w:after="0" w:line="240" w:lineRule="auto"/>
            </w:pPr>
            <w:r>
              <w:rPr>
                <w:sz w:val="11"/>
              </w:rPr>
              <w:t>2</w:t>
            </w:r>
          </w:p>
        </w:tc>
        <w:tc>
          <w:tcPr>
            <w:tcW w:type="dxa" w:w="1094"/>
            <w:vAlign w:val="center"/>
          </w:tcPr>
          <w:p>
            <w:pPr>
              <w:spacing w:before="0" w:after="0" w:line="240" w:lineRule="auto"/>
            </w:pPr>
            <w:r>
              <w:rPr>
                <w:sz w:val="11"/>
              </w:rPr>
              <w:t>27/40</w:t>
            </w:r>
          </w:p>
        </w:tc>
        <w:tc>
          <w:tcPr>
            <w:tcW w:type="dxa" w:w="1094"/>
            <w:vAlign w:val="center"/>
          </w:tcPr>
          <w:p>
            <w:pPr>
              <w:spacing w:before="0" w:after="0" w:line="240" w:lineRule="auto"/>
            </w:pPr>
            <w:r>
              <w:rPr>
                <w:sz w:val="11"/>
              </w:rPr>
              <w:t>0.0822</w:t>
            </w:r>
          </w:p>
        </w:tc>
        <w:tc>
          <w:tcPr>
            <w:tcW w:type="dxa" w:w="1094"/>
            <w:vAlign w:val="center"/>
          </w:tcPr>
          <w:p>
            <w:pPr>
              <w:spacing w:before="0" w:after="0" w:line="240" w:lineRule="auto"/>
            </w:pPr>
            <w:r>
              <w:rPr>
                <w:sz w:val="11"/>
              </w:rPr>
              <w:t>0.99602</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0.940</w:t>
            </w:r>
          </w:p>
        </w:tc>
        <w:tc>
          <w:tcPr>
            <w:tcW w:type="dxa" w:w="1094"/>
            <w:vAlign w:val="center"/>
          </w:tcPr>
          <w:p>
            <w:pPr>
              <w:spacing w:before="0" w:after="0" w:line="240" w:lineRule="auto"/>
            </w:pPr>
            <w:r>
              <w:rPr>
                <w:sz w:val="11"/>
              </w:rPr>
              <w:t>0.0200</w:t>
            </w:r>
          </w:p>
        </w:tc>
        <w:tc>
          <w:tcPr>
            <w:tcW w:type="dxa" w:w="1098"/>
            <w:vAlign w:val="center"/>
          </w:tcPr>
          <w:p>
            <w:pPr>
              <w:spacing w:before="0" w:after="0" w:line="240" w:lineRule="auto"/>
            </w:pPr>
            <w:r>
              <w:rPr>
                <w:sz w:val="11"/>
              </w:rPr>
              <w:t>v0.99.25; Rejected</w:t>
            </w:r>
          </w:p>
        </w:tc>
      </w:tr>
      <w:tr>
        <w:tc>
          <w:tcPr>
            <w:tcW w:type="dxa" w:w="1094"/>
            <w:vAlign w:val="center"/>
          </w:tcPr>
          <w:p>
            <w:pPr>
              <w:spacing w:before="0" w:after="0" w:line="240" w:lineRule="auto"/>
            </w:pPr>
            <w:r>
              <w:rPr>
                <w:sz w:val="11"/>
              </w:rPr>
              <w:t>CUDA</w:t>
            </w:r>
          </w:p>
        </w:tc>
        <w:tc>
          <w:tcPr>
            <w:tcW w:type="dxa" w:w="1094"/>
            <w:vAlign w:val="center"/>
          </w:tcPr>
          <w:p>
            <w:pPr>
              <w:spacing w:before="0" w:after="0" w:line="240" w:lineRule="auto"/>
            </w:pPr>
            <w:r>
              <w:rPr>
                <w:sz w:val="11"/>
              </w:rPr>
              <w:t>10</w:t>
            </w:r>
          </w:p>
        </w:tc>
        <w:tc>
          <w:tcPr>
            <w:tcW w:type="dxa" w:w="1094"/>
            <w:vAlign w:val="center"/>
          </w:tcPr>
          <w:p>
            <w:pPr>
              <w:spacing w:before="0" w:after="0" w:line="240" w:lineRule="auto"/>
            </w:pPr>
            <w:r>
              <w:rPr>
                <w:sz w:val="11"/>
              </w:rPr>
              <w:t>4</w:t>
            </w:r>
          </w:p>
        </w:tc>
        <w:tc>
          <w:tcPr>
            <w:tcW w:type="dxa" w:w="1094"/>
            <w:vAlign w:val="center"/>
          </w:tcPr>
          <w:p>
            <w:pPr>
              <w:spacing w:before="0" w:after="0" w:line="240" w:lineRule="auto"/>
            </w:pPr>
            <w:r>
              <w:rPr>
                <w:sz w:val="11"/>
              </w:rPr>
              <w:t>40/40</w:t>
            </w:r>
          </w:p>
        </w:tc>
        <w:tc>
          <w:tcPr>
            <w:tcW w:type="dxa" w:w="1094"/>
            <w:vAlign w:val="center"/>
          </w:tcPr>
          <w:p>
            <w:pPr>
              <w:spacing w:before="0" w:after="0" w:line="240" w:lineRule="auto"/>
            </w:pPr>
            <w:r>
              <w:rPr>
                <w:sz w:val="11"/>
              </w:rPr>
              <w:t>0.0078</w:t>
            </w:r>
          </w:p>
        </w:tc>
        <w:tc>
          <w:tcPr>
            <w:tcW w:type="dxa" w:w="1094"/>
            <w:vAlign w:val="center"/>
          </w:tcPr>
          <w:p>
            <w:pPr>
              <w:spacing w:before="0" w:after="0" w:line="240" w:lineRule="auto"/>
            </w:pPr>
            <w:r>
              <w:rPr>
                <w:sz w:val="11"/>
              </w:rPr>
              <w:t>0.99996</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0.990</w:t>
            </w:r>
          </w:p>
        </w:tc>
        <w:tc>
          <w:tcPr>
            <w:tcW w:type="dxa" w:w="1094"/>
            <w:vAlign w:val="center"/>
          </w:tcPr>
          <w:p>
            <w:pPr>
              <w:spacing w:before="0" w:after="0" w:line="240" w:lineRule="auto"/>
            </w:pPr>
            <w:r>
              <w:rPr>
                <w:sz w:val="11"/>
              </w:rPr>
              <w:t>6.75e-05</w:t>
            </w:r>
          </w:p>
        </w:tc>
        <w:tc>
          <w:tcPr>
            <w:tcW w:type="dxa" w:w="1098"/>
            <w:vAlign w:val="center"/>
          </w:tcPr>
          <w:p>
            <w:pPr>
              <w:spacing w:before="0" w:after="0" w:line="240" w:lineRule="auto"/>
            </w:pPr>
            <w:r>
              <w:rPr>
                <w:sz w:val="11"/>
              </w:rPr>
              <w:t>v0.99.25; Qualified alternative</w:t>
            </w:r>
          </w:p>
        </w:tc>
      </w:tr>
      <w:tr>
        <w:tc>
          <w:tcPr>
            <w:tcW w:type="dxa" w:w="1094"/>
            <w:vAlign w:val="center"/>
          </w:tcPr>
          <w:p>
            <w:pPr>
              <w:spacing w:before="0" w:after="0" w:line="240" w:lineRule="auto"/>
            </w:pPr>
            <w:r>
              <w:rPr>
                <w:sz w:val="11"/>
              </w:rPr>
              <w:t>CUDA</w:t>
            </w:r>
          </w:p>
        </w:tc>
        <w:tc>
          <w:tcPr>
            <w:tcW w:type="dxa" w:w="1094"/>
            <w:vAlign w:val="center"/>
          </w:tcPr>
          <w:p>
            <w:pPr>
              <w:spacing w:before="0" w:after="0" w:line="240" w:lineRule="auto"/>
            </w:pPr>
            <w:r>
              <w:rPr>
                <w:sz w:val="11"/>
              </w:rPr>
              <w:t>20</w:t>
            </w:r>
          </w:p>
        </w:tc>
        <w:tc>
          <w:tcPr>
            <w:tcW w:type="dxa" w:w="1094"/>
            <w:vAlign w:val="center"/>
          </w:tcPr>
          <w:p>
            <w:pPr>
              <w:spacing w:before="0" w:after="0" w:line="240" w:lineRule="auto"/>
            </w:pPr>
            <w:r>
              <w:rPr>
                <w:sz w:val="11"/>
              </w:rPr>
              <w:t>1</w:t>
            </w:r>
          </w:p>
        </w:tc>
        <w:tc>
          <w:tcPr>
            <w:tcW w:type="dxa" w:w="1094"/>
            <w:vAlign w:val="center"/>
          </w:tcPr>
          <w:p>
            <w:pPr>
              <w:spacing w:before="0" w:after="0" w:line="240" w:lineRule="auto"/>
            </w:pPr>
            <w:r>
              <w:rPr>
                <w:sz w:val="11"/>
              </w:rPr>
              <w:t>40/40</w:t>
            </w:r>
          </w:p>
        </w:tc>
        <w:tc>
          <w:tcPr>
            <w:tcW w:type="dxa" w:w="1094"/>
            <w:vAlign w:val="center"/>
          </w:tcPr>
          <w:p>
            <w:pPr>
              <w:spacing w:before="0" w:after="0" w:line="240" w:lineRule="auto"/>
            </w:pPr>
            <w:r>
              <w:rPr>
                <w:sz w:val="11"/>
              </w:rPr>
              <w:t>0.0027</w:t>
            </w:r>
          </w:p>
        </w:tc>
        <w:tc>
          <w:tcPr>
            <w:tcW w:type="dxa" w:w="1094"/>
            <w:vAlign w:val="center"/>
          </w:tcPr>
          <w:p>
            <w:pPr>
              <w:spacing w:before="0" w:after="0" w:line="240" w:lineRule="auto"/>
            </w:pPr>
            <w:r>
              <w:rPr>
                <w:sz w:val="11"/>
              </w:rPr>
              <w:t>1.00000</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1.000</w:t>
            </w:r>
          </w:p>
        </w:tc>
        <w:tc>
          <w:tcPr>
            <w:tcW w:type="dxa" w:w="1094"/>
            <w:vAlign w:val="center"/>
          </w:tcPr>
          <w:p>
            <w:pPr>
              <w:spacing w:before="0" w:after="0" w:line="240" w:lineRule="auto"/>
            </w:pPr>
            <w:r>
              <w:rPr>
                <w:sz w:val="11"/>
              </w:rPr>
              <w:t>0.0002</w:t>
            </w:r>
          </w:p>
        </w:tc>
        <w:tc>
          <w:tcPr>
            <w:tcW w:type="dxa" w:w="1098"/>
            <w:vAlign w:val="center"/>
          </w:tcPr>
          <w:p>
            <w:pPr>
              <w:spacing w:before="0" w:after="0" w:line="240" w:lineRule="auto"/>
            </w:pPr>
            <w:r>
              <w:rPr>
                <w:sz w:val="11"/>
              </w:rPr>
              <w:t>v0.99.25; Qualified alternative</w:t>
            </w:r>
          </w:p>
        </w:tc>
      </w:tr>
      <w:tr>
        <w:tc>
          <w:tcPr>
            <w:tcW w:type="dxa" w:w="1094"/>
            <w:vAlign w:val="center"/>
          </w:tcPr>
          <w:p>
            <w:pPr>
              <w:spacing w:before="0" w:after="0" w:line="240" w:lineRule="auto"/>
            </w:pPr>
            <w:r>
              <w:rPr>
                <w:sz w:val="11"/>
              </w:rPr>
              <w:t>CUDA</w:t>
            </w:r>
          </w:p>
        </w:tc>
        <w:tc>
          <w:tcPr>
            <w:tcW w:type="dxa" w:w="1094"/>
            <w:vAlign w:val="center"/>
          </w:tcPr>
          <w:p>
            <w:pPr>
              <w:spacing w:before="0" w:after="0" w:line="240" w:lineRule="auto"/>
            </w:pPr>
            <w:r>
              <w:rPr>
                <w:sz w:val="11"/>
              </w:rPr>
              <w:t>20</w:t>
            </w:r>
          </w:p>
        </w:tc>
        <w:tc>
          <w:tcPr>
            <w:tcW w:type="dxa" w:w="1094"/>
            <w:vAlign w:val="center"/>
          </w:tcPr>
          <w:p>
            <w:pPr>
              <w:spacing w:before="0" w:after="0" w:line="240" w:lineRule="auto"/>
            </w:pPr>
            <w:r>
              <w:rPr>
                <w:sz w:val="11"/>
              </w:rPr>
              <w:t>2</w:t>
            </w:r>
          </w:p>
        </w:tc>
        <w:tc>
          <w:tcPr>
            <w:tcW w:type="dxa" w:w="1094"/>
            <w:vAlign w:val="center"/>
          </w:tcPr>
          <w:p>
            <w:pPr>
              <w:spacing w:before="0" w:after="0" w:line="240" w:lineRule="auto"/>
            </w:pPr>
            <w:r>
              <w:rPr>
                <w:sz w:val="11"/>
              </w:rPr>
              <w:t>40/40</w:t>
            </w:r>
          </w:p>
        </w:tc>
        <w:tc>
          <w:tcPr>
            <w:tcW w:type="dxa" w:w="1094"/>
            <w:vAlign w:val="center"/>
          </w:tcPr>
          <w:p>
            <w:pPr>
              <w:spacing w:before="0" w:after="0" w:line="240" w:lineRule="auto"/>
            </w:pPr>
            <w:r>
              <w:rPr>
                <w:sz w:val="11"/>
              </w:rPr>
              <w:t>6.33e-06</w:t>
            </w:r>
          </w:p>
        </w:tc>
        <w:tc>
          <w:tcPr>
            <w:tcW w:type="dxa" w:w="1094"/>
            <w:vAlign w:val="center"/>
          </w:tcPr>
          <w:p>
            <w:pPr>
              <w:spacing w:before="0" w:after="0" w:line="240" w:lineRule="auto"/>
            </w:pPr>
            <w:r>
              <w:rPr>
                <w:sz w:val="11"/>
              </w:rPr>
              <w:t>1.00000</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1.000</w:t>
            </w:r>
          </w:p>
        </w:tc>
        <w:tc>
          <w:tcPr>
            <w:tcW w:type="dxa" w:w="1094"/>
            <w:vAlign w:val="center"/>
          </w:tcPr>
          <w:p>
            <w:pPr>
              <w:spacing w:before="0" w:after="0" w:line="240" w:lineRule="auto"/>
            </w:pPr>
            <w:r>
              <w:rPr>
                <w:sz w:val="11"/>
              </w:rPr>
              <w:t>3.78e-07</w:t>
            </w:r>
          </w:p>
        </w:tc>
        <w:tc>
          <w:tcPr>
            <w:tcW w:type="dxa" w:w="1098"/>
            <w:vAlign w:val="center"/>
          </w:tcPr>
          <w:p>
            <w:pPr>
              <w:spacing w:before="0" w:after="0" w:line="240" w:lineRule="auto"/>
            </w:pPr>
            <w:r>
              <w:rPr>
                <w:sz w:val="11"/>
              </w:rPr>
              <w:t>v0.99.25; Qualified release default</w:t>
            </w:r>
          </w:p>
        </w:tc>
      </w:tr>
      <w:tr>
        <w:tc>
          <w:tcPr>
            <w:tcW w:type="dxa" w:w="1094"/>
            <w:vAlign w:val="center"/>
          </w:tcPr>
          <w:p>
            <w:pPr>
              <w:spacing w:before="0" w:after="0" w:line="240" w:lineRule="auto"/>
            </w:pPr>
            <w:r>
              <w:rPr>
                <w:sz w:val="11"/>
              </w:rPr>
              <w:t>CUDA</w:t>
            </w:r>
          </w:p>
        </w:tc>
        <w:tc>
          <w:tcPr>
            <w:tcW w:type="dxa" w:w="1094"/>
            <w:vAlign w:val="center"/>
          </w:tcPr>
          <w:p>
            <w:pPr>
              <w:spacing w:before="0" w:after="0" w:line="240" w:lineRule="auto"/>
            </w:pPr>
            <w:r>
              <w:rPr>
                <w:sz w:val="11"/>
              </w:rPr>
              <w:t>20</w:t>
            </w:r>
          </w:p>
        </w:tc>
        <w:tc>
          <w:tcPr>
            <w:tcW w:type="dxa" w:w="1094"/>
            <w:vAlign w:val="center"/>
          </w:tcPr>
          <w:p>
            <w:pPr>
              <w:spacing w:before="0" w:after="0" w:line="240" w:lineRule="auto"/>
            </w:pPr>
            <w:r>
              <w:rPr>
                <w:sz w:val="11"/>
              </w:rPr>
              <w:t>4</w:t>
            </w:r>
          </w:p>
        </w:tc>
        <w:tc>
          <w:tcPr>
            <w:tcW w:type="dxa" w:w="1094"/>
            <w:vAlign w:val="center"/>
          </w:tcPr>
          <w:p>
            <w:pPr>
              <w:spacing w:before="0" w:after="0" w:line="240" w:lineRule="auto"/>
            </w:pPr>
            <w:r>
              <w:rPr>
                <w:sz w:val="11"/>
              </w:rPr>
              <w:t>40/40</w:t>
            </w:r>
          </w:p>
        </w:tc>
        <w:tc>
          <w:tcPr>
            <w:tcW w:type="dxa" w:w="1094"/>
            <w:vAlign w:val="center"/>
          </w:tcPr>
          <w:p>
            <w:pPr>
              <w:spacing w:before="0" w:after="0" w:line="240" w:lineRule="auto"/>
            </w:pPr>
            <w:r>
              <w:rPr>
                <w:sz w:val="11"/>
              </w:rPr>
              <w:t>6.20e-06</w:t>
            </w:r>
          </w:p>
        </w:tc>
        <w:tc>
          <w:tcPr>
            <w:tcW w:type="dxa" w:w="1094"/>
            <w:vAlign w:val="center"/>
          </w:tcPr>
          <w:p>
            <w:pPr>
              <w:spacing w:before="0" w:after="0" w:line="240" w:lineRule="auto"/>
            </w:pPr>
            <w:r>
              <w:rPr>
                <w:sz w:val="11"/>
              </w:rPr>
              <w:t>1.00000</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1.000</w:t>
            </w:r>
          </w:p>
        </w:tc>
        <w:tc>
          <w:tcPr>
            <w:tcW w:type="dxa" w:w="1094"/>
            <w:vAlign w:val="center"/>
          </w:tcPr>
          <w:p>
            <w:pPr>
              <w:spacing w:before="0" w:after="0" w:line="240" w:lineRule="auto"/>
            </w:pPr>
            <w:r>
              <w:rPr>
                <w:sz w:val="11"/>
              </w:rPr>
              <w:t>1.05e-07</w:t>
            </w:r>
          </w:p>
        </w:tc>
        <w:tc>
          <w:tcPr>
            <w:tcW w:type="dxa" w:w="1098"/>
            <w:vAlign w:val="center"/>
          </w:tcPr>
          <w:p>
            <w:pPr>
              <w:spacing w:before="0" w:after="0" w:line="240" w:lineRule="auto"/>
            </w:pPr>
            <w:r>
              <w:rPr>
                <w:sz w:val="11"/>
              </w:rPr>
              <w:t>v0.99.25; Qualified alternative</w:t>
            </w:r>
          </w:p>
        </w:tc>
      </w:tr>
      <w:tr>
        <w:tc>
          <w:tcPr>
            <w:tcW w:type="dxa" w:w="1094"/>
            <w:vAlign w:val="center"/>
          </w:tcPr>
          <w:p>
            <w:pPr>
              <w:spacing w:before="0" w:after="0" w:line="240" w:lineRule="auto"/>
            </w:pPr>
            <w:r>
              <w:rPr>
                <w:sz w:val="11"/>
              </w:rPr>
              <w:t>Metal</w:t>
            </w:r>
          </w:p>
        </w:tc>
        <w:tc>
          <w:tcPr>
            <w:tcW w:type="dxa" w:w="1094"/>
            <w:vAlign w:val="center"/>
          </w:tcPr>
          <w:p>
            <w:pPr>
              <w:spacing w:before="0" w:after="0" w:line="240" w:lineRule="auto"/>
            </w:pPr>
            <w:r>
              <w:rPr>
                <w:sz w:val="11"/>
              </w:rPr>
              <w:t>20</w:t>
            </w:r>
          </w:p>
        </w:tc>
        <w:tc>
          <w:tcPr>
            <w:tcW w:type="dxa" w:w="1094"/>
            <w:vAlign w:val="center"/>
          </w:tcPr>
          <w:p>
            <w:pPr>
              <w:spacing w:before="0" w:after="0" w:line="240" w:lineRule="auto"/>
            </w:pPr>
            <w:r>
              <w:rPr>
                <w:sz w:val="11"/>
              </w:rPr>
              <w:t>2</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NR</w:t>
            </w:r>
          </w:p>
        </w:tc>
        <w:tc>
          <w:tcPr>
            <w:tcW w:type="dxa" w:w="1094"/>
            <w:vAlign w:val="center"/>
          </w:tcPr>
          <w:p>
            <w:pPr>
              <w:spacing w:before="0" w:after="0" w:line="240" w:lineRule="auto"/>
            </w:pPr>
            <w:r>
              <w:rPr>
                <w:sz w:val="11"/>
              </w:rPr>
              <w:t>NR</w:t>
            </w:r>
          </w:p>
        </w:tc>
        <w:tc>
          <w:tcPr>
            <w:tcW w:type="dxa" w:w="1098"/>
            <w:vAlign w:val="center"/>
          </w:tcPr>
          <w:p>
            <w:pPr>
              <w:spacing w:before="0" w:after="0" w:line="240" w:lineRule="auto"/>
            </w:pPr>
            <w:r>
              <w:rPr>
                <w:sz w:val="11"/>
              </w:rPr>
              <w:t>v0.99.25; Unqualified; warning</w:t>
            </w:r>
          </w:p>
        </w:tc>
      </w:tr>
    </w:tbl>
    <w:p>
      <w:pPr>
        <w:keepNext/>
        <w:spacing w:before="0" w:after="0"/>
        <w:jc w:val="center"/>
      </w:pPr>
      <w:r>
        <w:drawing>
          <wp:inline>
            <wp:extent cx="5897880" cy="3931920"/>
            <wp:docPr id="2" name="Picture 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897880" cy="3931920"/>
                    </a:xfrm>
                    <a:prstGeom prst="rect"/>
                  </pic:spPr>
                </pic:pic>
              </a:graphicData>
            </a:graphic>
          </wp:inline>
        </w:drawing>
      </w:r>
    </w:p>
    <w:p>
      <w:pPr>
        <w:keepNext w:val="0"/>
        <w:keepLines/>
      </w:pPr>
      <w:r>
        <w:t>Figure S2. Historical exploratory one-power rSVD workflow speed relative to deterministic IRLBA. The setting used oversampling 10, one power iteration, and seed 123; it met only 101/117 checks and is excluded from estimator-preservation and release-default claims.</w:t>
      </w:r>
    </w:p>
    <w:p>
      <w:pPr>
        <w:jc w:val="center"/>
      </w:pPr>
      <w:r/>
    </w:p>
    <w:p>
      <w:pPr>
        <w:pStyle w:val="Heading1"/>
      </w:pPr>
      <w:r>
        <w:t>S14. float32 capability</w:t>
      </w:r>
    </w:p>
    <w:p>
      <w:r>
        <w:t>float64 is the confirmatory reference. float32 input halves raw matrix storage but does not guarantee lower peak process memory, faster execution, or numerical agreement. Public calls allow validated routes, warn for experimental, hybrid, or measured-risk routes, and stop before allocation for unavailable routes.</w:t>
      </w:r>
    </w:p>
    <w:p>
      <w:pPr>
        <w:pStyle w:val="Caption"/>
      </w:pPr>
      <w:r>
        <w:t>Table S9. Primary float32 capability matrix. Endpoint statuses are validated, experimental, hybrid, unavailable, or failed; extreme-response status refers to q &gt;= 10,000 with at least 50 components.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368"/>
        <w:gridCol w:w="1368"/>
        <w:gridCol w:w="1368"/>
        <w:gridCol w:w="1368"/>
        <w:gridCol w:w="1368"/>
        <w:gridCol w:w="1368"/>
        <w:gridCol w:w="1368"/>
        <w:gridCol w:w="1368"/>
      </w:tblGrid>
      <w:tr>
        <w:trPr>
          <w:tblHeader w:val="true"/>
          <w:cantSplit/>
        </w:trPr>
        <w:tc>
          <w:tcPr>
            <w:tcW w:type="dxa" w:w="1368"/>
            <w:vAlign w:val="center"/>
          </w:tcPr>
          <w:p>
            <w:pPr>
              <w:spacing w:before="0" w:after="0" w:line="240" w:lineRule="auto"/>
              <w:jc w:val="left"/>
            </w:pPr>
            <w:r>
              <w:rPr>
                <w:b/>
                <w:sz w:val="11"/>
              </w:rPr>
              <w:t>Family</w:t>
            </w:r>
          </w:p>
        </w:tc>
        <w:tc>
          <w:tcPr>
            <w:tcW w:type="dxa" w:w="1368"/>
            <w:vAlign w:val="center"/>
          </w:tcPr>
          <w:p>
            <w:pPr>
              <w:spacing w:before="0" w:after="0" w:line="240" w:lineRule="auto"/>
              <w:jc w:val="center"/>
            </w:pPr>
            <w:r>
              <w:rPr>
                <w:b/>
                <w:sz w:val="11"/>
              </w:rPr>
              <w:t>Kernel</w:t>
            </w:r>
          </w:p>
        </w:tc>
        <w:tc>
          <w:tcPr>
            <w:tcW w:type="dxa" w:w="1368"/>
            <w:vAlign w:val="center"/>
          </w:tcPr>
          <w:p>
            <w:pPr>
              <w:spacing w:before="0" w:after="0" w:line="240" w:lineRule="auto"/>
              <w:jc w:val="center"/>
            </w:pPr>
            <w:r>
              <w:rPr>
                <w:b/>
                <w:sz w:val="11"/>
              </w:rPr>
              <w:t>Backend</w:t>
            </w:r>
          </w:p>
        </w:tc>
        <w:tc>
          <w:tcPr>
            <w:tcW w:type="dxa" w:w="1368"/>
            <w:vAlign w:val="center"/>
          </w:tcPr>
          <w:p>
            <w:pPr>
              <w:spacing w:before="0" w:after="0" w:line="240" w:lineRule="auto"/>
              <w:jc w:val="center"/>
            </w:pPr>
            <w:r>
              <w:rPr>
                <w:b/>
                <w:sz w:val="11"/>
              </w:rPr>
              <w:t>Endpoint status</w:t>
            </w:r>
          </w:p>
        </w:tc>
        <w:tc>
          <w:tcPr>
            <w:tcW w:type="dxa" w:w="1368"/>
            <w:vAlign w:val="center"/>
          </w:tcPr>
          <w:p>
            <w:pPr>
              <w:spacing w:before="0" w:after="0" w:line="240" w:lineRule="auto"/>
              <w:jc w:val="center"/>
            </w:pPr>
            <w:r>
              <w:rPr>
                <w:b/>
                <w:sz w:val="11"/>
              </w:rPr>
              <w:t>Solver</w:t>
            </w:r>
          </w:p>
        </w:tc>
        <w:tc>
          <w:tcPr>
            <w:tcW w:type="dxa" w:w="1368"/>
            <w:vAlign w:val="center"/>
          </w:tcPr>
          <w:p>
            <w:pPr>
              <w:spacing w:before="0" w:after="0" w:line="240" w:lineRule="auto"/>
              <w:jc w:val="center"/>
            </w:pPr>
            <w:r>
              <w:rPr>
                <w:b/>
                <w:sz w:val="11"/>
              </w:rPr>
              <w:t>Residency</w:t>
            </w:r>
          </w:p>
        </w:tc>
        <w:tc>
          <w:tcPr>
            <w:tcW w:type="dxa" w:w="1368"/>
            <w:vAlign w:val="center"/>
          </w:tcPr>
          <w:p>
            <w:pPr>
              <w:spacing w:before="0" w:after="0" w:line="240" w:lineRule="auto"/>
              <w:jc w:val="center"/>
            </w:pPr>
            <w:r>
              <w:rPr>
                <w:b/>
                <w:sz w:val="11"/>
              </w:rPr>
              <w:t>Windows</w:t>
            </w:r>
          </w:p>
        </w:tc>
        <w:tc>
          <w:tcPr>
            <w:tcW w:type="dxa" w:w="1368"/>
            <w:vAlign w:val="center"/>
          </w:tcPr>
          <w:p>
            <w:pPr>
              <w:spacing w:before="0" w:after="0" w:line="240" w:lineRule="auto"/>
              <w:jc w:val="center"/>
            </w:pPr>
            <w:r>
              <w:rPr>
                <w:b/>
                <w:sz w:val="11"/>
              </w:rPr>
              <w:t>Extreme q</w:t>
            </w:r>
          </w:p>
        </w:tc>
      </w:tr>
      <w:tr>
        <w:trPr>
          <w:cantSplit/>
        </w:trPr>
        <w:tc>
          <w:tcPr>
            <w:tcW w:type="dxa" w:w="1368"/>
            <w:vAlign w:val="center"/>
          </w:tcPr>
          <w:p>
            <w:pPr>
              <w:spacing w:before="0" w:after="0" w:line="240" w:lineRule="auto"/>
              <w:jc w:val="left"/>
            </w:pPr>
            <w:r>
              <w:rPr>
                <w:b w:val="0"/>
                <w:sz w:val="11"/>
              </w:rPr>
              <w:t>PLS-SVD</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jc w:val="center"/>
            </w:pPr>
            <w:r>
              <w:rPr>
                <w:b w:val="0"/>
                <w:sz w:val="11"/>
              </w:rPr>
              <w:t>regression=validated; argmax=validated; LDA=validated</w:t>
            </w:r>
          </w:p>
        </w:tc>
        <w:tc>
          <w:tcPr>
            <w:tcW w:type="dxa" w:w="1368"/>
            <w:vAlign w:val="center"/>
          </w:tcPr>
          <w:p>
            <w:pPr>
              <w:spacing w:before="0" w:after="0" w:line="240" w:lineRule="auto"/>
              <w:jc w:val="center"/>
            </w:pPr>
            <w:r>
              <w:rPr>
                <w:b w:val="0"/>
                <w:sz w:val="11"/>
              </w:rPr>
              <w:t>rSVD validated; IRLBA experimental</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pPr>
            <w:r>
              <w:rPr>
                <w:sz w:val="11"/>
              </w:rPr>
              <w:t>portable CPU rSVD regression/argmax; native LDA unavailable</w:t>
            </w:r>
          </w:p>
        </w:tc>
        <w:tc>
          <w:tcPr>
            <w:tcW w:type="dxa" w:w="1368"/>
            <w:vAlign w:val="center"/>
          </w:tcPr>
          <w:p>
            <w:pPr>
              <w:spacing w:before="0" w:after="0" w:line="240" w:lineRule="auto"/>
              <w:jc w:val="center"/>
            </w:pPr>
            <w:r>
              <w:rPr>
                <w:b w:val="0"/>
                <w:sz w:val="11"/>
              </w:rPr>
              <w:t>experimental/not applicable</w:t>
            </w:r>
          </w:p>
        </w:tc>
      </w:tr>
      <w:tr>
        <w:trPr>
          <w:cantSplit/>
        </w:trPr>
        <w:tc>
          <w:tcPr>
            <w:tcW w:type="dxa" w:w="1368"/>
            <w:vAlign w:val="center"/>
          </w:tcPr>
          <w:p>
            <w:pPr>
              <w:spacing w:before="0" w:after="0" w:line="240" w:lineRule="auto"/>
              <w:jc w:val="left"/>
            </w:pPr>
            <w:r>
              <w:rPr>
                <w:b w:val="0"/>
                <w:sz w:val="11"/>
              </w:rPr>
              <w:t>PLS-SVD</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CUDA</w:t>
            </w:r>
          </w:p>
        </w:tc>
        <w:tc>
          <w:tcPr>
            <w:tcW w:type="dxa" w:w="1368"/>
            <w:vAlign w:val="center"/>
          </w:tcPr>
          <w:p>
            <w:pPr>
              <w:spacing w:before="0" w:after="0" w:line="240" w:lineRule="auto"/>
              <w:jc w:val="center"/>
            </w:pPr>
            <w:r>
              <w:rPr>
                <w:b w:val="0"/>
                <w:sz w:val="11"/>
              </w:rPr>
              <w:t>regression=validated; argmax=validated; LDA=validated</w:t>
            </w:r>
          </w:p>
        </w:tc>
        <w:tc>
          <w:tcPr>
            <w:tcW w:type="dxa" w:w="1368"/>
            <w:vAlign w:val="center"/>
          </w:tcPr>
          <w:p>
            <w:pPr>
              <w:spacing w:before="0" w:after="0" w:line="240" w:lineRule="auto"/>
              <w:jc w:val="center"/>
            </w:pPr>
            <w:r>
              <w:rPr>
                <w:b w:val="0"/>
                <w:sz w:val="11"/>
              </w:rPr>
              <w:t>rSVD only</w:t>
            </w:r>
          </w:p>
        </w:tc>
        <w:tc>
          <w:tcPr>
            <w:tcW w:type="dxa" w:w="1368"/>
            <w:vAlign w:val="center"/>
          </w:tcPr>
          <w:p>
            <w:pPr>
              <w:spacing w:before="0" w:after="0" w:line="240" w:lineRule="auto"/>
              <w:jc w:val="center"/>
            </w:pPr>
            <w:r>
              <w:rPr>
                <w:b w:val="0"/>
                <w:sz w:val="11"/>
              </w:rPr>
              <w:t>device</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experimental/not applicable</w:t>
            </w:r>
          </w:p>
        </w:tc>
      </w:tr>
      <w:tr>
        <w:trPr>
          <w:cantSplit/>
        </w:trPr>
        <w:tc>
          <w:tcPr>
            <w:tcW w:type="dxa" w:w="1368"/>
            <w:vAlign w:val="center"/>
          </w:tcPr>
          <w:p>
            <w:pPr>
              <w:spacing w:before="0" w:after="0" w:line="240" w:lineRule="auto"/>
              <w:jc w:val="left"/>
            </w:pPr>
            <w:r>
              <w:rPr>
                <w:b w:val="0"/>
                <w:sz w:val="11"/>
              </w:rPr>
              <w:t>PLS-SVD</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Metal</w:t>
            </w:r>
          </w:p>
        </w:tc>
        <w:tc>
          <w:tcPr>
            <w:tcW w:type="dxa" w:w="1368"/>
            <w:vAlign w:val="center"/>
          </w:tcPr>
          <w:p>
            <w:pPr>
              <w:spacing w:before="0" w:after="0" w:line="240" w:lineRule="auto"/>
              <w:jc w:val="center"/>
            </w:pPr>
            <w:r>
              <w:rPr>
                <w:b w:val="0"/>
                <w:sz w:val="11"/>
              </w:rPr>
              <w:t>regression=experimental; argmax=experimental; LDA=hybrid</w:t>
            </w:r>
          </w:p>
        </w:tc>
        <w:tc>
          <w:tcPr>
            <w:tcW w:type="dxa" w:w="1368"/>
            <w:vAlign w:val="center"/>
          </w:tcPr>
          <w:p>
            <w:pPr>
              <w:spacing w:before="0" w:after="0" w:line="240" w:lineRule="auto"/>
              <w:jc w:val="center"/>
            </w:pPr>
            <w:r>
              <w:rPr>
                <w:b w:val="0"/>
                <w:sz w:val="11"/>
              </w:rPr>
              <w:t>rSVD and IRLBA experimental</w:t>
            </w:r>
          </w:p>
        </w:tc>
        <w:tc>
          <w:tcPr>
            <w:tcW w:type="dxa" w:w="1368"/>
            <w:vAlign w:val="center"/>
          </w:tcPr>
          <w:p>
            <w:pPr>
              <w:spacing w:before="0" w:after="0" w:line="240" w:lineRule="auto"/>
              <w:jc w:val="center"/>
            </w:pPr>
            <w:r>
              <w:rPr>
                <w:b w:val="0"/>
                <w:sz w:val="11"/>
              </w:rPr>
              <w:t>Metal PLS scores plus CPU float32 LDA/device with hybrid reduced decomposition</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experimental/not applicable</w:t>
            </w:r>
          </w:p>
        </w:tc>
      </w:tr>
      <w:tr>
        <w:trPr>
          <w:cantSplit/>
        </w:trPr>
        <w:tc>
          <w:tcPr>
            <w:tcW w:type="dxa" w:w="1368"/>
            <w:vAlign w:val="center"/>
          </w:tcPr>
          <w:p>
            <w:pPr>
              <w:spacing w:before="0" w:after="0" w:line="240" w:lineRule="auto"/>
              <w:jc w:val="left"/>
            </w:pPr>
            <w:r>
              <w:rPr>
                <w:b w:val="0"/>
                <w:sz w:val="11"/>
              </w:rPr>
              <w:t>SIMPLS</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jc w:val="center"/>
            </w:pPr>
            <w:r>
              <w:rPr>
                <w:b w:val="0"/>
                <w:sz w:val="11"/>
              </w:rPr>
              <w:t>regression=validated; argmax=experimental; LDA=experimental</w:t>
            </w:r>
          </w:p>
        </w:tc>
        <w:tc>
          <w:tcPr>
            <w:tcW w:type="dxa" w:w="1368"/>
            <w:vAlign w:val="center"/>
          </w:tcPr>
          <w:p>
            <w:pPr>
              <w:spacing w:before="0" w:after="0" w:line="240" w:lineRule="auto"/>
              <w:jc w:val="center"/>
            </w:pPr>
            <w:r>
              <w:rPr>
                <w:b w:val="0"/>
                <w:sz w:val="11"/>
              </w:rPr>
              <w:t>rSVD validated; IRLBA experimental</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pPr>
            <w:r>
              <w:rPr>
                <w:sz w:val="11"/>
              </w:rPr>
              <w:t>portable CPU rSVD regression/argmax; native LDA 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SIMPLS</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CUDA</w:t>
            </w:r>
          </w:p>
        </w:tc>
        <w:tc>
          <w:tcPr>
            <w:tcW w:type="dxa" w:w="1368"/>
            <w:vAlign w:val="center"/>
          </w:tcPr>
          <w:p>
            <w:pPr>
              <w:spacing w:before="0" w:after="0" w:line="240" w:lineRule="auto"/>
            </w:pPr>
            <w:r>
              <w:rPr>
                <w:b w:val="0"/>
                <w:sz w:val="11"/>
              </w:rPr>
              <w:t>regression=validated; argmax=experimental; LDA=experimental</w:t>
            </w:r>
          </w:p>
        </w:tc>
        <w:tc>
          <w:tcPr>
            <w:tcW w:type="dxa" w:w="1368"/>
            <w:vAlign w:val="center"/>
          </w:tcPr>
          <w:p>
            <w:pPr>
              <w:spacing w:before="0" w:after="0" w:line="240" w:lineRule="auto"/>
              <w:jc w:val="center"/>
            </w:pPr>
            <w:r>
              <w:rPr>
                <w:b w:val="0"/>
                <w:sz w:val="11"/>
              </w:rPr>
              <w:t>rSVD only</w:t>
            </w:r>
          </w:p>
        </w:tc>
        <w:tc>
          <w:tcPr>
            <w:tcW w:type="dxa" w:w="1368"/>
            <w:vAlign w:val="center"/>
          </w:tcPr>
          <w:p>
            <w:pPr>
              <w:spacing w:before="0" w:after="0" w:line="240" w:lineRule="auto"/>
            </w:pPr>
            <w:r>
              <w:rPr>
                <w:b w:val="0"/>
                <w:sz w:val="11"/>
              </w:rPr>
              <w:t>Hybrid in float32 label-aware classification: host sequential SIMPLS and score projection; CUDA rSVD range products and LDA</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SIMPLS</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Metal</w:t>
            </w:r>
          </w:p>
        </w:tc>
        <w:tc>
          <w:tcPr>
            <w:tcW w:type="dxa" w:w="1368"/>
            <w:vAlign w:val="center"/>
          </w:tcPr>
          <w:p>
            <w:pPr>
              <w:spacing w:before="0" w:after="0" w:line="240" w:lineRule="auto"/>
              <w:jc w:val="center"/>
            </w:pPr>
            <w:r>
              <w:rPr>
                <w:b w:val="0"/>
                <w:sz w:val="11"/>
              </w:rPr>
              <w:t>regression=experimental; argmax=experimental; LDA=hybrid</w:t>
            </w:r>
          </w:p>
        </w:tc>
        <w:tc>
          <w:tcPr>
            <w:tcW w:type="dxa" w:w="1368"/>
            <w:vAlign w:val="center"/>
          </w:tcPr>
          <w:p>
            <w:pPr>
              <w:spacing w:before="0" w:after="0" w:line="240" w:lineRule="auto"/>
              <w:jc w:val="center"/>
            </w:pPr>
            <w:r>
              <w:rPr>
                <w:b w:val="0"/>
                <w:sz w:val="11"/>
              </w:rPr>
              <w:t>rSVD and IRLBA experimental</w:t>
            </w:r>
          </w:p>
        </w:tc>
        <w:tc>
          <w:tcPr>
            <w:tcW w:type="dxa" w:w="1368"/>
            <w:vAlign w:val="center"/>
          </w:tcPr>
          <w:p>
            <w:pPr>
              <w:spacing w:before="0" w:after="0" w:line="240" w:lineRule="auto"/>
              <w:jc w:val="center"/>
            </w:pPr>
            <w:r>
              <w:rPr>
                <w:b w:val="0"/>
                <w:sz w:val="11"/>
              </w:rPr>
              <w:t>Metal PLS scores plus CPU float32 LDA/device with hybrid reduced decomposition</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OPLS</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jc w:val="center"/>
            </w:pPr>
            <w:r>
              <w:rPr>
                <w:b w:val="0"/>
                <w:sz w:val="11"/>
              </w:rPr>
              <w:t>regression=validated; argmax=validated; LDA=validated</w:t>
            </w:r>
          </w:p>
        </w:tc>
        <w:tc>
          <w:tcPr>
            <w:tcW w:type="dxa" w:w="1368"/>
            <w:vAlign w:val="center"/>
          </w:tcPr>
          <w:p>
            <w:pPr>
              <w:spacing w:before="0" w:after="0" w:line="240" w:lineRule="auto"/>
              <w:jc w:val="center"/>
            </w:pPr>
            <w:r>
              <w:rPr>
                <w:b w:val="0"/>
                <w:sz w:val="11"/>
              </w:rPr>
              <w:t>rSVD validated; IRLBA experimental</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pPr>
            <w:r>
              <w:rPr>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OPLS</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CUDA</w:t>
            </w:r>
          </w:p>
        </w:tc>
        <w:tc>
          <w:tcPr>
            <w:tcW w:type="dxa" w:w="1368"/>
            <w:vAlign w:val="center"/>
          </w:tcPr>
          <w:p>
            <w:pPr>
              <w:spacing w:before="0" w:after="0" w:line="240" w:lineRule="auto"/>
              <w:jc w:val="center"/>
            </w:pPr>
            <w:r>
              <w:rPr>
                <w:b w:val="0"/>
                <w:sz w:val="11"/>
              </w:rPr>
              <w:t>regression=hybrid; argmax=hybrid; LDA=hybrid</w:t>
            </w:r>
          </w:p>
        </w:tc>
        <w:tc>
          <w:tcPr>
            <w:tcW w:type="dxa" w:w="1368"/>
            <w:vAlign w:val="center"/>
          </w:tcPr>
          <w:p>
            <w:pPr>
              <w:spacing w:before="0" w:after="0" w:line="240" w:lineRule="auto"/>
              <w:jc w:val="center"/>
            </w:pPr>
            <w:r>
              <w:rPr>
                <w:b w:val="0"/>
                <w:sz w:val="11"/>
              </w:rPr>
              <w:t>rSVD only</w:t>
            </w:r>
          </w:p>
        </w:tc>
        <w:tc>
          <w:tcPr>
            <w:tcW w:type="dxa" w:w="1368"/>
            <w:vAlign w:val="center"/>
          </w:tcPr>
          <w:p>
            <w:pPr>
              <w:spacing w:before="0" w:after="0" w:line="240" w:lineRule="auto"/>
              <w:jc w:val="center"/>
            </w:pPr>
            <w:r>
              <w:rPr>
                <w:b w:val="0"/>
                <w:sz w:val="11"/>
              </w:rPr>
              <w:t>CUDA inner PLS with host-resident OPLS orchestration</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OPLS</w:t>
            </w:r>
          </w:p>
        </w:tc>
        <w:tc>
          <w:tcPr>
            <w:tcW w:type="dxa" w:w="1368"/>
            <w:vAlign w:val="center"/>
          </w:tcPr>
          <w:p>
            <w:pPr>
              <w:spacing w:before="0" w:after="0" w:line="240" w:lineRule="auto"/>
              <w:jc w:val="center"/>
            </w:pPr>
            <w:r>
              <w:rPr>
                <w:b w:val="0"/>
                <w:sz w:val="11"/>
              </w:rPr>
              <w:t>n/a</w:t>
            </w:r>
          </w:p>
        </w:tc>
        <w:tc>
          <w:tcPr>
            <w:tcW w:type="dxa" w:w="1368"/>
            <w:vAlign w:val="center"/>
          </w:tcPr>
          <w:p>
            <w:pPr>
              <w:spacing w:before="0" w:after="0" w:line="240" w:lineRule="auto"/>
              <w:jc w:val="center"/>
            </w:pPr>
            <w:r>
              <w:rPr>
                <w:b w:val="0"/>
                <w:sz w:val="11"/>
              </w:rPr>
              <w:t>Metal</w:t>
            </w:r>
          </w:p>
        </w:tc>
        <w:tc>
          <w:tcPr>
            <w:tcW w:type="dxa" w:w="1368"/>
            <w:vAlign w:val="center"/>
          </w:tcPr>
          <w:p>
            <w:pPr>
              <w:spacing w:before="0" w:after="0" w:line="240" w:lineRule="auto"/>
              <w:jc w:val="center"/>
            </w:pPr>
            <w:r>
              <w:rPr>
                <w:b w:val="0"/>
                <w:sz w:val="11"/>
              </w:rPr>
              <w:t>regression=hybrid; argmax=hybrid; LDA=hybrid</w:t>
            </w:r>
          </w:p>
        </w:tc>
        <w:tc>
          <w:tcPr>
            <w:tcW w:type="dxa" w:w="1368"/>
            <w:vAlign w:val="center"/>
          </w:tcPr>
          <w:p>
            <w:pPr>
              <w:spacing w:before="0" w:after="0" w:line="240" w:lineRule="auto"/>
              <w:jc w:val="center"/>
            </w:pPr>
            <w:r>
              <w:rPr>
                <w:b w:val="0"/>
                <w:sz w:val="11"/>
              </w:rPr>
              <w:t>rSVD and IRLBA experimental</w:t>
            </w:r>
          </w:p>
        </w:tc>
        <w:tc>
          <w:tcPr>
            <w:tcW w:type="dxa" w:w="1368"/>
            <w:vAlign w:val="center"/>
          </w:tcPr>
          <w:p>
            <w:pPr>
              <w:spacing w:before="0" w:after="0" w:line="240" w:lineRule="auto"/>
              <w:jc w:val="center"/>
            </w:pPr>
            <w:r>
              <w:rPr>
                <w:b w:val="0"/>
                <w:sz w:val="11"/>
              </w:rPr>
              <w:t>Metal inner PLS with host-resident OPLS orchestration</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kernel PLS</w:t>
            </w:r>
          </w:p>
        </w:tc>
        <w:tc>
          <w:tcPr>
            <w:tcW w:type="dxa" w:w="1368"/>
            <w:vAlign w:val="center"/>
          </w:tcPr>
          <w:p>
            <w:pPr>
              <w:spacing w:before="0" w:after="0" w:line="240" w:lineRule="auto"/>
              <w:jc w:val="center"/>
            </w:pPr>
            <w:r>
              <w:rPr>
                <w:b w:val="0"/>
                <w:sz w:val="11"/>
              </w:rPr>
              <w:t>linear</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jc w:val="center"/>
            </w:pPr>
            <w:r>
              <w:rPr>
                <w:b w:val="0"/>
                <w:sz w:val="11"/>
              </w:rPr>
              <w:t>regression=validated; argmax=experimental; LDA=experimental</w:t>
            </w:r>
          </w:p>
        </w:tc>
        <w:tc>
          <w:tcPr>
            <w:tcW w:type="dxa" w:w="1368"/>
            <w:vAlign w:val="center"/>
          </w:tcPr>
          <w:p>
            <w:pPr>
              <w:spacing w:before="0" w:after="0" w:line="240" w:lineRule="auto"/>
              <w:jc w:val="center"/>
            </w:pPr>
            <w:r>
              <w:rPr>
                <w:b w:val="0"/>
                <w:sz w:val="11"/>
              </w:rPr>
              <w:t>rSVD validated; IRLBA experimental</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pPr>
            <w:r>
              <w:rPr>
                <w:sz w:val="11"/>
              </w:rPr>
              <w:t>portable CPU rSVD regression/argmax; native LDA 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kernel PLS</w:t>
            </w:r>
          </w:p>
        </w:tc>
        <w:tc>
          <w:tcPr>
            <w:tcW w:type="dxa" w:w="1368"/>
            <w:vAlign w:val="center"/>
          </w:tcPr>
          <w:p>
            <w:pPr>
              <w:spacing w:before="0" w:after="0" w:line="240" w:lineRule="auto"/>
              <w:jc w:val="center"/>
            </w:pPr>
            <w:r>
              <w:rPr>
                <w:b w:val="0"/>
                <w:sz w:val="11"/>
              </w:rPr>
              <w:t>linear</w:t>
            </w:r>
          </w:p>
        </w:tc>
        <w:tc>
          <w:tcPr>
            <w:tcW w:type="dxa" w:w="1368"/>
            <w:vAlign w:val="center"/>
          </w:tcPr>
          <w:p>
            <w:pPr>
              <w:spacing w:before="0" w:after="0" w:line="240" w:lineRule="auto"/>
              <w:jc w:val="center"/>
            </w:pPr>
            <w:r>
              <w:rPr>
                <w:b w:val="0"/>
                <w:sz w:val="11"/>
              </w:rPr>
              <w:t>CUDA</w:t>
            </w:r>
          </w:p>
        </w:tc>
        <w:tc>
          <w:tcPr>
            <w:tcW w:type="dxa" w:w="1368"/>
            <w:vAlign w:val="center"/>
          </w:tcPr>
          <w:p>
            <w:pPr>
              <w:spacing w:before="0" w:after="0" w:line="240" w:lineRule="auto"/>
              <w:jc w:val="center"/>
            </w:pPr>
            <w:r>
              <w:rPr>
                <w:b w:val="0"/>
                <w:sz w:val="11"/>
              </w:rPr>
              <w:t>regression=validated; argmax=experimental; LDA=experimental</w:t>
            </w:r>
          </w:p>
        </w:tc>
        <w:tc>
          <w:tcPr>
            <w:tcW w:type="dxa" w:w="1368"/>
            <w:vAlign w:val="center"/>
          </w:tcPr>
          <w:p>
            <w:pPr>
              <w:spacing w:before="0" w:after="0" w:line="240" w:lineRule="auto"/>
              <w:jc w:val="center"/>
            </w:pPr>
            <w:r>
              <w:rPr>
                <w:b w:val="0"/>
                <w:sz w:val="11"/>
              </w:rPr>
              <w:t>rSVD only</w:t>
            </w:r>
          </w:p>
        </w:tc>
        <w:tc>
          <w:tcPr>
            <w:tcW w:type="dxa" w:w="1368"/>
            <w:vAlign w:val="center"/>
          </w:tcPr>
          <w:p>
            <w:pPr>
              <w:spacing w:before="0" w:after="0" w:line="240" w:lineRule="auto"/>
              <w:jc w:val="center"/>
            </w:pPr>
            <w:r>
              <w:rPr>
                <w:b w:val="0"/>
                <w:sz w:val="11"/>
              </w:rPr>
              <w:t>device</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kernel PLS</w:t>
            </w:r>
          </w:p>
        </w:tc>
        <w:tc>
          <w:tcPr>
            <w:tcW w:type="dxa" w:w="1368"/>
            <w:vAlign w:val="center"/>
          </w:tcPr>
          <w:p>
            <w:pPr>
              <w:spacing w:before="0" w:after="0" w:line="240" w:lineRule="auto"/>
              <w:jc w:val="center"/>
            </w:pPr>
            <w:r>
              <w:rPr>
                <w:b w:val="0"/>
                <w:sz w:val="11"/>
              </w:rPr>
              <w:t>linear</w:t>
            </w:r>
          </w:p>
        </w:tc>
        <w:tc>
          <w:tcPr>
            <w:tcW w:type="dxa" w:w="1368"/>
            <w:vAlign w:val="center"/>
          </w:tcPr>
          <w:p>
            <w:pPr>
              <w:spacing w:before="0" w:after="0" w:line="240" w:lineRule="auto"/>
              <w:jc w:val="center"/>
            </w:pPr>
            <w:r>
              <w:rPr>
                <w:b w:val="0"/>
                <w:sz w:val="11"/>
              </w:rPr>
              <w:t>Metal</w:t>
            </w:r>
          </w:p>
        </w:tc>
        <w:tc>
          <w:tcPr>
            <w:tcW w:type="dxa" w:w="1368"/>
            <w:vAlign w:val="center"/>
          </w:tcPr>
          <w:p>
            <w:pPr>
              <w:spacing w:before="0" w:after="0" w:line="240" w:lineRule="auto"/>
              <w:jc w:val="center"/>
            </w:pPr>
            <w:r>
              <w:rPr>
                <w:b w:val="0"/>
                <w:sz w:val="11"/>
              </w:rPr>
              <w:t>regression=experimental; argmax=experimental; LDA=hybrid</w:t>
            </w:r>
          </w:p>
        </w:tc>
        <w:tc>
          <w:tcPr>
            <w:tcW w:type="dxa" w:w="1368"/>
            <w:vAlign w:val="center"/>
          </w:tcPr>
          <w:p>
            <w:pPr>
              <w:spacing w:before="0" w:after="0" w:line="240" w:lineRule="auto"/>
              <w:jc w:val="center"/>
            </w:pPr>
            <w:r>
              <w:rPr>
                <w:b w:val="0"/>
                <w:sz w:val="11"/>
              </w:rPr>
              <w:t>rSVD and IRLBA experimental</w:t>
            </w:r>
          </w:p>
        </w:tc>
        <w:tc>
          <w:tcPr>
            <w:tcW w:type="dxa" w:w="1368"/>
            <w:vAlign w:val="center"/>
          </w:tcPr>
          <w:p>
            <w:pPr>
              <w:spacing w:before="0" w:after="0" w:line="240" w:lineRule="auto"/>
              <w:jc w:val="center"/>
            </w:pPr>
            <w:r>
              <w:rPr>
                <w:b w:val="0"/>
                <w:sz w:val="11"/>
              </w:rPr>
              <w:t>Metal PLS scores plus CPU float32 LDA/device with hybrid reduced decomposition</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kernel PLS</w:t>
            </w:r>
          </w:p>
        </w:tc>
        <w:tc>
          <w:tcPr>
            <w:tcW w:type="dxa" w:w="1368"/>
            <w:vAlign w:val="center"/>
          </w:tcPr>
          <w:p>
            <w:pPr>
              <w:spacing w:before="0" w:after="0" w:line="240" w:lineRule="auto"/>
              <w:jc w:val="center"/>
            </w:pPr>
            <w:r>
              <w:rPr>
                <w:b w:val="0"/>
                <w:sz w:val="11"/>
              </w:rPr>
              <w:t>nonlinear</w:t>
            </w:r>
          </w:p>
        </w:tc>
        <w:tc>
          <w:tcPr>
            <w:tcW w:type="dxa" w:w="1368"/>
            <w:vAlign w:val="center"/>
          </w:tcPr>
          <w:p>
            <w:pPr>
              <w:spacing w:before="0" w:after="0" w:line="240" w:lineRule="auto"/>
              <w:jc w:val="center"/>
            </w:pPr>
            <w:r>
              <w:rPr>
                <w:b w:val="0"/>
                <w:sz w:val="11"/>
              </w:rPr>
              <w:t>CPU</w:t>
            </w:r>
          </w:p>
        </w:tc>
        <w:tc>
          <w:tcPr>
            <w:tcW w:type="dxa" w:w="1368"/>
            <w:vAlign w:val="center"/>
          </w:tcPr>
          <w:p>
            <w:pPr>
              <w:spacing w:before="0" w:after="0" w:line="240" w:lineRule="auto"/>
              <w:jc w:val="center"/>
            </w:pPr>
            <w:r>
              <w:rPr>
                <w:b w:val="0"/>
                <w:sz w:val="11"/>
              </w:rPr>
              <w:t>regression=experimental; argmax=experimental; LDA=experimental</w:t>
            </w:r>
          </w:p>
        </w:tc>
        <w:tc>
          <w:tcPr>
            <w:tcW w:type="dxa" w:w="1368"/>
            <w:vAlign w:val="center"/>
          </w:tcPr>
          <w:p>
            <w:pPr>
              <w:spacing w:before="0" w:after="0" w:line="240" w:lineRule="auto"/>
              <w:jc w:val="center"/>
            </w:pPr>
            <w:r>
              <w:rPr>
                <w:b w:val="0"/>
                <w:sz w:val="11"/>
              </w:rPr>
              <w:t>rSVD validated; IRLBA experimental</w:t>
            </w:r>
          </w:p>
        </w:tc>
        <w:tc>
          <w:tcPr>
            <w:tcW w:type="dxa" w:w="1368"/>
            <w:vAlign w:val="center"/>
          </w:tcPr>
          <w:p>
            <w:pPr>
              <w:spacing w:before="0" w:after="0" w:line="240" w:lineRule="auto"/>
              <w:jc w:val="center"/>
            </w:pPr>
            <w:r>
              <w:rPr>
                <w:b w:val="0"/>
                <w:sz w:val="11"/>
              </w:rPr>
              <w:t>CPU with explicit Gram matrix</w:t>
            </w:r>
          </w:p>
        </w:tc>
        <w:tc>
          <w:tcPr>
            <w:tcW w:type="dxa" w:w="1368"/>
            <w:vAlign w:val="center"/>
          </w:tcPr>
          <w:p>
            <w:pPr>
              <w:spacing w:before="0" w:after="0" w:line="240" w:lineRule="auto"/>
            </w:pPr>
            <w:r>
              <w:rPr>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kernel PLS</w:t>
            </w:r>
          </w:p>
        </w:tc>
        <w:tc>
          <w:tcPr>
            <w:tcW w:type="dxa" w:w="1368"/>
            <w:vAlign w:val="center"/>
          </w:tcPr>
          <w:p>
            <w:pPr>
              <w:spacing w:before="0" w:after="0" w:line="240" w:lineRule="auto"/>
              <w:jc w:val="center"/>
            </w:pPr>
            <w:r>
              <w:rPr>
                <w:b w:val="0"/>
                <w:sz w:val="11"/>
              </w:rPr>
              <w:t>nonlinear</w:t>
            </w:r>
          </w:p>
        </w:tc>
        <w:tc>
          <w:tcPr>
            <w:tcW w:type="dxa" w:w="1368"/>
            <w:vAlign w:val="center"/>
          </w:tcPr>
          <w:p>
            <w:pPr>
              <w:spacing w:before="0" w:after="0" w:line="240" w:lineRule="auto"/>
              <w:jc w:val="center"/>
            </w:pPr>
            <w:r>
              <w:rPr>
                <w:b w:val="0"/>
                <w:sz w:val="11"/>
              </w:rPr>
              <w:t>CUDA</w:t>
            </w:r>
          </w:p>
        </w:tc>
        <w:tc>
          <w:tcPr>
            <w:tcW w:type="dxa" w:w="1368"/>
            <w:vAlign w:val="center"/>
          </w:tcPr>
          <w:p>
            <w:pPr>
              <w:spacing w:before="0" w:after="0" w:line="240" w:lineRule="auto"/>
              <w:jc w:val="center"/>
            </w:pPr>
            <w:r>
              <w:rPr>
                <w:b w:val="0"/>
                <w:sz w:val="11"/>
              </w:rPr>
              <w:t>regression=hybrid; argmax=hybrid; LDA=hybrid</w:t>
            </w:r>
          </w:p>
        </w:tc>
        <w:tc>
          <w:tcPr>
            <w:tcW w:type="dxa" w:w="1368"/>
            <w:vAlign w:val="center"/>
          </w:tcPr>
          <w:p>
            <w:pPr>
              <w:spacing w:before="0" w:after="0" w:line="240" w:lineRule="auto"/>
              <w:jc w:val="center"/>
            </w:pPr>
            <w:r>
              <w:rPr>
                <w:b w:val="0"/>
                <w:sz w:val="11"/>
              </w:rPr>
              <w:t>rSVD only</w:t>
            </w:r>
          </w:p>
        </w:tc>
        <w:tc>
          <w:tcPr>
            <w:tcW w:type="dxa" w:w="1368"/>
            <w:vAlign w:val="center"/>
          </w:tcPr>
          <w:p>
            <w:pPr>
              <w:spacing w:before="0" w:after="0" w:line="240" w:lineRule="auto"/>
              <w:jc w:val="center"/>
            </w:pPr>
            <w:r>
              <w:rPr>
                <w:b w:val="0"/>
                <w:sz w:val="11"/>
              </w:rPr>
              <w:t>CUDA kernel products with host-resident Gram centering/orchestration</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r>
        <w:trPr>
          <w:cantSplit/>
        </w:trPr>
        <w:tc>
          <w:tcPr>
            <w:tcW w:type="dxa" w:w="1368"/>
            <w:vAlign w:val="center"/>
          </w:tcPr>
          <w:p>
            <w:pPr>
              <w:spacing w:before="0" w:after="0" w:line="240" w:lineRule="auto"/>
              <w:jc w:val="left"/>
            </w:pPr>
            <w:r>
              <w:rPr>
                <w:b w:val="0"/>
                <w:sz w:val="11"/>
              </w:rPr>
              <w:t>kernel PLS</w:t>
            </w:r>
          </w:p>
        </w:tc>
        <w:tc>
          <w:tcPr>
            <w:tcW w:type="dxa" w:w="1368"/>
            <w:vAlign w:val="center"/>
          </w:tcPr>
          <w:p>
            <w:pPr>
              <w:spacing w:before="0" w:after="0" w:line="240" w:lineRule="auto"/>
              <w:jc w:val="center"/>
            </w:pPr>
            <w:r>
              <w:rPr>
                <w:b w:val="0"/>
                <w:sz w:val="11"/>
              </w:rPr>
              <w:t>nonlinear</w:t>
            </w:r>
          </w:p>
        </w:tc>
        <w:tc>
          <w:tcPr>
            <w:tcW w:type="dxa" w:w="1368"/>
            <w:vAlign w:val="center"/>
          </w:tcPr>
          <w:p>
            <w:pPr>
              <w:spacing w:before="0" w:after="0" w:line="240" w:lineRule="auto"/>
              <w:jc w:val="center"/>
            </w:pPr>
            <w:r>
              <w:rPr>
                <w:b w:val="0"/>
                <w:sz w:val="11"/>
              </w:rPr>
              <w:t>Metal</w:t>
            </w:r>
          </w:p>
        </w:tc>
        <w:tc>
          <w:tcPr>
            <w:tcW w:type="dxa" w:w="1368"/>
            <w:vAlign w:val="center"/>
          </w:tcPr>
          <w:p>
            <w:pPr>
              <w:spacing w:before="0" w:after="0" w:line="240" w:lineRule="auto"/>
              <w:jc w:val="center"/>
            </w:pPr>
            <w:r>
              <w:rPr>
                <w:b w:val="0"/>
                <w:sz w:val="11"/>
              </w:rPr>
              <w:t>regression=hybrid; argmax=hybrid; LDA=hybrid</w:t>
            </w:r>
          </w:p>
        </w:tc>
        <w:tc>
          <w:tcPr>
            <w:tcW w:type="dxa" w:w="1368"/>
            <w:vAlign w:val="center"/>
          </w:tcPr>
          <w:p>
            <w:pPr>
              <w:spacing w:before="0" w:after="0" w:line="240" w:lineRule="auto"/>
              <w:jc w:val="center"/>
            </w:pPr>
            <w:r>
              <w:rPr>
                <w:b w:val="0"/>
                <w:sz w:val="11"/>
              </w:rPr>
              <w:t>rSVD and IRLBA experimental</w:t>
            </w:r>
          </w:p>
        </w:tc>
        <w:tc>
          <w:tcPr>
            <w:tcW w:type="dxa" w:w="1368"/>
            <w:vAlign w:val="center"/>
          </w:tcPr>
          <w:p>
            <w:pPr>
              <w:spacing w:before="0" w:after="0" w:line="240" w:lineRule="auto"/>
              <w:jc w:val="center"/>
            </w:pPr>
            <w:r>
              <w:rPr>
                <w:b w:val="0"/>
                <w:sz w:val="11"/>
              </w:rPr>
              <w:t>Metal kernel products with host-resident Gram centering/orchestration</w:t>
            </w:r>
          </w:p>
        </w:tc>
        <w:tc>
          <w:tcPr>
            <w:tcW w:type="dxa" w:w="1368"/>
            <w:vAlign w:val="center"/>
          </w:tcPr>
          <w:p>
            <w:pPr>
              <w:spacing w:before="0" w:after="0" w:line="240" w:lineRule="auto"/>
              <w:jc w:val="center"/>
            </w:pPr>
            <w:r>
              <w:rPr>
                <w:b w:val="0"/>
                <w:sz w:val="11"/>
              </w:rPr>
              <w:t>unavailable</w:t>
            </w:r>
          </w:p>
        </w:tc>
        <w:tc>
          <w:tcPr>
            <w:tcW w:type="dxa" w:w="1368"/>
            <w:vAlign w:val="center"/>
          </w:tcPr>
          <w:p>
            <w:pPr>
              <w:spacing w:before="0" w:after="0" w:line="240" w:lineRule="auto"/>
              <w:jc w:val="center"/>
            </w:pPr>
            <w:r>
              <w:rPr>
                <w:b w:val="0"/>
                <w:sz w:val="11"/>
              </w:rPr>
              <w:t>failed/not applicable</w:t>
            </w:r>
          </w:p>
        </w:tc>
      </w:tr>
    </w:tbl>
    <w:p>
      <w:pPr>
        <w:pStyle w:val="Heading1"/>
      </w:pPr>
      <w:r>
        <w:t>S15. External software comparison</w:t>
      </w:r>
    </w:p>
    <w:p>
      <w:r>
        <w:t>The repeated comparison used float64, deterministic CPU SIMPLS, identical splits and component counts, one effective BLAS thread, and a 10,000-s timeout. Package and data loading occurred before timing; no numerical warm-up was performed. Every method-dataset pair ran in three fresh R processes. Two profiles were kept separate. In the minimum-output profile, fastPLS retained the full coefficient path, means, and compact internal prediction/audit factors, while pls::simpls.fit(stripped = TRUE) retained the full coefficient path and means; neither returned score, loading, fitted-value, residual, or variance arrays. In the public-workflow profile, fastPLS retained its ordinary compact object and variance summary, whereas pls::simpls.fit retained coefficients, X/Y scores and loadings, projection, fitted values, residuals, and X-variance quantities. Absolute lifetime peak RSS, the immediately pre-fit process baseline, and their difference were retained separately. The difference is a baseline-corrected complete-process increment, not isolated algorithmic allocation. The theoretical sizes of the largest retained dense objects were calculated from matrix dimensions and float64 element width. All 108 runs completed and all paired accuracies were identical. The older 126-run multi-package panel is retained as a workflow comparison only: 110 completed, 12 were package limitations, two timed out, and two errored. It is not labelled an estimator-kernel comparison because outputs and model families differ.</w:t>
      </w:r>
    </w:p>
    <w:p>
      <w:pPr>
        <w:pStyle w:val="Caption"/>
      </w:pPr>
      <w:r>
        <w:t>Table S10a. Repeated deterministic SIMPLS comparison. Times are median (IQR) seconds from three fresh processes. Speed-up is pls::simpls.fit divided by fastPLS; values above one favor fastPLS.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563"/>
        <w:gridCol w:w="1563"/>
        <w:gridCol w:w="1563"/>
        <w:gridCol w:w="1563"/>
        <w:gridCol w:w="1563"/>
        <w:gridCol w:w="1563"/>
        <w:gridCol w:w="1566"/>
      </w:tblGrid>
      <w:tr>
        <w:trPr>
          <w:tblHeader/>
          <w:tblHeader w:val="true"/>
        </w:trPr>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Dataset</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Profile</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fastPLS s</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pls s</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Speed-up</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Accuracy fastPLS / pls</w:t>
            </w:r>
          </w:p>
        </w:tc>
        <w:tc>
          <w:tcPr>
            <w:tcW w:type="dxa" w:w="1566"/>
            <w:vAlign w:val="center"/>
            <w:tcMar>
              <w:top w:w="45" w:type="dxa"/>
              <w:start w:w="55" w:type="dxa"/>
              <w:bottom w:w="45" w:type="dxa"/>
              <w:end w:w="55" w:type="dxa"/>
            </w:tcMar>
          </w:tcPr>
          <w:p>
            <w:pPr>
              <w:spacing w:before="0" w:after="0" w:line="240" w:lineRule="auto"/>
              <w:jc w:val="center"/>
            </w:pPr>
            <w:r>
              <w:rPr>
                <w:rFonts w:ascii="Arial" w:hAnsi="Arial"/>
                <w:b/>
                <w:sz w:val="11"/>
              </w:rPr>
              <w:t>Completed reps</w:t>
            </w:r>
          </w:p>
        </w:tc>
      </w:tr>
      <w:tr>
        <w:tc>
          <w:tcPr>
            <w:tcW w:type="dxa" w:w="1563"/>
            <w:vAlign w:val="center"/>
            <w:tcMar>
              <w:top w:w="45" w:type="dxa"/>
              <w:start w:w="55" w:type="dxa"/>
              <w:bottom w:w="45" w:type="dxa"/>
              <w:end w:w="55" w:type="dxa"/>
            </w:tcMar>
          </w:tcPr>
          <w:p>
            <w:pPr>
              <w:spacing w:after="0" w:before="0" w:line="240" w:lineRule="auto"/>
            </w:pPr>
            <w:r>
              <w:rPr>
                <w:sz w:val="11"/>
              </w:rPr>
              <w:t>ccle</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0.079 (0.000)</w:t>
            </w:r>
          </w:p>
        </w:tc>
        <w:tc>
          <w:tcPr>
            <w:tcW w:type="dxa" w:w="1563"/>
            <w:vAlign w:val="center"/>
            <w:tcMar>
              <w:top w:w="45" w:type="dxa"/>
              <w:start w:w="55" w:type="dxa"/>
              <w:bottom w:w="45" w:type="dxa"/>
              <w:end w:w="55" w:type="dxa"/>
            </w:tcMar>
          </w:tcPr>
          <w:p>
            <w:pPr>
              <w:spacing w:after="0" w:before="0" w:line="240" w:lineRule="auto"/>
            </w:pPr>
            <w:r>
              <w:rPr>
                <w:sz w:val="11"/>
              </w:rPr>
              <w:t>0.082 (0.001)</w:t>
            </w:r>
          </w:p>
        </w:tc>
        <w:tc>
          <w:tcPr>
            <w:tcW w:type="dxa" w:w="1563"/>
            <w:vAlign w:val="center"/>
            <w:tcMar>
              <w:top w:w="45" w:type="dxa"/>
              <w:start w:w="55" w:type="dxa"/>
              <w:bottom w:w="45" w:type="dxa"/>
              <w:end w:w="55" w:type="dxa"/>
            </w:tcMar>
          </w:tcPr>
          <w:p>
            <w:pPr>
              <w:spacing w:after="0" w:before="0" w:line="240" w:lineRule="auto"/>
            </w:pPr>
            <w:r>
              <w:rPr>
                <w:sz w:val="11"/>
              </w:rPr>
              <w:t>1.04</w:t>
            </w:r>
          </w:p>
        </w:tc>
        <w:tc>
          <w:tcPr>
            <w:tcW w:type="dxa" w:w="1563"/>
            <w:vAlign w:val="center"/>
            <w:tcMar>
              <w:top w:w="45" w:type="dxa"/>
              <w:start w:w="55" w:type="dxa"/>
              <w:bottom w:w="45" w:type="dxa"/>
              <w:end w:w="55" w:type="dxa"/>
            </w:tcMar>
          </w:tcPr>
          <w:p>
            <w:pPr>
              <w:spacing w:after="0" w:before="0" w:line="240" w:lineRule="auto"/>
            </w:pPr>
            <w:r>
              <w:rPr>
                <w:sz w:val="11"/>
              </w:rPr>
              <w:t>0.7324 / 0.7324</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cifar100</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10.632 (0.122)</w:t>
            </w:r>
          </w:p>
        </w:tc>
        <w:tc>
          <w:tcPr>
            <w:tcW w:type="dxa" w:w="1563"/>
            <w:vAlign w:val="center"/>
            <w:tcMar>
              <w:top w:w="45" w:type="dxa"/>
              <w:start w:w="55" w:type="dxa"/>
              <w:bottom w:w="45" w:type="dxa"/>
              <w:end w:w="55" w:type="dxa"/>
            </w:tcMar>
          </w:tcPr>
          <w:p>
            <w:pPr>
              <w:spacing w:after="0" w:before="0" w:line="240" w:lineRule="auto"/>
            </w:pPr>
            <w:r>
              <w:rPr>
                <w:sz w:val="11"/>
              </w:rPr>
              <w:t>12.902 (0.278)</w:t>
            </w:r>
          </w:p>
        </w:tc>
        <w:tc>
          <w:tcPr>
            <w:tcW w:type="dxa" w:w="1563"/>
            <w:vAlign w:val="center"/>
            <w:tcMar>
              <w:top w:w="45" w:type="dxa"/>
              <w:start w:w="55" w:type="dxa"/>
              <w:bottom w:w="45" w:type="dxa"/>
              <w:end w:w="55" w:type="dxa"/>
            </w:tcMar>
          </w:tcPr>
          <w:p>
            <w:pPr>
              <w:spacing w:after="0" w:before="0" w:line="240" w:lineRule="auto"/>
            </w:pPr>
            <w:r>
              <w:rPr>
                <w:sz w:val="11"/>
              </w:rPr>
              <w:t>1.21</w:t>
            </w:r>
          </w:p>
        </w:tc>
        <w:tc>
          <w:tcPr>
            <w:tcW w:type="dxa" w:w="1563"/>
            <w:vAlign w:val="center"/>
            <w:tcMar>
              <w:top w:w="45" w:type="dxa"/>
              <w:start w:w="55" w:type="dxa"/>
              <w:bottom w:w="45" w:type="dxa"/>
              <w:end w:w="55" w:type="dxa"/>
            </w:tcMar>
          </w:tcPr>
          <w:p>
            <w:pPr>
              <w:spacing w:after="0" w:before="0" w:line="240" w:lineRule="auto"/>
            </w:pPr>
            <w:r>
              <w:rPr>
                <w:sz w:val="11"/>
              </w:rPr>
              <w:t>0.8739 / 0.8739</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gtex_v8</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0.242 (0.005)</w:t>
            </w:r>
          </w:p>
        </w:tc>
        <w:tc>
          <w:tcPr>
            <w:tcW w:type="dxa" w:w="1563"/>
            <w:vAlign w:val="center"/>
            <w:tcMar>
              <w:top w:w="45" w:type="dxa"/>
              <w:start w:w="55" w:type="dxa"/>
              <w:bottom w:w="45" w:type="dxa"/>
              <w:end w:w="55" w:type="dxa"/>
            </w:tcMar>
          </w:tcPr>
          <w:p>
            <w:pPr>
              <w:spacing w:after="0" w:before="0" w:line="240" w:lineRule="auto"/>
            </w:pPr>
            <w:r>
              <w:rPr>
                <w:sz w:val="11"/>
              </w:rPr>
              <w:t>0.359 (0.002)</w:t>
            </w:r>
          </w:p>
        </w:tc>
        <w:tc>
          <w:tcPr>
            <w:tcW w:type="dxa" w:w="1563"/>
            <w:vAlign w:val="center"/>
            <w:tcMar>
              <w:top w:w="45" w:type="dxa"/>
              <w:start w:w="55" w:type="dxa"/>
              <w:bottom w:w="45" w:type="dxa"/>
              <w:end w:w="55" w:type="dxa"/>
            </w:tcMar>
          </w:tcPr>
          <w:p>
            <w:pPr>
              <w:spacing w:after="0" w:before="0" w:line="240" w:lineRule="auto"/>
            </w:pPr>
            <w:r>
              <w:rPr>
                <w:sz w:val="11"/>
              </w:rPr>
              <w:t>1.48</w:t>
            </w:r>
          </w:p>
        </w:tc>
        <w:tc>
          <w:tcPr>
            <w:tcW w:type="dxa" w:w="1563"/>
            <w:vAlign w:val="center"/>
            <w:tcMar>
              <w:top w:w="45" w:type="dxa"/>
              <w:start w:w="55" w:type="dxa"/>
              <w:bottom w:w="45" w:type="dxa"/>
              <w:end w:w="55" w:type="dxa"/>
            </w:tcMar>
          </w:tcPr>
          <w:p>
            <w:pPr>
              <w:spacing w:after="0" w:before="0" w:line="240" w:lineRule="auto"/>
            </w:pPr>
            <w:r>
              <w:rPr>
                <w:sz w:val="11"/>
              </w:rPr>
              <w:t>0.9310 / 0.9310</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metref</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0.027 (0.001)</w:t>
            </w:r>
          </w:p>
        </w:tc>
        <w:tc>
          <w:tcPr>
            <w:tcW w:type="dxa" w:w="1563"/>
            <w:vAlign w:val="center"/>
            <w:tcMar>
              <w:top w:w="45" w:type="dxa"/>
              <w:start w:w="55" w:type="dxa"/>
              <w:bottom w:w="45" w:type="dxa"/>
              <w:end w:w="55" w:type="dxa"/>
            </w:tcMar>
          </w:tcPr>
          <w:p>
            <w:pPr>
              <w:spacing w:after="0" w:before="0" w:line="240" w:lineRule="auto"/>
            </w:pPr>
            <w:r>
              <w:rPr>
                <w:sz w:val="11"/>
              </w:rPr>
              <w:t>0.024 (0.001)</w:t>
            </w:r>
          </w:p>
        </w:tc>
        <w:tc>
          <w:tcPr>
            <w:tcW w:type="dxa" w:w="1563"/>
            <w:vAlign w:val="center"/>
            <w:tcMar>
              <w:top w:w="45" w:type="dxa"/>
              <w:start w:w="55" w:type="dxa"/>
              <w:bottom w:w="45" w:type="dxa"/>
              <w:end w:w="55" w:type="dxa"/>
            </w:tcMar>
          </w:tcPr>
          <w:p>
            <w:pPr>
              <w:spacing w:after="0" w:before="0" w:line="240" w:lineRule="auto"/>
            </w:pPr>
            <w:r>
              <w:rPr>
                <w:sz w:val="11"/>
              </w:rPr>
              <w:t>0.89</w:t>
            </w:r>
          </w:p>
        </w:tc>
        <w:tc>
          <w:tcPr>
            <w:tcW w:type="dxa" w:w="1563"/>
            <w:vAlign w:val="center"/>
            <w:tcMar>
              <w:top w:w="45" w:type="dxa"/>
              <w:start w:w="55" w:type="dxa"/>
              <w:bottom w:w="45" w:type="dxa"/>
              <w:end w:w="55" w:type="dxa"/>
            </w:tcMar>
          </w:tcPr>
          <w:p>
            <w:pPr>
              <w:spacing w:after="0" w:before="0" w:line="240" w:lineRule="auto"/>
            </w:pPr>
            <w:r>
              <w:rPr>
                <w:sz w:val="11"/>
              </w:rPr>
              <w:t>0.7700 / 0.7700</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retina</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0.411 (0.004)</w:t>
            </w:r>
          </w:p>
        </w:tc>
        <w:tc>
          <w:tcPr>
            <w:tcW w:type="dxa" w:w="1563"/>
            <w:vAlign w:val="center"/>
            <w:tcMar>
              <w:top w:w="45" w:type="dxa"/>
              <w:start w:w="55" w:type="dxa"/>
              <w:bottom w:w="45" w:type="dxa"/>
              <w:end w:w="55" w:type="dxa"/>
            </w:tcMar>
          </w:tcPr>
          <w:p>
            <w:pPr>
              <w:spacing w:after="0" w:before="0" w:line="240" w:lineRule="auto"/>
            </w:pPr>
            <w:r>
              <w:rPr>
                <w:sz w:val="11"/>
              </w:rPr>
              <w:t>0.141 (0.001)</w:t>
            </w:r>
          </w:p>
        </w:tc>
        <w:tc>
          <w:tcPr>
            <w:tcW w:type="dxa" w:w="1563"/>
            <w:vAlign w:val="center"/>
            <w:tcMar>
              <w:top w:w="45" w:type="dxa"/>
              <w:start w:w="55" w:type="dxa"/>
              <w:bottom w:w="45" w:type="dxa"/>
              <w:end w:w="55" w:type="dxa"/>
            </w:tcMar>
          </w:tcPr>
          <w:p>
            <w:pPr>
              <w:spacing w:after="0" w:before="0" w:line="240" w:lineRule="auto"/>
            </w:pPr>
            <w:r>
              <w:rPr>
                <w:sz w:val="11"/>
              </w:rPr>
              <w:t>0.34</w:t>
            </w:r>
          </w:p>
        </w:tc>
        <w:tc>
          <w:tcPr>
            <w:tcW w:type="dxa" w:w="1563"/>
            <w:vAlign w:val="center"/>
            <w:tcMar>
              <w:top w:w="45" w:type="dxa"/>
              <w:start w:w="55" w:type="dxa"/>
              <w:bottom w:w="45" w:type="dxa"/>
              <w:end w:w="55" w:type="dxa"/>
            </w:tcMar>
          </w:tcPr>
          <w:p>
            <w:pPr>
              <w:spacing w:after="0" w:before="0" w:line="240" w:lineRule="auto"/>
            </w:pPr>
            <w:r>
              <w:rPr>
                <w:sz w:val="11"/>
              </w:rPr>
              <w:t>0.9678 / 0.9678</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tabula</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1.620 (0.017)</w:t>
            </w:r>
          </w:p>
        </w:tc>
        <w:tc>
          <w:tcPr>
            <w:tcW w:type="dxa" w:w="1563"/>
            <w:vAlign w:val="center"/>
            <w:tcMar>
              <w:top w:w="45" w:type="dxa"/>
              <w:start w:w="55" w:type="dxa"/>
              <w:bottom w:w="45" w:type="dxa"/>
              <w:end w:w="55" w:type="dxa"/>
            </w:tcMar>
          </w:tcPr>
          <w:p>
            <w:pPr>
              <w:spacing w:after="0" w:before="0" w:line="240" w:lineRule="auto"/>
            </w:pPr>
            <w:r>
              <w:rPr>
                <w:sz w:val="11"/>
              </w:rPr>
              <w:t>0.575 (0.006)</w:t>
            </w:r>
          </w:p>
        </w:tc>
        <w:tc>
          <w:tcPr>
            <w:tcW w:type="dxa" w:w="1563"/>
            <w:vAlign w:val="center"/>
            <w:tcMar>
              <w:top w:w="45" w:type="dxa"/>
              <w:start w:w="55" w:type="dxa"/>
              <w:bottom w:w="45" w:type="dxa"/>
              <w:end w:w="55" w:type="dxa"/>
            </w:tcMar>
          </w:tcPr>
          <w:p>
            <w:pPr>
              <w:spacing w:after="0" w:before="0" w:line="240" w:lineRule="auto"/>
            </w:pPr>
            <w:r>
              <w:rPr>
                <w:sz w:val="11"/>
              </w:rPr>
              <w:t>0.35</w:t>
            </w:r>
          </w:p>
        </w:tc>
        <w:tc>
          <w:tcPr>
            <w:tcW w:type="dxa" w:w="1563"/>
            <w:vAlign w:val="center"/>
            <w:tcMar>
              <w:top w:w="45" w:type="dxa"/>
              <w:start w:w="55" w:type="dxa"/>
              <w:bottom w:w="45" w:type="dxa"/>
              <w:end w:w="55" w:type="dxa"/>
            </w:tcMar>
          </w:tcPr>
          <w:p>
            <w:pPr>
              <w:spacing w:after="0" w:before="0" w:line="240" w:lineRule="auto"/>
            </w:pPr>
            <w:r>
              <w:rPr>
                <w:sz w:val="11"/>
              </w:rPr>
              <w:t>0.8006 / 0.8006</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tcga_brca</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0.021 (0.001)</w:t>
            </w:r>
          </w:p>
        </w:tc>
        <w:tc>
          <w:tcPr>
            <w:tcW w:type="dxa" w:w="1563"/>
            <w:vAlign w:val="center"/>
            <w:tcMar>
              <w:top w:w="45" w:type="dxa"/>
              <w:start w:w="55" w:type="dxa"/>
              <w:bottom w:w="45" w:type="dxa"/>
              <w:end w:w="55" w:type="dxa"/>
            </w:tcMar>
          </w:tcPr>
          <w:p>
            <w:pPr>
              <w:spacing w:after="0" w:before="0" w:line="240" w:lineRule="auto"/>
            </w:pPr>
            <w:r>
              <w:rPr>
                <w:sz w:val="11"/>
              </w:rPr>
              <w:t>0.019 (0.001)</w:t>
            </w:r>
          </w:p>
        </w:tc>
        <w:tc>
          <w:tcPr>
            <w:tcW w:type="dxa" w:w="1563"/>
            <w:vAlign w:val="center"/>
            <w:tcMar>
              <w:top w:w="45" w:type="dxa"/>
              <w:start w:w="55" w:type="dxa"/>
              <w:bottom w:w="45" w:type="dxa"/>
              <w:end w:w="55" w:type="dxa"/>
            </w:tcMar>
          </w:tcPr>
          <w:p>
            <w:pPr>
              <w:spacing w:after="0" w:before="0" w:line="240" w:lineRule="auto"/>
            </w:pPr>
            <w:r>
              <w:rPr>
                <w:sz w:val="11"/>
              </w:rPr>
              <w:t>0.90</w:t>
            </w:r>
          </w:p>
        </w:tc>
        <w:tc>
          <w:tcPr>
            <w:tcW w:type="dxa" w:w="1563"/>
            <w:vAlign w:val="center"/>
            <w:tcMar>
              <w:top w:w="45" w:type="dxa"/>
              <w:start w:w="55" w:type="dxa"/>
              <w:bottom w:w="45" w:type="dxa"/>
              <w:end w:w="55" w:type="dxa"/>
            </w:tcMar>
          </w:tcPr>
          <w:p>
            <w:pPr>
              <w:spacing w:after="0" w:before="0" w:line="240" w:lineRule="auto"/>
            </w:pPr>
            <w:r>
              <w:rPr>
                <w:sz w:val="11"/>
              </w:rPr>
              <w:t>0.8523 / 0.8523</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tcga_hnsc_methylation</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0.015 (0.001)</w:t>
            </w:r>
          </w:p>
        </w:tc>
        <w:tc>
          <w:tcPr>
            <w:tcW w:type="dxa" w:w="1563"/>
            <w:vAlign w:val="center"/>
            <w:tcMar>
              <w:top w:w="45" w:type="dxa"/>
              <w:start w:w="55" w:type="dxa"/>
              <w:bottom w:w="45" w:type="dxa"/>
              <w:end w:w="55" w:type="dxa"/>
            </w:tcMar>
          </w:tcPr>
          <w:p>
            <w:pPr>
              <w:spacing w:after="0" w:before="0" w:line="240" w:lineRule="auto"/>
            </w:pPr>
            <w:r>
              <w:rPr>
                <w:sz w:val="11"/>
              </w:rPr>
              <w:t>0.009 (0.000)</w:t>
            </w:r>
          </w:p>
        </w:tc>
        <w:tc>
          <w:tcPr>
            <w:tcW w:type="dxa" w:w="1563"/>
            <w:vAlign w:val="center"/>
            <w:tcMar>
              <w:top w:w="45" w:type="dxa"/>
              <w:start w:w="55" w:type="dxa"/>
              <w:bottom w:w="45" w:type="dxa"/>
              <w:end w:w="55" w:type="dxa"/>
            </w:tcMar>
          </w:tcPr>
          <w:p>
            <w:pPr>
              <w:spacing w:after="0" w:before="0" w:line="240" w:lineRule="auto"/>
            </w:pPr>
            <w:r>
              <w:rPr>
                <w:sz w:val="11"/>
              </w:rPr>
              <w:t>0.60</w:t>
            </w:r>
          </w:p>
        </w:tc>
        <w:tc>
          <w:tcPr>
            <w:tcW w:type="dxa" w:w="1563"/>
            <w:vAlign w:val="center"/>
            <w:tcMar>
              <w:top w:w="45" w:type="dxa"/>
              <w:start w:w="55" w:type="dxa"/>
              <w:bottom w:w="45" w:type="dxa"/>
              <w:end w:w="55" w:type="dxa"/>
            </w:tcMar>
          </w:tcPr>
          <w:p>
            <w:pPr>
              <w:spacing w:after="0" w:before="0" w:line="240" w:lineRule="auto"/>
            </w:pPr>
            <w:r>
              <w:rPr>
                <w:sz w:val="11"/>
              </w:rPr>
              <w:t>1.0000 / 1.0000</w:t>
            </w:r>
          </w:p>
        </w:tc>
        <w:tc>
          <w:tcPr>
            <w:tcW w:type="dxa" w:w="1566"/>
            <w:vAlign w:val="center"/>
            <w:tcMar>
              <w:top w:w="45" w:type="dxa"/>
              <w:start w:w="55" w:type="dxa"/>
              <w:bottom w:w="45" w:type="dxa"/>
              <w:end w:w="55" w:type="dxa"/>
            </w:tcMar>
          </w:tcPr>
          <w:p>
            <w:pPr>
              <w:spacing w:after="0" w:before="0" w:line="240" w:lineRule="auto"/>
            </w:pPr>
            <w:r>
              <w:rPr>
                <w:sz w:val="11"/>
              </w:rPr>
              <w:t>3 / 3</w:t>
            </w:r>
          </w:p>
        </w:tc>
      </w:tr>
      <w:tr>
        <w:tc>
          <w:tcPr>
            <w:tcW w:type="dxa" w:w="1563"/>
            <w:vAlign w:val="center"/>
            <w:tcMar>
              <w:top w:w="45" w:type="dxa"/>
              <w:start w:w="55" w:type="dxa"/>
              <w:bottom w:w="45" w:type="dxa"/>
              <w:end w:w="55" w:type="dxa"/>
            </w:tcMar>
          </w:tcPr>
          <w:p>
            <w:pPr>
              <w:spacing w:after="0" w:before="0" w:line="240" w:lineRule="auto"/>
            </w:pPr>
            <w:r>
              <w:rPr>
                <w:sz w:val="11"/>
              </w:rPr>
              <w:t>tcga_pan_cancer</w:t>
            </w:r>
          </w:p>
        </w:tc>
        <w:tc>
          <w:tcPr>
            <w:tcW w:type="dxa" w:w="1563"/>
            <w:vAlign w:val="center"/>
            <w:tcMar>
              <w:top w:w="45" w:type="dxa"/>
              <w:start w:w="55" w:type="dxa"/>
              <w:bottom w:w="45" w:type="dxa"/>
              <w:end w:w="55" w:type="dxa"/>
            </w:tcMar>
          </w:tcPr>
          <w:p>
            <w:pPr>
              <w:spacing w:after="0" w:before="0" w:line="240" w:lineRule="auto"/>
            </w:pPr>
            <w:r>
              <w:rPr>
                <w:sz w:val="11"/>
              </w:rPr>
              <w:t>estimator kernel</w:t>
            </w:r>
          </w:p>
        </w:tc>
        <w:tc>
          <w:tcPr>
            <w:tcW w:type="dxa" w:w="1563"/>
            <w:vAlign w:val="center"/>
            <w:tcMar>
              <w:top w:w="45" w:type="dxa"/>
              <w:start w:w="55" w:type="dxa"/>
              <w:bottom w:w="45" w:type="dxa"/>
              <w:end w:w="55" w:type="dxa"/>
            </w:tcMar>
          </w:tcPr>
          <w:p>
            <w:pPr>
              <w:spacing w:after="0" w:before="0" w:line="240" w:lineRule="auto"/>
            </w:pPr>
            <w:r>
              <w:rPr>
                <w:sz w:val="11"/>
              </w:rPr>
              <w:t>0.295 (0.008)</w:t>
            </w:r>
          </w:p>
        </w:tc>
        <w:tc>
          <w:tcPr>
            <w:tcW w:type="dxa" w:w="1563"/>
            <w:vAlign w:val="center"/>
            <w:tcMar>
              <w:top w:w="45" w:type="dxa"/>
              <w:start w:w="55" w:type="dxa"/>
              <w:bottom w:w="45" w:type="dxa"/>
              <w:end w:w="55" w:type="dxa"/>
            </w:tcMar>
          </w:tcPr>
          <w:p>
            <w:pPr>
              <w:spacing w:after="0" w:before="0" w:line="240" w:lineRule="auto"/>
            </w:pPr>
            <w:r>
              <w:rPr>
                <w:sz w:val="11"/>
              </w:rPr>
              <w:t>0.427 (0.001)</w:t>
            </w:r>
          </w:p>
        </w:tc>
        <w:tc>
          <w:tcPr>
            <w:tcW w:type="dxa" w:w="1563"/>
            <w:vAlign w:val="center"/>
            <w:tcMar>
              <w:top w:w="45" w:type="dxa"/>
              <w:start w:w="55" w:type="dxa"/>
              <w:bottom w:w="45" w:type="dxa"/>
              <w:end w:w="55" w:type="dxa"/>
            </w:tcMar>
          </w:tcPr>
          <w:p>
            <w:pPr>
              <w:spacing w:after="0" w:before="0" w:line="240" w:lineRule="auto"/>
            </w:pPr>
            <w:r>
              <w:rPr>
                <w:sz w:val="11"/>
              </w:rPr>
              <w:t>1.45</w:t>
            </w:r>
          </w:p>
        </w:tc>
        <w:tc>
          <w:tcPr>
            <w:tcW w:type="dxa" w:w="1563"/>
            <w:vAlign w:val="center"/>
            <w:tcMar>
              <w:top w:w="45" w:type="dxa"/>
              <w:start w:w="55" w:type="dxa"/>
              <w:bottom w:w="45" w:type="dxa"/>
              <w:end w:w="55" w:type="dxa"/>
            </w:tcMar>
          </w:tcPr>
          <w:p>
            <w:pPr>
              <w:spacing w:after="0" w:before="0" w:line="240" w:lineRule="auto"/>
            </w:pPr>
            <w:r>
              <w:rPr>
                <w:sz w:val="11"/>
              </w:rPr>
              <w:t>0.9114 / 0.9114</w:t>
            </w:r>
          </w:p>
        </w:tc>
        <w:tc>
          <w:tcPr>
            <w:tcW w:type="dxa" w:w="1566"/>
            <w:vAlign w:val="center"/>
            <w:tcMar>
              <w:top w:w="45" w:type="dxa"/>
              <w:start w:w="55" w:type="dxa"/>
              <w:bottom w:w="45" w:type="dxa"/>
              <w:end w:w="55" w:type="dxa"/>
            </w:tcMar>
          </w:tcPr>
          <w:p>
            <w:pPr>
              <w:spacing w:after="0" w:before="0" w:line="240" w:lineRule="auto"/>
            </w:pPr>
            <w:r>
              <w:rPr>
                <w:sz w:val="11"/>
              </w:rPr>
              <w:t>3 / 3</w:t>
            </w:r>
          </w:p>
        </w:tc>
      </w:tr>
    </w:tbl>
    <w:p>
      <w:pPr>
        <w:pStyle w:val="Caption"/>
      </w:pPr>
      <w:r>
        <w:t>Table S10b. Output-materialization contract used for the repeated comparison.</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2736"/>
        <w:gridCol w:w="2736"/>
        <w:gridCol w:w="2736"/>
        <w:gridCol w:w="2736"/>
      </w:tblGrid>
      <w:tr>
        <w:trPr>
          <w:tblHeader/>
        </w:trPr>
        <w:tc>
          <w:tcPr>
            <w:tcW w:type="dxa" w:w="2736"/>
            <w:vAlign w:val="center"/>
            <w:tcMar>
              <w:top w:w="45" w:type="dxa"/>
              <w:start w:w="55" w:type="dxa"/>
              <w:bottom w:w="45" w:type="dxa"/>
              <w:end w:w="55" w:type="dxa"/>
            </w:tcMar>
          </w:tcPr>
          <w:p>
            <w:pPr>
              <w:spacing w:before="0" w:after="0" w:line="240" w:lineRule="auto"/>
              <w:jc w:val="center"/>
            </w:pPr>
            <w:r>
              <w:rPr>
                <w:rFonts w:ascii="Arial" w:hAnsi="Arial"/>
                <w:b/>
                <w:sz w:val="12"/>
              </w:rPr>
              <w:t>Profile</w:t>
            </w:r>
          </w:p>
        </w:tc>
        <w:tc>
          <w:tcPr>
            <w:tcW w:type="dxa" w:w="2736"/>
            <w:vAlign w:val="center"/>
            <w:tcMar>
              <w:top w:w="45" w:type="dxa"/>
              <w:start w:w="55" w:type="dxa"/>
              <w:bottom w:w="45" w:type="dxa"/>
              <w:end w:w="55" w:type="dxa"/>
            </w:tcMar>
          </w:tcPr>
          <w:p>
            <w:pPr>
              <w:spacing w:before="0" w:after="0" w:line="240" w:lineRule="auto"/>
              <w:jc w:val="center"/>
            </w:pPr>
            <w:r>
              <w:rPr>
                <w:rFonts w:ascii="Arial" w:hAnsi="Arial"/>
                <w:b/>
                <w:sz w:val="12"/>
              </w:rPr>
              <w:t>fastPLS retained outputs</w:t>
            </w:r>
          </w:p>
        </w:tc>
        <w:tc>
          <w:tcPr>
            <w:tcW w:type="dxa" w:w="2736"/>
            <w:vAlign w:val="center"/>
            <w:tcMar>
              <w:top w:w="45" w:type="dxa"/>
              <w:start w:w="55" w:type="dxa"/>
              <w:bottom w:w="45" w:type="dxa"/>
              <w:end w:w="55" w:type="dxa"/>
            </w:tcMar>
          </w:tcPr>
          <w:p>
            <w:pPr>
              <w:spacing w:before="0" w:after="0" w:line="240" w:lineRule="auto"/>
              <w:jc w:val="center"/>
            </w:pPr>
            <w:r>
              <w:rPr>
                <w:rFonts w:ascii="Arial" w:hAnsi="Arial"/>
                <w:b/>
                <w:sz w:val="12"/>
              </w:rPr>
              <w:t>pls::simpls.fit retained outputs</w:t>
            </w:r>
          </w:p>
        </w:tc>
        <w:tc>
          <w:tcPr>
            <w:tcW w:type="dxa" w:w="2736"/>
            <w:vAlign w:val="center"/>
            <w:tcMar>
              <w:top w:w="45" w:type="dxa"/>
              <w:start w:w="55" w:type="dxa"/>
              <w:bottom w:w="45" w:type="dxa"/>
              <w:end w:w="55" w:type="dxa"/>
            </w:tcMar>
          </w:tcPr>
          <w:p>
            <w:pPr>
              <w:spacing w:before="0" w:after="0" w:line="240" w:lineRule="auto"/>
              <w:jc w:val="center"/>
            </w:pPr>
            <w:r>
              <w:rPr>
                <w:rFonts w:ascii="Arial" w:hAnsi="Arial"/>
                <w:b/>
                <w:sz w:val="12"/>
              </w:rPr>
              <w:t>Interpretation</w:t>
            </w:r>
          </w:p>
        </w:tc>
      </w:tr>
      <w:tr>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Minimum outputs</w:t>
            </w:r>
          </w:p>
        </w:tc>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Full coefficient path, means, compact prediction/audit factors; no scores, loadings, fitted arrays, or variance summary</w:t>
            </w:r>
          </w:p>
        </w:tc>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stripped=TRUE: full coefficient path and means only</w:t>
            </w:r>
          </w:p>
        </w:tc>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Closest available common prediction endpoint; reports numerical-kernel plus unavoidable implementation state</w:t>
            </w:r>
          </w:p>
        </w:tc>
      </w:tr>
      <w:tr>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Public workflow</w:t>
            </w:r>
          </w:p>
        </w:tc>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Ordinary compact fit object, means, latent prediction factors, variance summary; final predictions</w:t>
            </w:r>
          </w:p>
        </w:tc>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Ordinary object with coefficient, score, loading, projection, fitted, residual, and variance paths; final predictions</w:t>
            </w:r>
          </w:p>
        </w:tc>
        <w:tc>
          <w:tcPr>
            <w:tcW w:type="dxa" w:w="2736"/>
            <w:vAlign w:val="center"/>
            <w:tcMar>
              <w:top w:w="45" w:type="dxa"/>
              <w:start w:w="55" w:type="dxa"/>
              <w:bottom w:w="45" w:type="dxa"/>
              <w:end w:w="55" w:type="dxa"/>
            </w:tcMar>
          </w:tcPr>
          <w:p>
            <w:pPr>
              <w:spacing w:before="0" w:after="0" w:line="240" w:lineRule="auto"/>
              <w:jc w:val="left"/>
            </w:pPr>
            <w:r>
              <w:rPr>
                <w:rFonts w:ascii="Arial" w:hAnsi="Arial"/>
                <w:b w:val="0"/>
                <w:sz w:val="12"/>
              </w:rPr>
              <w:t>Complete user workflow; time and memory include each package's normal output policy</w:t>
            </w:r>
          </w:p>
        </w:tc>
      </w:tr>
    </w:tbl>
    <w:p>
      <w:r>
        <w:t>Table S10c. Host-memory accounting for the minimum-output profile. Values are MiB; F/P denotes fastPLS / pls::simpls.fit. Absolute peak and corrected increment are median (IQR) across three fresh processes; pre-fit baseline and theoretical storage are medians or dimension-derived values. Both methods retain a p x q x A coefficient path in this profile.</w:t>
      </w:r>
    </w:p>
    <w:tbl>
      <w:tblPr>
        <w:tblW w:type="dxa" w:w="10944"/>
        <w:jc w:val="left"/>
        <w:tblLayout w:type="fixed"/>
        <w:tblLook w:firstColumn="1" w:firstRow="1" w:lastColumn="0" w:lastRow="0" w:noHBand="0" w:noVBand="1" w:val="04A0"/>
        <w:tblInd w:type="dxa" w:w="120"/>
        <w:tblCellMar>
          <w:top w:w="45" w:type="dxa"/>
          <w:start w:w="45" w:type="dxa"/>
          <w:bottom w:w="45" w:type="dxa"/>
          <w:end w:w="45" w:type="dxa"/>
        </w:tblCellMar>
      </w:tblPr>
      <w:tblGrid>
        <w:gridCol w:w="1728"/>
        <w:gridCol w:w="2386"/>
        <w:gridCol w:w="2057"/>
        <w:gridCol w:w="2386"/>
        <w:gridCol w:w="2387"/>
      </w:tblGrid>
      <w:tr>
        <w:trPr>
          <w:tblHeader w:val="true"/>
        </w:trPr>
        <w:tc>
          <w:tcPr>
            <w:tcW w:type="dxa" w:w="1728"/>
            <w:vAlign w:val="center"/>
            <w:tcMar>
              <w:top w:w="80" w:type="dxa"/>
              <w:bottom w:w="80" w:type="dxa"/>
              <w:start w:w="120" w:type="dxa"/>
              <w:end w:w="120" w:type="dxa"/>
            </w:tcMar>
          </w:tcPr>
          <w:p>
            <w:pPr>
              <w:spacing w:before="0" w:after="0" w:line="240" w:lineRule="auto"/>
            </w:pPr>
            <w:r>
              <w:rPr>
                <w:rFonts w:ascii="Arial" w:hAnsi="Arial"/>
                <w:b/>
                <w:sz w:val="12"/>
              </w:rPr>
              <w:t>Dataset</w:t>
            </w:r>
          </w:p>
        </w:tc>
        <w:tc>
          <w:tcPr>
            <w:tcW w:type="dxa" w:w="2386"/>
            <w:vAlign w:val="center"/>
            <w:tcMar>
              <w:top w:w="80" w:type="dxa"/>
              <w:bottom w:w="80" w:type="dxa"/>
              <w:start w:w="120" w:type="dxa"/>
              <w:end w:w="120" w:type="dxa"/>
            </w:tcMar>
          </w:tcPr>
          <w:p>
            <w:pPr>
              <w:spacing w:before="0" w:after="0" w:line="240" w:lineRule="auto"/>
            </w:pPr>
            <w:r>
              <w:rPr>
                <w:rFonts w:ascii="Arial" w:hAnsi="Arial"/>
                <w:b/>
                <w:sz w:val="12"/>
              </w:rPr>
              <w:t>Absolute peak F / P</w:t>
            </w:r>
          </w:p>
        </w:tc>
        <w:tc>
          <w:tcPr>
            <w:tcW w:type="dxa" w:w="2057"/>
            <w:vAlign w:val="center"/>
            <w:tcMar>
              <w:top w:w="80" w:type="dxa"/>
              <w:bottom w:w="80" w:type="dxa"/>
              <w:start w:w="120" w:type="dxa"/>
              <w:end w:w="120" w:type="dxa"/>
            </w:tcMar>
          </w:tcPr>
          <w:p>
            <w:pPr>
              <w:spacing w:before="0" w:after="0" w:line="240" w:lineRule="auto"/>
            </w:pPr>
            <w:r>
              <w:rPr>
                <w:rFonts w:ascii="Arial" w:hAnsi="Arial"/>
                <w:b/>
                <w:sz w:val="12"/>
              </w:rPr>
              <w:t>Pre-fit baseline F / P</w:t>
            </w:r>
          </w:p>
        </w:tc>
        <w:tc>
          <w:tcPr>
            <w:tcW w:type="dxa" w:w="2386"/>
            <w:vAlign w:val="center"/>
            <w:tcMar>
              <w:top w:w="80" w:type="dxa"/>
              <w:bottom w:w="80" w:type="dxa"/>
              <w:start w:w="120" w:type="dxa"/>
              <w:end w:w="120" w:type="dxa"/>
            </w:tcMar>
          </w:tcPr>
          <w:p>
            <w:pPr>
              <w:spacing w:before="0" w:after="0" w:line="240" w:lineRule="auto"/>
            </w:pPr>
            <w:r>
              <w:rPr>
                <w:rFonts w:ascii="Arial" w:hAnsi="Arial"/>
                <w:b/>
                <w:sz w:val="12"/>
              </w:rPr>
              <w:t>Peak increment F / P</w:t>
            </w:r>
          </w:p>
        </w:tc>
        <w:tc>
          <w:tcPr>
            <w:tcW w:type="dxa" w:w="2387"/>
            <w:vAlign w:val="center"/>
            <w:tcMar>
              <w:top w:w="80" w:type="dxa"/>
              <w:bottom w:w="80" w:type="dxa"/>
              <w:start w:w="120" w:type="dxa"/>
              <w:end w:w="120" w:type="dxa"/>
            </w:tcMar>
          </w:tcPr>
          <w:p>
            <w:pPr>
              <w:spacing w:before="0" w:after="0" w:line="240" w:lineRule="auto"/>
            </w:pPr>
            <w:r>
              <w:rPr>
                <w:rFonts w:ascii="Arial" w:hAnsi="Arial"/>
                <w:b/>
                <w:sz w:val="12"/>
              </w:rPr>
              <w:t>Largest retained dense object F / P</w:t>
            </w:r>
          </w:p>
        </w:tc>
      </w:tr>
      <w:tr>
        <w:trPr/>
        <w:tc>
          <w:tcPr>
            <w:tcW w:type="dxa" w:w="1728"/>
            <w:vAlign w:val="center"/>
            <w:tcMar>
              <w:top w:w="80" w:type="dxa"/>
              <w:bottom w:w="80" w:type="dxa"/>
              <w:start w:w="120" w:type="dxa"/>
              <w:end w:w="120" w:type="dxa"/>
            </w:tcMar>
          </w:tcPr>
          <w:p>
            <w:pPr>
              <w:spacing w:after="0" w:before="0" w:line="240" w:lineRule="auto"/>
            </w:pPr>
            <w:r>
              <w:rPr>
                <w:sz w:val="12"/>
              </w:rPr>
              <w:t>ccle</w:t>
            </w:r>
          </w:p>
        </w:tc>
        <w:tc>
          <w:tcPr>
            <w:tcW w:type="dxa" w:w="2386"/>
            <w:vAlign w:val="center"/>
            <w:tcMar>
              <w:top w:w="80" w:type="dxa"/>
              <w:bottom w:w="80" w:type="dxa"/>
              <w:start w:w="120" w:type="dxa"/>
              <w:end w:w="120" w:type="dxa"/>
            </w:tcMar>
          </w:tcPr>
          <w:p>
            <w:pPr>
              <w:spacing w:after="0" w:before="0" w:line="240" w:lineRule="auto"/>
            </w:pPr>
            <w:r>
              <w:rPr>
                <w:sz w:val="12"/>
              </w:rPr>
              <w:t>474.3 / 491.8</w:t>
            </w:r>
          </w:p>
        </w:tc>
        <w:tc>
          <w:tcPr>
            <w:tcW w:type="dxa" w:w="2057"/>
            <w:vAlign w:val="center"/>
            <w:tcMar>
              <w:top w:w="80" w:type="dxa"/>
              <w:bottom w:w="80" w:type="dxa"/>
              <w:start w:w="120" w:type="dxa"/>
              <w:end w:w="120" w:type="dxa"/>
            </w:tcMar>
          </w:tcPr>
          <w:p>
            <w:pPr>
              <w:spacing w:after="0" w:before="0" w:line="240" w:lineRule="auto"/>
            </w:pPr>
            <w:r>
              <w:rPr>
                <w:sz w:val="12"/>
              </w:rPr>
              <w:t>397.9 / 397.8</w:t>
            </w:r>
          </w:p>
        </w:tc>
        <w:tc>
          <w:tcPr>
            <w:tcW w:type="dxa" w:w="2386"/>
            <w:vAlign w:val="center"/>
            <w:tcMar>
              <w:top w:w="80" w:type="dxa"/>
              <w:bottom w:w="80" w:type="dxa"/>
              <w:start w:w="120" w:type="dxa"/>
              <w:end w:w="120" w:type="dxa"/>
            </w:tcMar>
          </w:tcPr>
          <w:p>
            <w:pPr>
              <w:spacing w:after="0" w:before="0" w:line="240" w:lineRule="auto"/>
            </w:pPr>
            <w:r>
              <w:rPr>
                <w:sz w:val="12"/>
              </w:rPr>
              <w:t>76.5 / 94.0</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6.87 / coefficient path (p x q x A): 6.87</w:t>
            </w:r>
          </w:p>
        </w:tc>
      </w:tr>
      <w:tr>
        <w:trPr/>
        <w:tc>
          <w:tcPr>
            <w:tcW w:type="dxa" w:w="1728"/>
            <w:vAlign w:val="center"/>
            <w:tcMar>
              <w:top w:w="80" w:type="dxa"/>
              <w:bottom w:w="80" w:type="dxa"/>
              <w:start w:w="120" w:type="dxa"/>
              <w:end w:w="120" w:type="dxa"/>
            </w:tcMar>
          </w:tcPr>
          <w:p>
            <w:pPr>
              <w:spacing w:after="0" w:before="0" w:line="240" w:lineRule="auto"/>
            </w:pPr>
            <w:r>
              <w:rPr>
                <w:sz w:val="12"/>
              </w:rPr>
              <w:t>cifar100</w:t>
            </w:r>
          </w:p>
        </w:tc>
        <w:tc>
          <w:tcPr>
            <w:tcW w:type="dxa" w:w="2386"/>
            <w:vAlign w:val="center"/>
            <w:tcMar>
              <w:top w:w="80" w:type="dxa"/>
              <w:bottom w:w="80" w:type="dxa"/>
              <w:start w:w="120" w:type="dxa"/>
              <w:end w:w="120" w:type="dxa"/>
            </w:tcMar>
          </w:tcPr>
          <w:p>
            <w:pPr>
              <w:spacing w:after="0" w:before="0" w:line="240" w:lineRule="auto"/>
            </w:pPr>
            <w:r>
              <w:rPr>
                <w:sz w:val="12"/>
              </w:rPr>
              <w:t>1975.9 / 2033.9</w:t>
            </w:r>
          </w:p>
        </w:tc>
        <w:tc>
          <w:tcPr>
            <w:tcW w:type="dxa" w:w="2057"/>
            <w:vAlign w:val="center"/>
            <w:tcMar>
              <w:top w:w="80" w:type="dxa"/>
              <w:bottom w:w="80" w:type="dxa"/>
              <w:start w:w="120" w:type="dxa"/>
              <w:end w:w="120" w:type="dxa"/>
            </w:tcMar>
          </w:tcPr>
          <w:p>
            <w:pPr>
              <w:spacing w:after="0" w:before="0" w:line="240" w:lineRule="auto"/>
            </w:pPr>
            <w:r>
              <w:rPr>
                <w:sz w:val="12"/>
              </w:rPr>
              <w:t>1906.7 / 1906.8</w:t>
            </w:r>
          </w:p>
        </w:tc>
        <w:tc>
          <w:tcPr>
            <w:tcW w:type="dxa" w:w="2386"/>
            <w:vAlign w:val="center"/>
            <w:tcMar>
              <w:top w:w="80" w:type="dxa"/>
              <w:bottom w:w="80" w:type="dxa"/>
              <w:start w:w="120" w:type="dxa"/>
              <w:end w:w="120" w:type="dxa"/>
            </w:tcMar>
          </w:tcPr>
          <w:p>
            <w:pPr>
              <w:spacing w:after="0" w:before="0" w:line="240" w:lineRule="auto"/>
            </w:pPr>
            <w:r>
              <w:rPr>
                <w:sz w:val="12"/>
              </w:rPr>
              <w:t>69.2 / 127.1</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58.59 / coefficient path (p x q x A): 58.59</w:t>
            </w:r>
          </w:p>
        </w:tc>
      </w:tr>
      <w:tr>
        <w:trPr/>
        <w:tc>
          <w:tcPr>
            <w:tcW w:type="dxa" w:w="1728"/>
            <w:vAlign w:val="center"/>
            <w:tcMar>
              <w:top w:w="80" w:type="dxa"/>
              <w:bottom w:w="80" w:type="dxa"/>
              <w:start w:w="120" w:type="dxa"/>
              <w:end w:w="120" w:type="dxa"/>
            </w:tcMar>
          </w:tcPr>
          <w:p>
            <w:pPr>
              <w:spacing w:after="0" w:before="0" w:line="240" w:lineRule="auto"/>
            </w:pPr>
            <w:r>
              <w:rPr>
                <w:sz w:val="12"/>
              </w:rPr>
              <w:t>gtex_v8</w:t>
            </w:r>
          </w:p>
        </w:tc>
        <w:tc>
          <w:tcPr>
            <w:tcW w:type="dxa" w:w="2386"/>
            <w:vAlign w:val="center"/>
            <w:tcMar>
              <w:top w:w="80" w:type="dxa"/>
              <w:bottom w:w="80" w:type="dxa"/>
              <w:start w:w="120" w:type="dxa"/>
              <w:end w:w="120" w:type="dxa"/>
            </w:tcMar>
          </w:tcPr>
          <w:p>
            <w:pPr>
              <w:spacing w:after="0" w:before="0" w:line="240" w:lineRule="auto"/>
            </w:pPr>
            <w:r>
              <w:rPr>
                <w:sz w:val="12"/>
              </w:rPr>
              <w:t>513.1 / 544.8</w:t>
            </w:r>
          </w:p>
        </w:tc>
        <w:tc>
          <w:tcPr>
            <w:tcW w:type="dxa" w:w="2057"/>
            <w:vAlign w:val="center"/>
            <w:tcMar>
              <w:top w:w="80" w:type="dxa"/>
              <w:bottom w:w="80" w:type="dxa"/>
              <w:start w:w="120" w:type="dxa"/>
              <w:end w:w="120" w:type="dxa"/>
            </w:tcMar>
          </w:tcPr>
          <w:p>
            <w:pPr>
              <w:spacing w:after="0" w:before="0" w:line="240" w:lineRule="auto"/>
            </w:pPr>
            <w:r>
              <w:rPr>
                <w:sz w:val="12"/>
              </w:rPr>
              <w:t>428.2 / 428.2</w:t>
            </w:r>
          </w:p>
        </w:tc>
        <w:tc>
          <w:tcPr>
            <w:tcW w:type="dxa" w:w="2386"/>
            <w:vAlign w:val="center"/>
            <w:tcMar>
              <w:top w:w="80" w:type="dxa"/>
              <w:bottom w:w="80" w:type="dxa"/>
              <w:start w:w="120" w:type="dxa"/>
              <w:end w:w="120" w:type="dxa"/>
            </w:tcMar>
          </w:tcPr>
          <w:p>
            <w:pPr>
              <w:spacing w:after="0" w:before="0" w:line="240" w:lineRule="auto"/>
            </w:pPr>
            <w:r>
              <w:rPr>
                <w:sz w:val="12"/>
              </w:rPr>
              <w:t>84.9 / 116.6</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7.81 / coefficient path (p x q x A): 7.81</w:t>
            </w:r>
          </w:p>
        </w:tc>
      </w:tr>
      <w:tr>
        <w:trPr/>
        <w:tc>
          <w:tcPr>
            <w:tcW w:type="dxa" w:w="1728"/>
            <w:vAlign w:val="center"/>
            <w:tcMar>
              <w:top w:w="80" w:type="dxa"/>
              <w:bottom w:w="80" w:type="dxa"/>
              <w:start w:w="120" w:type="dxa"/>
              <w:end w:w="120" w:type="dxa"/>
            </w:tcMar>
          </w:tcPr>
          <w:p>
            <w:pPr>
              <w:spacing w:after="0" w:before="0" w:line="240" w:lineRule="auto"/>
            </w:pPr>
            <w:r>
              <w:rPr>
                <w:sz w:val="12"/>
              </w:rPr>
              <w:t>metref</w:t>
            </w:r>
          </w:p>
        </w:tc>
        <w:tc>
          <w:tcPr>
            <w:tcW w:type="dxa" w:w="2386"/>
            <w:vAlign w:val="center"/>
            <w:tcMar>
              <w:top w:w="80" w:type="dxa"/>
              <w:bottom w:w="80" w:type="dxa"/>
              <w:start w:w="120" w:type="dxa"/>
              <w:end w:w="120" w:type="dxa"/>
            </w:tcMar>
          </w:tcPr>
          <w:p>
            <w:pPr>
              <w:spacing w:after="0" w:before="0" w:line="240" w:lineRule="auto"/>
            </w:pPr>
            <w:r>
              <w:rPr>
                <w:sz w:val="12"/>
              </w:rPr>
              <w:t>472.1 / 470.0</w:t>
            </w:r>
          </w:p>
        </w:tc>
        <w:tc>
          <w:tcPr>
            <w:tcW w:type="dxa" w:w="2057"/>
            <w:vAlign w:val="center"/>
            <w:tcMar>
              <w:top w:w="80" w:type="dxa"/>
              <w:bottom w:w="80" w:type="dxa"/>
              <w:start w:w="120" w:type="dxa"/>
              <w:end w:w="120" w:type="dxa"/>
            </w:tcMar>
          </w:tcPr>
          <w:p>
            <w:pPr>
              <w:spacing w:after="0" w:before="0" w:line="240" w:lineRule="auto"/>
            </w:pPr>
            <w:r>
              <w:rPr>
                <w:sz w:val="12"/>
              </w:rPr>
              <w:t>395.3 / 395.4</w:t>
            </w:r>
          </w:p>
        </w:tc>
        <w:tc>
          <w:tcPr>
            <w:tcW w:type="dxa" w:w="2386"/>
            <w:vAlign w:val="center"/>
            <w:tcMar>
              <w:top w:w="80" w:type="dxa"/>
              <w:bottom w:w="80" w:type="dxa"/>
              <w:start w:w="120" w:type="dxa"/>
              <w:end w:w="120" w:type="dxa"/>
            </w:tcMar>
          </w:tcPr>
          <w:p>
            <w:pPr>
              <w:spacing w:after="0" w:before="0" w:line="240" w:lineRule="auto"/>
            </w:pPr>
            <w:r>
              <w:rPr>
                <w:sz w:val="12"/>
              </w:rPr>
              <w:t>76.8 / 74.5</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1.38 / coefficient path (p x q x A): 1.38</w:t>
            </w:r>
          </w:p>
        </w:tc>
      </w:tr>
      <w:tr>
        <w:trPr/>
        <w:tc>
          <w:tcPr>
            <w:tcW w:type="dxa" w:w="1728"/>
            <w:vAlign w:val="center"/>
            <w:tcMar>
              <w:top w:w="80" w:type="dxa"/>
              <w:bottom w:w="80" w:type="dxa"/>
              <w:start w:w="120" w:type="dxa"/>
              <w:end w:w="120" w:type="dxa"/>
            </w:tcMar>
          </w:tcPr>
          <w:p>
            <w:pPr>
              <w:spacing w:after="0" w:before="0" w:line="240" w:lineRule="auto"/>
            </w:pPr>
            <w:r>
              <w:rPr>
                <w:sz w:val="12"/>
              </w:rPr>
              <w:t>retina</w:t>
            </w:r>
          </w:p>
        </w:tc>
        <w:tc>
          <w:tcPr>
            <w:tcW w:type="dxa" w:w="2386"/>
            <w:vAlign w:val="center"/>
            <w:tcMar>
              <w:top w:w="80" w:type="dxa"/>
              <w:bottom w:w="80" w:type="dxa"/>
              <w:start w:w="120" w:type="dxa"/>
              <w:end w:w="120" w:type="dxa"/>
            </w:tcMar>
          </w:tcPr>
          <w:p>
            <w:pPr>
              <w:spacing w:after="0" w:before="0" w:line="240" w:lineRule="auto"/>
            </w:pPr>
            <w:r>
              <w:rPr>
                <w:sz w:val="12"/>
              </w:rPr>
              <w:t>551.3 / 521.8</w:t>
            </w:r>
          </w:p>
        </w:tc>
        <w:tc>
          <w:tcPr>
            <w:tcW w:type="dxa" w:w="2057"/>
            <w:vAlign w:val="center"/>
            <w:tcMar>
              <w:top w:w="80" w:type="dxa"/>
              <w:bottom w:w="80" w:type="dxa"/>
              <w:start w:w="120" w:type="dxa"/>
              <w:end w:w="120" w:type="dxa"/>
            </w:tcMar>
          </w:tcPr>
          <w:p>
            <w:pPr>
              <w:spacing w:after="0" w:before="0" w:line="240" w:lineRule="auto"/>
            </w:pPr>
            <w:r>
              <w:rPr>
                <w:sz w:val="12"/>
              </w:rPr>
              <w:t>422.5 / 422.4</w:t>
            </w:r>
          </w:p>
        </w:tc>
        <w:tc>
          <w:tcPr>
            <w:tcW w:type="dxa" w:w="2386"/>
            <w:vAlign w:val="center"/>
            <w:tcMar>
              <w:top w:w="80" w:type="dxa"/>
              <w:bottom w:w="80" w:type="dxa"/>
              <w:start w:w="120" w:type="dxa"/>
              <w:end w:w="120" w:type="dxa"/>
            </w:tcMar>
          </w:tcPr>
          <w:p>
            <w:pPr>
              <w:spacing w:after="0" w:before="0" w:line="240" w:lineRule="auto"/>
            </w:pPr>
            <w:r>
              <w:rPr>
                <w:sz w:val="12"/>
              </w:rPr>
              <w:t>128.9 / 99.4</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0.23 / coefficient path (p x q x A): 0.23</w:t>
            </w:r>
          </w:p>
        </w:tc>
      </w:tr>
      <w:tr>
        <w:trPr/>
        <w:tc>
          <w:tcPr>
            <w:tcW w:type="dxa" w:w="1728"/>
            <w:vAlign w:val="center"/>
            <w:tcMar>
              <w:top w:w="80" w:type="dxa"/>
              <w:bottom w:w="80" w:type="dxa"/>
              <w:start w:w="120" w:type="dxa"/>
              <w:end w:w="120" w:type="dxa"/>
            </w:tcMar>
          </w:tcPr>
          <w:p>
            <w:pPr>
              <w:spacing w:after="0" w:before="0" w:line="240" w:lineRule="auto"/>
            </w:pPr>
            <w:r>
              <w:rPr>
                <w:sz w:val="12"/>
              </w:rPr>
              <w:t>tabula</w:t>
            </w:r>
          </w:p>
        </w:tc>
        <w:tc>
          <w:tcPr>
            <w:tcW w:type="dxa" w:w="2386"/>
            <w:vAlign w:val="center"/>
            <w:tcMar>
              <w:top w:w="80" w:type="dxa"/>
              <w:bottom w:w="80" w:type="dxa"/>
              <w:start w:w="120" w:type="dxa"/>
              <w:end w:w="120" w:type="dxa"/>
            </w:tcMar>
          </w:tcPr>
          <w:p>
            <w:pPr>
              <w:spacing w:after="0" w:before="0" w:line="240" w:lineRule="auto"/>
            </w:pPr>
            <w:r>
              <w:rPr>
                <w:sz w:val="12"/>
              </w:rPr>
              <w:t>667.8 / 645.9</w:t>
            </w:r>
          </w:p>
        </w:tc>
        <w:tc>
          <w:tcPr>
            <w:tcW w:type="dxa" w:w="2057"/>
            <w:vAlign w:val="center"/>
            <w:tcMar>
              <w:top w:w="80" w:type="dxa"/>
              <w:bottom w:w="80" w:type="dxa"/>
              <w:start w:w="120" w:type="dxa"/>
              <w:end w:w="120" w:type="dxa"/>
            </w:tcMar>
          </w:tcPr>
          <w:p>
            <w:pPr>
              <w:spacing w:after="0" w:before="0" w:line="240" w:lineRule="auto"/>
            </w:pPr>
            <w:r>
              <w:rPr>
                <w:sz w:val="12"/>
              </w:rPr>
              <w:t>478.4 / 478.4</w:t>
            </w:r>
          </w:p>
        </w:tc>
        <w:tc>
          <w:tcPr>
            <w:tcW w:type="dxa" w:w="2386"/>
            <w:vAlign w:val="center"/>
            <w:tcMar>
              <w:top w:w="80" w:type="dxa"/>
              <w:bottom w:w="80" w:type="dxa"/>
              <w:start w:w="120" w:type="dxa"/>
              <w:end w:w="120" w:type="dxa"/>
            </w:tcMar>
          </w:tcPr>
          <w:p>
            <w:pPr>
              <w:spacing w:after="0" w:before="0" w:line="240" w:lineRule="auto"/>
            </w:pPr>
            <w:r>
              <w:rPr>
                <w:sz w:val="12"/>
              </w:rPr>
              <w:t>189.4 / 167.5</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0.61 / coefficient path (p x q x A): 0.61</w:t>
            </w:r>
          </w:p>
        </w:tc>
      </w:tr>
      <w:tr>
        <w:trPr/>
        <w:tc>
          <w:tcPr>
            <w:tcW w:type="dxa" w:w="1728"/>
            <w:vAlign w:val="center"/>
            <w:tcMar>
              <w:top w:w="80" w:type="dxa"/>
              <w:bottom w:w="80" w:type="dxa"/>
              <w:start w:w="120" w:type="dxa"/>
              <w:end w:w="120" w:type="dxa"/>
            </w:tcMar>
          </w:tcPr>
          <w:p>
            <w:pPr>
              <w:spacing w:after="0" w:before="0" w:line="240" w:lineRule="auto"/>
            </w:pPr>
            <w:r>
              <w:rPr>
                <w:sz w:val="12"/>
              </w:rPr>
              <w:t>tcga_brca</w:t>
            </w:r>
          </w:p>
        </w:tc>
        <w:tc>
          <w:tcPr>
            <w:tcW w:type="dxa" w:w="2386"/>
            <w:vAlign w:val="center"/>
            <w:tcMar>
              <w:top w:w="80" w:type="dxa"/>
              <w:bottom w:w="80" w:type="dxa"/>
              <w:start w:w="120" w:type="dxa"/>
              <w:end w:w="120" w:type="dxa"/>
            </w:tcMar>
          </w:tcPr>
          <w:p>
            <w:pPr>
              <w:spacing w:after="0" w:before="0" w:line="240" w:lineRule="auto"/>
            </w:pPr>
            <w:r>
              <w:rPr>
                <w:sz w:val="12"/>
              </w:rPr>
              <w:t>469.7 / 481.0</w:t>
            </w:r>
          </w:p>
        </w:tc>
        <w:tc>
          <w:tcPr>
            <w:tcW w:type="dxa" w:w="2057"/>
            <w:vAlign w:val="center"/>
            <w:tcMar>
              <w:top w:w="80" w:type="dxa"/>
              <w:bottom w:w="80" w:type="dxa"/>
              <w:start w:w="120" w:type="dxa"/>
              <w:end w:w="120" w:type="dxa"/>
            </w:tcMar>
          </w:tcPr>
          <w:p>
            <w:pPr>
              <w:spacing w:after="0" w:before="0" w:line="240" w:lineRule="auto"/>
            </w:pPr>
            <w:r>
              <w:rPr>
                <w:sz w:val="12"/>
              </w:rPr>
              <w:t>399.5 / 399.6</w:t>
            </w:r>
          </w:p>
        </w:tc>
        <w:tc>
          <w:tcPr>
            <w:tcW w:type="dxa" w:w="2386"/>
            <w:vAlign w:val="center"/>
            <w:tcMar>
              <w:top w:w="80" w:type="dxa"/>
              <w:bottom w:w="80" w:type="dxa"/>
              <w:start w:w="120" w:type="dxa"/>
              <w:end w:w="120" w:type="dxa"/>
            </w:tcMar>
          </w:tcPr>
          <w:p>
            <w:pPr>
              <w:spacing w:after="0" w:before="0" w:line="240" w:lineRule="auto"/>
            </w:pPr>
            <w:r>
              <w:rPr>
                <w:sz w:val="12"/>
              </w:rPr>
              <w:t>70.1 / 81.4</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0.19 / coefficient path (p x q x A): 0.19</w:t>
            </w:r>
          </w:p>
        </w:tc>
      </w:tr>
      <w:tr>
        <w:trPr/>
        <w:tc>
          <w:tcPr>
            <w:tcW w:type="dxa" w:w="1728"/>
            <w:vAlign w:val="center"/>
            <w:tcMar>
              <w:top w:w="80" w:type="dxa"/>
              <w:bottom w:w="80" w:type="dxa"/>
              <w:start w:w="120" w:type="dxa"/>
              <w:end w:w="120" w:type="dxa"/>
            </w:tcMar>
          </w:tcPr>
          <w:p>
            <w:pPr>
              <w:spacing w:after="0" w:before="0" w:line="240" w:lineRule="auto"/>
            </w:pPr>
            <w:r>
              <w:rPr>
                <w:sz w:val="12"/>
              </w:rPr>
              <w:t>tcga_hnsc_methylation</w:t>
            </w:r>
          </w:p>
        </w:tc>
        <w:tc>
          <w:tcPr>
            <w:tcW w:type="dxa" w:w="2386"/>
            <w:vAlign w:val="center"/>
            <w:tcMar>
              <w:top w:w="80" w:type="dxa"/>
              <w:bottom w:w="80" w:type="dxa"/>
              <w:start w:w="120" w:type="dxa"/>
              <w:end w:w="120" w:type="dxa"/>
            </w:tcMar>
          </w:tcPr>
          <w:p>
            <w:pPr>
              <w:spacing w:after="0" w:before="0" w:line="240" w:lineRule="auto"/>
            </w:pPr>
            <w:r>
              <w:rPr>
                <w:sz w:val="12"/>
              </w:rPr>
              <w:t>465.6 / 470.6</w:t>
            </w:r>
          </w:p>
        </w:tc>
        <w:tc>
          <w:tcPr>
            <w:tcW w:type="dxa" w:w="2057"/>
            <w:vAlign w:val="center"/>
            <w:tcMar>
              <w:top w:w="80" w:type="dxa"/>
              <w:bottom w:w="80" w:type="dxa"/>
              <w:start w:w="120" w:type="dxa"/>
              <w:end w:w="120" w:type="dxa"/>
            </w:tcMar>
          </w:tcPr>
          <w:p>
            <w:pPr>
              <w:spacing w:after="0" w:before="0" w:line="240" w:lineRule="auto"/>
            </w:pPr>
            <w:r>
              <w:rPr>
                <w:sz w:val="12"/>
              </w:rPr>
              <w:t>396.2 / 396.2</w:t>
            </w:r>
          </w:p>
        </w:tc>
        <w:tc>
          <w:tcPr>
            <w:tcW w:type="dxa" w:w="2386"/>
            <w:vAlign w:val="center"/>
            <w:tcMar>
              <w:top w:w="80" w:type="dxa"/>
              <w:bottom w:w="80" w:type="dxa"/>
              <w:start w:w="120" w:type="dxa"/>
              <w:end w:w="120" w:type="dxa"/>
            </w:tcMar>
          </w:tcPr>
          <w:p>
            <w:pPr>
              <w:spacing w:after="0" w:before="0" w:line="240" w:lineRule="auto"/>
            </w:pPr>
            <w:r>
              <w:rPr>
                <w:sz w:val="12"/>
              </w:rPr>
              <w:t>69.4 / 74.3</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0.02 / coefficient path (p x q x A): 0.02</w:t>
            </w:r>
          </w:p>
        </w:tc>
      </w:tr>
      <w:tr>
        <w:trPr/>
        <w:tc>
          <w:tcPr>
            <w:tcW w:type="dxa" w:w="1728"/>
            <w:vAlign w:val="center"/>
            <w:tcMar>
              <w:top w:w="80" w:type="dxa"/>
              <w:bottom w:w="80" w:type="dxa"/>
              <w:start w:w="120" w:type="dxa"/>
              <w:end w:w="120" w:type="dxa"/>
            </w:tcMar>
          </w:tcPr>
          <w:p>
            <w:pPr>
              <w:spacing w:after="0" w:before="0" w:line="240" w:lineRule="auto"/>
            </w:pPr>
            <w:r>
              <w:rPr>
                <w:sz w:val="12"/>
              </w:rPr>
              <w:t>tcga_pan_cancer</w:t>
            </w:r>
          </w:p>
        </w:tc>
        <w:tc>
          <w:tcPr>
            <w:tcW w:type="dxa" w:w="2386"/>
            <w:vAlign w:val="center"/>
            <w:tcMar>
              <w:top w:w="80" w:type="dxa"/>
              <w:bottom w:w="80" w:type="dxa"/>
              <w:start w:w="120" w:type="dxa"/>
              <w:end w:w="120" w:type="dxa"/>
            </w:tcMar>
          </w:tcPr>
          <w:p>
            <w:pPr>
              <w:spacing w:after="0" w:before="0" w:line="240" w:lineRule="auto"/>
            </w:pPr>
            <w:r>
              <w:rPr>
                <w:sz w:val="12"/>
              </w:rPr>
              <w:t>513.2 / 547.3</w:t>
            </w:r>
          </w:p>
        </w:tc>
        <w:tc>
          <w:tcPr>
            <w:tcW w:type="dxa" w:w="2057"/>
            <w:vAlign w:val="center"/>
            <w:tcMar>
              <w:top w:w="80" w:type="dxa"/>
              <w:bottom w:w="80" w:type="dxa"/>
              <w:start w:w="120" w:type="dxa"/>
              <w:end w:w="120" w:type="dxa"/>
            </w:tcMar>
          </w:tcPr>
          <w:p>
            <w:pPr>
              <w:spacing w:after="0" w:before="0" w:line="240" w:lineRule="auto"/>
            </w:pPr>
            <w:r>
              <w:rPr>
                <w:sz w:val="12"/>
              </w:rPr>
              <w:t>425.3 / 425.4</w:t>
            </w:r>
          </w:p>
        </w:tc>
        <w:tc>
          <w:tcPr>
            <w:tcW w:type="dxa" w:w="2386"/>
            <w:vAlign w:val="center"/>
            <w:tcMar>
              <w:top w:w="80" w:type="dxa"/>
              <w:bottom w:w="80" w:type="dxa"/>
              <w:start w:w="120" w:type="dxa"/>
              <w:end w:w="120" w:type="dxa"/>
            </w:tcMar>
          </w:tcPr>
          <w:p>
            <w:pPr>
              <w:spacing w:after="0" w:before="0" w:line="240" w:lineRule="auto"/>
            </w:pPr>
            <w:r>
              <w:rPr>
                <w:sz w:val="12"/>
              </w:rPr>
              <w:t>87.8 / 121.9</w:t>
            </w:r>
          </w:p>
        </w:tc>
        <w:tc>
          <w:tcPr>
            <w:tcW w:type="dxa" w:w="2387"/>
            <w:vAlign w:val="center"/>
            <w:tcMar>
              <w:top w:w="80" w:type="dxa"/>
              <w:bottom w:w="80" w:type="dxa"/>
              <w:start w:w="120" w:type="dxa"/>
              <w:end w:w="120" w:type="dxa"/>
            </w:tcMar>
          </w:tcPr>
          <w:p>
            <w:pPr>
              <w:spacing w:after="0" w:before="0" w:line="240" w:lineRule="auto"/>
            </w:pPr>
            <w:r>
              <w:rPr>
                <w:sz w:val="12"/>
              </w:rPr>
              <w:t>coefficient path (p x q x A): 10.38 / coefficient path (p x q x A): 10.38</w:t>
            </w:r>
          </w:p>
        </w:tc>
      </w:tr>
    </w:tbl>
    <w:p>
      <w:pPr>
        <w:pageBreakBefore/>
      </w:pPr>
      <w:r>
        <w:t>Table S10d. Host-memory accounting for ordinary public workflows. Values are MiB; F/P denotes fastPLS / pls::simpls.fit. Absolute peak and corrected increment are median (IQR) across three fresh processes. The largest retained dense object is the p x q final coefficient matrix for fastPLS and one n_train x q x A fitted or residual path for pls::simpls.fit; the reference object ordinarily retains both fitted and residual paths. Measured RSS includes runtime, allocator, temporary, and output storage.</w:t>
      </w:r>
    </w:p>
    <w:tbl>
      <w:tblPr>
        <w:tblW w:type="dxa" w:w="10944"/>
        <w:jc w:val="left"/>
        <w:tblLayout w:type="fixed"/>
        <w:tblLook w:firstColumn="1" w:firstRow="1" w:lastColumn="0" w:lastRow="0" w:noHBand="0" w:noVBand="1" w:val="04A0"/>
        <w:tblInd w:type="dxa" w:w="120"/>
        <w:tblCellMar>
          <w:top w:w="45" w:type="dxa"/>
          <w:start w:w="45" w:type="dxa"/>
          <w:bottom w:w="45" w:type="dxa"/>
          <w:end w:w="45" w:type="dxa"/>
        </w:tblCellMar>
      </w:tblPr>
      <w:tblGrid>
        <w:gridCol w:w="1728"/>
        <w:gridCol w:w="2386"/>
        <w:gridCol w:w="2057"/>
        <w:gridCol w:w="2386"/>
        <w:gridCol w:w="2387"/>
      </w:tblGrid>
      <w:tr>
        <w:trPr>
          <w:tblHeader w:val="true"/>
        </w:trPr>
        <w:tc>
          <w:tcPr>
            <w:tcW w:type="dxa" w:w="1728"/>
            <w:vAlign w:val="center"/>
            <w:tcMar>
              <w:top w:w="80" w:type="dxa"/>
              <w:bottom w:w="80" w:type="dxa"/>
              <w:start w:w="120" w:type="dxa"/>
              <w:end w:w="120" w:type="dxa"/>
            </w:tcMar>
          </w:tcPr>
          <w:p>
            <w:pPr>
              <w:spacing w:before="0" w:after="0" w:line="240" w:lineRule="auto"/>
            </w:pPr>
            <w:r>
              <w:rPr>
                <w:rFonts w:ascii="Arial" w:hAnsi="Arial"/>
                <w:b/>
                <w:sz w:val="12"/>
              </w:rPr>
              <w:t>Dataset</w:t>
            </w:r>
          </w:p>
        </w:tc>
        <w:tc>
          <w:tcPr>
            <w:tcW w:type="dxa" w:w="2386"/>
            <w:vAlign w:val="center"/>
            <w:tcMar>
              <w:top w:w="80" w:type="dxa"/>
              <w:bottom w:w="80" w:type="dxa"/>
              <w:start w:w="120" w:type="dxa"/>
              <w:end w:w="120" w:type="dxa"/>
            </w:tcMar>
          </w:tcPr>
          <w:p>
            <w:pPr>
              <w:spacing w:before="0" w:after="0" w:line="240" w:lineRule="auto"/>
            </w:pPr>
            <w:r>
              <w:rPr>
                <w:rFonts w:ascii="Arial" w:hAnsi="Arial"/>
                <w:b/>
                <w:sz w:val="12"/>
              </w:rPr>
              <w:t>Absolute peak F / P</w:t>
            </w:r>
          </w:p>
        </w:tc>
        <w:tc>
          <w:tcPr>
            <w:tcW w:type="dxa" w:w="2057"/>
            <w:vAlign w:val="center"/>
            <w:tcMar>
              <w:top w:w="80" w:type="dxa"/>
              <w:bottom w:w="80" w:type="dxa"/>
              <w:start w:w="120" w:type="dxa"/>
              <w:end w:w="120" w:type="dxa"/>
            </w:tcMar>
          </w:tcPr>
          <w:p>
            <w:pPr>
              <w:spacing w:before="0" w:after="0" w:line="240" w:lineRule="auto"/>
            </w:pPr>
            <w:r>
              <w:rPr>
                <w:rFonts w:ascii="Arial" w:hAnsi="Arial"/>
                <w:b/>
                <w:sz w:val="12"/>
              </w:rPr>
              <w:t>Pre-fit baseline F / P</w:t>
            </w:r>
          </w:p>
        </w:tc>
        <w:tc>
          <w:tcPr>
            <w:tcW w:type="dxa" w:w="2386"/>
            <w:vAlign w:val="center"/>
            <w:tcMar>
              <w:top w:w="80" w:type="dxa"/>
              <w:bottom w:w="80" w:type="dxa"/>
              <w:start w:w="120" w:type="dxa"/>
              <w:end w:w="120" w:type="dxa"/>
            </w:tcMar>
          </w:tcPr>
          <w:p>
            <w:pPr>
              <w:spacing w:before="0" w:after="0" w:line="240" w:lineRule="auto"/>
            </w:pPr>
            <w:r>
              <w:rPr>
                <w:rFonts w:ascii="Arial" w:hAnsi="Arial"/>
                <w:b/>
                <w:sz w:val="12"/>
              </w:rPr>
              <w:t>Peak increment F / P</w:t>
            </w:r>
          </w:p>
        </w:tc>
        <w:tc>
          <w:tcPr>
            <w:tcW w:type="dxa" w:w="2387"/>
            <w:vAlign w:val="center"/>
            <w:tcMar>
              <w:top w:w="80" w:type="dxa"/>
              <w:bottom w:w="80" w:type="dxa"/>
              <w:start w:w="120" w:type="dxa"/>
              <w:end w:w="120" w:type="dxa"/>
            </w:tcMar>
          </w:tcPr>
          <w:p>
            <w:pPr>
              <w:spacing w:before="0" w:after="0" w:line="240" w:lineRule="auto"/>
            </w:pPr>
            <w:r>
              <w:rPr>
                <w:rFonts w:ascii="Arial" w:hAnsi="Arial"/>
                <w:b/>
                <w:sz w:val="12"/>
              </w:rPr>
              <w:t>Largest retained dense object F / P</w:t>
            </w:r>
          </w:p>
        </w:tc>
      </w:tr>
      <w:tr>
        <w:trPr/>
        <w:tc>
          <w:tcPr>
            <w:tcW w:type="dxa" w:w="1728"/>
            <w:vAlign w:val="center"/>
            <w:tcMar>
              <w:top w:w="80" w:type="dxa"/>
              <w:bottom w:w="80" w:type="dxa"/>
              <w:start w:w="120" w:type="dxa"/>
              <w:end w:w="120" w:type="dxa"/>
            </w:tcMar>
          </w:tcPr>
          <w:p>
            <w:pPr>
              <w:spacing w:after="0" w:before="0" w:line="240" w:lineRule="auto"/>
            </w:pPr>
            <w:r>
              <w:rPr>
                <w:sz w:val="12"/>
              </w:rPr>
              <w:t>ccle</w:t>
            </w:r>
          </w:p>
        </w:tc>
        <w:tc>
          <w:tcPr>
            <w:tcW w:type="dxa" w:w="2386"/>
            <w:vAlign w:val="center"/>
            <w:tcMar>
              <w:top w:w="80" w:type="dxa"/>
              <w:bottom w:w="80" w:type="dxa"/>
              <w:start w:w="120" w:type="dxa"/>
              <w:end w:w="120" w:type="dxa"/>
            </w:tcMar>
          </w:tcPr>
          <w:p>
            <w:pPr>
              <w:spacing w:after="0" w:before="0" w:line="240" w:lineRule="auto"/>
            </w:pPr>
            <w:r>
              <w:rPr>
                <w:sz w:val="12"/>
              </w:rPr>
              <w:t>490.0 / 496.7</w:t>
            </w:r>
          </w:p>
        </w:tc>
        <w:tc>
          <w:tcPr>
            <w:tcW w:type="dxa" w:w="2057"/>
            <w:vAlign w:val="center"/>
            <w:tcMar>
              <w:top w:w="80" w:type="dxa"/>
              <w:bottom w:w="80" w:type="dxa"/>
              <w:start w:w="120" w:type="dxa"/>
              <w:end w:w="120" w:type="dxa"/>
            </w:tcMar>
          </w:tcPr>
          <w:p>
            <w:pPr>
              <w:spacing w:after="0" w:before="0" w:line="240" w:lineRule="auto"/>
            </w:pPr>
            <w:r>
              <w:rPr>
                <w:sz w:val="12"/>
              </w:rPr>
              <w:t>397.9 / 397.8</w:t>
            </w:r>
          </w:p>
        </w:tc>
        <w:tc>
          <w:tcPr>
            <w:tcW w:type="dxa" w:w="2386"/>
            <w:vAlign w:val="center"/>
            <w:tcMar>
              <w:top w:w="80" w:type="dxa"/>
              <w:bottom w:w="80" w:type="dxa"/>
              <w:start w:w="120" w:type="dxa"/>
              <w:end w:w="120" w:type="dxa"/>
            </w:tcMar>
          </w:tcPr>
          <w:p>
            <w:pPr>
              <w:spacing w:after="0" w:before="0" w:line="240" w:lineRule="auto"/>
            </w:pPr>
            <w:r>
              <w:rPr>
                <w:sz w:val="12"/>
              </w:rPr>
              <w:t>92.1 / 98.9</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0.14 / fitted/residual response path (n_train x q x A each): 3.76</w:t>
            </w:r>
          </w:p>
        </w:tc>
      </w:tr>
      <w:tr>
        <w:trPr/>
        <w:tc>
          <w:tcPr>
            <w:tcW w:type="dxa" w:w="1728"/>
            <w:vAlign w:val="center"/>
            <w:tcMar>
              <w:top w:w="80" w:type="dxa"/>
              <w:bottom w:w="80" w:type="dxa"/>
              <w:start w:w="120" w:type="dxa"/>
              <w:end w:w="120" w:type="dxa"/>
            </w:tcMar>
          </w:tcPr>
          <w:p>
            <w:pPr>
              <w:spacing w:after="0" w:before="0" w:line="240" w:lineRule="auto"/>
            </w:pPr>
            <w:r>
              <w:rPr>
                <w:sz w:val="12"/>
              </w:rPr>
              <w:t>cifar100</w:t>
            </w:r>
          </w:p>
        </w:tc>
        <w:tc>
          <w:tcPr>
            <w:tcW w:type="dxa" w:w="2386"/>
            <w:vAlign w:val="center"/>
            <w:tcMar>
              <w:top w:w="80" w:type="dxa"/>
              <w:bottom w:w="80" w:type="dxa"/>
              <w:start w:w="120" w:type="dxa"/>
              <w:end w:w="120" w:type="dxa"/>
            </w:tcMar>
          </w:tcPr>
          <w:p>
            <w:pPr>
              <w:spacing w:after="0" w:before="0" w:line="240" w:lineRule="auto"/>
            </w:pPr>
            <w:r>
              <w:rPr>
                <w:sz w:val="12"/>
              </w:rPr>
              <w:t>2493.6 / 13415.2</w:t>
            </w:r>
          </w:p>
        </w:tc>
        <w:tc>
          <w:tcPr>
            <w:tcW w:type="dxa" w:w="2057"/>
            <w:vAlign w:val="center"/>
            <w:tcMar>
              <w:top w:w="80" w:type="dxa"/>
              <w:bottom w:w="80" w:type="dxa"/>
              <w:start w:w="120" w:type="dxa"/>
              <w:end w:w="120" w:type="dxa"/>
            </w:tcMar>
          </w:tcPr>
          <w:p>
            <w:pPr>
              <w:spacing w:after="0" w:before="0" w:line="240" w:lineRule="auto"/>
            </w:pPr>
            <w:r>
              <w:rPr>
                <w:sz w:val="12"/>
              </w:rPr>
              <w:t>1906.8 / 1906.6</w:t>
            </w:r>
          </w:p>
        </w:tc>
        <w:tc>
          <w:tcPr>
            <w:tcW w:type="dxa" w:w="2386"/>
            <w:vAlign w:val="center"/>
            <w:tcMar>
              <w:top w:w="80" w:type="dxa"/>
              <w:bottom w:w="80" w:type="dxa"/>
              <w:start w:w="120" w:type="dxa"/>
              <w:end w:w="120" w:type="dxa"/>
            </w:tcMar>
          </w:tcPr>
          <w:p>
            <w:pPr>
              <w:spacing w:after="0" w:before="0" w:line="240" w:lineRule="auto"/>
            </w:pPr>
            <w:r>
              <w:rPr>
                <w:sz w:val="12"/>
              </w:rPr>
              <w:t>586.8 / 11508.8</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0.59 / fitted/residual response path (n_train x q x A each): 3814.70</w:t>
            </w:r>
          </w:p>
        </w:tc>
      </w:tr>
      <w:tr>
        <w:trPr/>
        <w:tc>
          <w:tcPr>
            <w:tcW w:type="dxa" w:w="1728"/>
            <w:vAlign w:val="center"/>
            <w:tcMar>
              <w:top w:w="80" w:type="dxa"/>
              <w:bottom w:w="80" w:type="dxa"/>
              <w:start w:w="120" w:type="dxa"/>
              <w:end w:w="120" w:type="dxa"/>
            </w:tcMar>
          </w:tcPr>
          <w:p>
            <w:pPr>
              <w:spacing w:after="0" w:before="0" w:line="240" w:lineRule="auto"/>
            </w:pPr>
            <w:r>
              <w:rPr>
                <w:sz w:val="12"/>
              </w:rPr>
              <w:t>gtex_v8</w:t>
            </w:r>
          </w:p>
        </w:tc>
        <w:tc>
          <w:tcPr>
            <w:tcW w:type="dxa" w:w="2386"/>
            <w:vAlign w:val="center"/>
            <w:tcMar>
              <w:top w:w="80" w:type="dxa"/>
              <w:bottom w:w="80" w:type="dxa"/>
              <w:start w:w="120" w:type="dxa"/>
              <w:end w:w="120" w:type="dxa"/>
            </w:tcMar>
          </w:tcPr>
          <w:p>
            <w:pPr>
              <w:spacing w:after="0" w:before="0" w:line="240" w:lineRule="auto"/>
            </w:pPr>
            <w:r>
              <w:rPr>
                <w:sz w:val="12"/>
              </w:rPr>
              <w:t>599.7 / 641.0</w:t>
            </w:r>
          </w:p>
        </w:tc>
        <w:tc>
          <w:tcPr>
            <w:tcW w:type="dxa" w:w="2057"/>
            <w:vAlign w:val="center"/>
            <w:tcMar>
              <w:top w:w="80" w:type="dxa"/>
              <w:bottom w:w="80" w:type="dxa"/>
              <w:start w:w="120" w:type="dxa"/>
              <w:end w:w="120" w:type="dxa"/>
            </w:tcMar>
          </w:tcPr>
          <w:p>
            <w:pPr>
              <w:spacing w:after="0" w:before="0" w:line="240" w:lineRule="auto"/>
            </w:pPr>
            <w:r>
              <w:rPr>
                <w:sz w:val="12"/>
              </w:rPr>
              <w:t>428.2 / 428.2</w:t>
            </w:r>
          </w:p>
        </w:tc>
        <w:tc>
          <w:tcPr>
            <w:tcW w:type="dxa" w:w="2386"/>
            <w:vAlign w:val="center"/>
            <w:tcMar>
              <w:top w:w="80" w:type="dxa"/>
              <w:bottom w:w="80" w:type="dxa"/>
              <w:start w:w="120" w:type="dxa"/>
              <w:end w:w="120" w:type="dxa"/>
            </w:tcMar>
          </w:tcPr>
          <w:p>
            <w:pPr>
              <w:spacing w:after="0" w:before="0" w:line="240" w:lineRule="auto"/>
            </w:pPr>
            <w:r>
              <w:rPr>
                <w:sz w:val="12"/>
              </w:rPr>
              <w:t>171.5 / 212.9</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0.24 / fitted/residual response path (n_train x q x A each): 23.44</w:t>
            </w:r>
          </w:p>
        </w:tc>
      </w:tr>
      <w:tr>
        <w:trPr/>
        <w:tc>
          <w:tcPr>
            <w:tcW w:type="dxa" w:w="1728"/>
            <w:vAlign w:val="center"/>
            <w:tcMar>
              <w:top w:w="80" w:type="dxa"/>
              <w:bottom w:w="80" w:type="dxa"/>
              <w:start w:w="120" w:type="dxa"/>
              <w:end w:w="120" w:type="dxa"/>
            </w:tcMar>
          </w:tcPr>
          <w:p>
            <w:pPr>
              <w:spacing w:after="0" w:before="0" w:line="240" w:lineRule="auto"/>
            </w:pPr>
            <w:r>
              <w:rPr>
                <w:sz w:val="12"/>
              </w:rPr>
              <w:t>metref</w:t>
            </w:r>
          </w:p>
        </w:tc>
        <w:tc>
          <w:tcPr>
            <w:tcW w:type="dxa" w:w="2386"/>
            <w:vAlign w:val="center"/>
            <w:tcMar>
              <w:top w:w="80" w:type="dxa"/>
              <w:bottom w:w="80" w:type="dxa"/>
              <w:start w:w="120" w:type="dxa"/>
              <w:end w:w="120" w:type="dxa"/>
            </w:tcMar>
          </w:tcPr>
          <w:p>
            <w:pPr>
              <w:spacing w:after="0" w:before="0" w:line="240" w:lineRule="auto"/>
            </w:pPr>
            <w:r>
              <w:rPr>
                <w:sz w:val="12"/>
              </w:rPr>
              <w:t>478.0 / 484.4</w:t>
            </w:r>
          </w:p>
        </w:tc>
        <w:tc>
          <w:tcPr>
            <w:tcW w:type="dxa" w:w="2057"/>
            <w:vAlign w:val="center"/>
            <w:tcMar>
              <w:top w:w="80" w:type="dxa"/>
              <w:bottom w:w="80" w:type="dxa"/>
              <w:start w:w="120" w:type="dxa"/>
              <w:end w:w="120" w:type="dxa"/>
            </w:tcMar>
          </w:tcPr>
          <w:p>
            <w:pPr>
              <w:spacing w:after="0" w:before="0" w:line="240" w:lineRule="auto"/>
            </w:pPr>
            <w:r>
              <w:rPr>
                <w:sz w:val="12"/>
              </w:rPr>
              <w:t>395.3 / 395.4</w:t>
            </w:r>
          </w:p>
        </w:tc>
        <w:tc>
          <w:tcPr>
            <w:tcW w:type="dxa" w:w="2386"/>
            <w:vAlign w:val="center"/>
            <w:tcMar>
              <w:top w:w="80" w:type="dxa"/>
              <w:bottom w:w="80" w:type="dxa"/>
              <w:start w:w="120" w:type="dxa"/>
              <w:end w:w="120" w:type="dxa"/>
            </w:tcMar>
          </w:tcPr>
          <w:p>
            <w:pPr>
              <w:spacing w:after="0" w:before="0" w:line="240" w:lineRule="auto"/>
            </w:pPr>
            <w:r>
              <w:rPr>
                <w:sz w:val="12"/>
              </w:rPr>
              <w:t>82.7 / 89.0</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0.06 / fitted/residual response path (n_train x q x A each): 2.85</w:t>
            </w:r>
          </w:p>
        </w:tc>
      </w:tr>
      <w:tr>
        <w:trPr/>
        <w:tc>
          <w:tcPr>
            <w:tcW w:type="dxa" w:w="1728"/>
            <w:vAlign w:val="center"/>
            <w:tcMar>
              <w:top w:w="80" w:type="dxa"/>
              <w:bottom w:w="80" w:type="dxa"/>
              <w:start w:w="120" w:type="dxa"/>
              <w:end w:w="120" w:type="dxa"/>
            </w:tcMar>
          </w:tcPr>
          <w:p>
            <w:pPr>
              <w:spacing w:after="0" w:before="0" w:line="240" w:lineRule="auto"/>
            </w:pPr>
            <w:r>
              <w:rPr>
                <w:sz w:val="12"/>
              </w:rPr>
              <w:t>retina</w:t>
            </w:r>
          </w:p>
        </w:tc>
        <w:tc>
          <w:tcPr>
            <w:tcW w:type="dxa" w:w="2386"/>
            <w:vAlign w:val="center"/>
            <w:tcMar>
              <w:top w:w="80" w:type="dxa"/>
              <w:bottom w:w="80" w:type="dxa"/>
              <w:start w:w="120" w:type="dxa"/>
              <w:end w:w="120" w:type="dxa"/>
            </w:tcMar>
          </w:tcPr>
          <w:p>
            <w:pPr>
              <w:spacing w:after="0" w:before="0" w:line="240" w:lineRule="auto"/>
            </w:pPr>
            <w:r>
              <w:rPr>
                <w:sz w:val="12"/>
              </w:rPr>
              <w:t>564.2 / 896.3</w:t>
            </w:r>
          </w:p>
        </w:tc>
        <w:tc>
          <w:tcPr>
            <w:tcW w:type="dxa" w:w="2057"/>
            <w:vAlign w:val="center"/>
            <w:tcMar>
              <w:top w:w="80" w:type="dxa"/>
              <w:bottom w:w="80" w:type="dxa"/>
              <w:start w:w="120" w:type="dxa"/>
              <w:end w:w="120" w:type="dxa"/>
            </w:tcMar>
          </w:tcPr>
          <w:p>
            <w:pPr>
              <w:spacing w:after="0" w:before="0" w:line="240" w:lineRule="auto"/>
            </w:pPr>
            <w:r>
              <w:rPr>
                <w:sz w:val="12"/>
              </w:rPr>
              <w:t>422.5 / 422.5</w:t>
            </w:r>
          </w:p>
        </w:tc>
        <w:tc>
          <w:tcPr>
            <w:tcW w:type="dxa" w:w="2386"/>
            <w:vAlign w:val="center"/>
            <w:tcMar>
              <w:top w:w="80" w:type="dxa"/>
              <w:bottom w:w="80" w:type="dxa"/>
              <w:start w:w="120" w:type="dxa"/>
              <w:end w:w="120" w:type="dxa"/>
            </w:tcMar>
          </w:tcPr>
          <w:p>
            <w:pPr>
              <w:spacing w:after="0" w:before="0" w:line="240" w:lineRule="auto"/>
            </w:pPr>
            <w:r>
              <w:rPr>
                <w:sz w:val="12"/>
              </w:rPr>
              <w:t>141.7 / 473.8</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0.00 / fitted/residual response path (n_train x q x A each): 102.55</w:t>
            </w:r>
          </w:p>
        </w:tc>
      </w:tr>
      <w:tr>
        <w:trPr/>
        <w:tc>
          <w:tcPr>
            <w:tcW w:type="dxa" w:w="1728"/>
            <w:vAlign w:val="center"/>
            <w:tcMar>
              <w:top w:w="80" w:type="dxa"/>
              <w:bottom w:w="80" w:type="dxa"/>
              <w:start w:w="120" w:type="dxa"/>
              <w:end w:w="120" w:type="dxa"/>
            </w:tcMar>
          </w:tcPr>
          <w:p>
            <w:pPr>
              <w:spacing w:after="0" w:before="0" w:line="240" w:lineRule="auto"/>
            </w:pPr>
            <w:r>
              <w:rPr>
                <w:sz w:val="12"/>
              </w:rPr>
              <w:t>tabula</w:t>
            </w:r>
          </w:p>
        </w:tc>
        <w:tc>
          <w:tcPr>
            <w:tcW w:type="dxa" w:w="2386"/>
            <w:vAlign w:val="center"/>
            <w:tcMar>
              <w:top w:w="80" w:type="dxa"/>
              <w:bottom w:w="80" w:type="dxa"/>
              <w:start w:w="120" w:type="dxa"/>
              <w:end w:w="120" w:type="dxa"/>
            </w:tcMar>
          </w:tcPr>
          <w:p>
            <w:pPr>
              <w:spacing w:after="0" w:before="0" w:line="240" w:lineRule="auto"/>
            </w:pPr>
            <w:r>
              <w:rPr>
                <w:sz w:val="12"/>
              </w:rPr>
              <w:t>705.7 / 2697.2</w:t>
            </w:r>
          </w:p>
        </w:tc>
        <w:tc>
          <w:tcPr>
            <w:tcW w:type="dxa" w:w="2057"/>
            <w:vAlign w:val="center"/>
            <w:tcMar>
              <w:top w:w="80" w:type="dxa"/>
              <w:bottom w:w="80" w:type="dxa"/>
              <w:start w:w="120" w:type="dxa"/>
              <w:end w:w="120" w:type="dxa"/>
            </w:tcMar>
          </w:tcPr>
          <w:p>
            <w:pPr>
              <w:spacing w:after="0" w:before="0" w:line="240" w:lineRule="auto"/>
            </w:pPr>
            <w:r>
              <w:rPr>
                <w:sz w:val="12"/>
              </w:rPr>
              <w:t>478.4 / 478.4</w:t>
            </w:r>
          </w:p>
        </w:tc>
        <w:tc>
          <w:tcPr>
            <w:tcW w:type="dxa" w:w="2386"/>
            <w:vAlign w:val="center"/>
            <w:tcMar>
              <w:top w:w="80" w:type="dxa"/>
              <w:bottom w:w="80" w:type="dxa"/>
              <w:start w:w="120" w:type="dxa"/>
              <w:end w:w="120" w:type="dxa"/>
            </w:tcMar>
          </w:tcPr>
          <w:p>
            <w:pPr>
              <w:spacing w:after="0" w:before="0" w:line="240" w:lineRule="auto"/>
            </w:pPr>
            <w:r>
              <w:rPr>
                <w:sz w:val="12"/>
              </w:rPr>
              <w:t>227.3 / 2218.8</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0.01 / fitted/residual response path (n_train x q x A each): 610.88</w:t>
            </w:r>
          </w:p>
        </w:tc>
      </w:tr>
      <w:tr>
        <w:trPr/>
        <w:tc>
          <w:tcPr>
            <w:tcW w:type="dxa" w:w="1728"/>
            <w:vAlign w:val="center"/>
            <w:tcMar>
              <w:top w:w="80" w:type="dxa"/>
              <w:bottom w:w="80" w:type="dxa"/>
              <w:start w:w="120" w:type="dxa"/>
              <w:end w:w="120" w:type="dxa"/>
            </w:tcMar>
          </w:tcPr>
          <w:p>
            <w:pPr>
              <w:spacing w:after="0" w:before="0" w:line="240" w:lineRule="auto"/>
            </w:pPr>
            <w:r>
              <w:rPr>
                <w:sz w:val="12"/>
              </w:rPr>
              <w:t>tcga_brca</w:t>
            </w:r>
          </w:p>
        </w:tc>
        <w:tc>
          <w:tcPr>
            <w:tcW w:type="dxa" w:w="2386"/>
            <w:vAlign w:val="center"/>
            <w:tcMar>
              <w:top w:w="80" w:type="dxa"/>
              <w:bottom w:w="80" w:type="dxa"/>
              <w:start w:w="120" w:type="dxa"/>
              <w:end w:w="120" w:type="dxa"/>
            </w:tcMar>
          </w:tcPr>
          <w:p>
            <w:pPr>
              <w:spacing w:after="0" w:before="0" w:line="240" w:lineRule="auto"/>
            </w:pPr>
            <w:r>
              <w:rPr>
                <w:sz w:val="12"/>
              </w:rPr>
              <w:t>498.6 / 486.9</w:t>
            </w:r>
          </w:p>
        </w:tc>
        <w:tc>
          <w:tcPr>
            <w:tcW w:type="dxa" w:w="2057"/>
            <w:vAlign w:val="center"/>
            <w:tcMar>
              <w:top w:w="80" w:type="dxa"/>
              <w:bottom w:w="80" w:type="dxa"/>
              <w:start w:w="120" w:type="dxa"/>
              <w:end w:w="120" w:type="dxa"/>
            </w:tcMar>
          </w:tcPr>
          <w:p>
            <w:pPr>
              <w:spacing w:after="0" w:before="0" w:line="240" w:lineRule="auto"/>
            </w:pPr>
            <w:r>
              <w:rPr>
                <w:sz w:val="12"/>
              </w:rPr>
              <w:t>399.6 / 399.6</w:t>
            </w:r>
          </w:p>
        </w:tc>
        <w:tc>
          <w:tcPr>
            <w:tcW w:type="dxa" w:w="2386"/>
            <w:vAlign w:val="center"/>
            <w:tcMar>
              <w:top w:w="80" w:type="dxa"/>
              <w:bottom w:w="80" w:type="dxa"/>
              <w:start w:w="120" w:type="dxa"/>
              <w:end w:w="120" w:type="dxa"/>
            </w:tcMar>
          </w:tcPr>
          <w:p>
            <w:pPr>
              <w:spacing w:after="0" w:before="0" w:line="240" w:lineRule="auto"/>
            </w:pPr>
            <w:r>
              <w:rPr>
                <w:sz w:val="12"/>
              </w:rPr>
              <w:t>99.0 / 87.3</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0.04 / fitted/residual response path (n_train x q x A each): 0.14</w:t>
            </w:r>
          </w:p>
        </w:tc>
      </w:tr>
      <w:tr>
        <w:trPr/>
        <w:tc>
          <w:tcPr>
            <w:tcW w:type="dxa" w:w="1728"/>
            <w:vAlign w:val="center"/>
            <w:tcMar>
              <w:top w:w="80" w:type="dxa"/>
              <w:bottom w:w="80" w:type="dxa"/>
              <w:start w:w="120" w:type="dxa"/>
              <w:end w:w="120" w:type="dxa"/>
            </w:tcMar>
          </w:tcPr>
          <w:p>
            <w:pPr>
              <w:spacing w:after="0" w:before="0" w:line="240" w:lineRule="auto"/>
            </w:pPr>
            <w:r>
              <w:rPr>
                <w:sz w:val="12"/>
              </w:rPr>
              <w:t>tcga_hnsc_methylation</w:t>
            </w:r>
          </w:p>
        </w:tc>
        <w:tc>
          <w:tcPr>
            <w:tcW w:type="dxa" w:w="2386"/>
            <w:vAlign w:val="center"/>
            <w:tcMar>
              <w:top w:w="80" w:type="dxa"/>
              <w:bottom w:w="80" w:type="dxa"/>
              <w:start w:w="120" w:type="dxa"/>
              <w:end w:w="120" w:type="dxa"/>
            </w:tcMar>
          </w:tcPr>
          <w:p>
            <w:pPr>
              <w:spacing w:after="0" w:before="0" w:line="240" w:lineRule="auto"/>
            </w:pPr>
            <w:r>
              <w:rPr>
                <w:sz w:val="12"/>
              </w:rPr>
              <w:t>480.9 / 473.7</w:t>
            </w:r>
          </w:p>
        </w:tc>
        <w:tc>
          <w:tcPr>
            <w:tcW w:type="dxa" w:w="2057"/>
            <w:vAlign w:val="center"/>
            <w:tcMar>
              <w:top w:w="80" w:type="dxa"/>
              <w:bottom w:w="80" w:type="dxa"/>
              <w:start w:w="120" w:type="dxa"/>
              <w:end w:w="120" w:type="dxa"/>
            </w:tcMar>
          </w:tcPr>
          <w:p>
            <w:pPr>
              <w:spacing w:after="0" w:before="0" w:line="240" w:lineRule="auto"/>
            </w:pPr>
            <w:r>
              <w:rPr>
                <w:sz w:val="12"/>
              </w:rPr>
              <w:t>396.2 / 396.2</w:t>
            </w:r>
          </w:p>
        </w:tc>
        <w:tc>
          <w:tcPr>
            <w:tcW w:type="dxa" w:w="2386"/>
            <w:vAlign w:val="center"/>
            <w:tcMar>
              <w:top w:w="80" w:type="dxa"/>
              <w:bottom w:w="80" w:type="dxa"/>
              <w:start w:w="120" w:type="dxa"/>
              <w:end w:w="120" w:type="dxa"/>
            </w:tcMar>
          </w:tcPr>
          <w:p>
            <w:pPr>
              <w:spacing w:after="0" w:before="0" w:line="240" w:lineRule="auto"/>
            </w:pPr>
            <w:r>
              <w:rPr>
                <w:sz w:val="12"/>
              </w:rPr>
              <w:t>84.7 / 77.4</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0.01 / fitted/residual response path (n_train x q x A each): 0.02</w:t>
            </w:r>
          </w:p>
        </w:tc>
      </w:tr>
      <w:tr>
        <w:trPr/>
        <w:tc>
          <w:tcPr>
            <w:tcW w:type="dxa" w:w="1728"/>
            <w:vAlign w:val="center"/>
            <w:tcMar>
              <w:top w:w="80" w:type="dxa"/>
              <w:bottom w:w="80" w:type="dxa"/>
              <w:start w:w="120" w:type="dxa"/>
              <w:end w:w="120" w:type="dxa"/>
            </w:tcMar>
          </w:tcPr>
          <w:p>
            <w:pPr>
              <w:spacing w:after="0" w:before="0" w:line="240" w:lineRule="auto"/>
            </w:pPr>
            <w:r>
              <w:rPr>
                <w:sz w:val="12"/>
              </w:rPr>
              <w:t>tcga_pan_cancer</w:t>
            </w:r>
          </w:p>
        </w:tc>
        <w:tc>
          <w:tcPr>
            <w:tcW w:type="dxa" w:w="2386"/>
            <w:vAlign w:val="center"/>
            <w:tcMar>
              <w:top w:w="80" w:type="dxa"/>
              <w:bottom w:w="80" w:type="dxa"/>
              <w:start w:w="120" w:type="dxa"/>
              <w:end w:w="120" w:type="dxa"/>
            </w:tcMar>
          </w:tcPr>
          <w:p>
            <w:pPr>
              <w:spacing w:after="0" w:before="0" w:line="240" w:lineRule="auto"/>
            </w:pPr>
            <w:r>
              <w:rPr>
                <w:sz w:val="12"/>
              </w:rPr>
              <w:t>586.1 / 687.1</w:t>
            </w:r>
          </w:p>
        </w:tc>
        <w:tc>
          <w:tcPr>
            <w:tcW w:type="dxa" w:w="2057"/>
            <w:vAlign w:val="center"/>
            <w:tcMar>
              <w:top w:w="80" w:type="dxa"/>
              <w:bottom w:w="80" w:type="dxa"/>
              <w:start w:w="120" w:type="dxa"/>
              <w:end w:w="120" w:type="dxa"/>
            </w:tcMar>
          </w:tcPr>
          <w:p>
            <w:pPr>
              <w:spacing w:after="0" w:before="0" w:line="240" w:lineRule="auto"/>
            </w:pPr>
            <w:r>
              <w:rPr>
                <w:sz w:val="12"/>
              </w:rPr>
              <w:t>425.3 / 425.3</w:t>
            </w:r>
          </w:p>
        </w:tc>
        <w:tc>
          <w:tcPr>
            <w:tcW w:type="dxa" w:w="2386"/>
            <w:vAlign w:val="center"/>
            <w:tcMar>
              <w:top w:w="80" w:type="dxa"/>
              <w:bottom w:w="80" w:type="dxa"/>
              <w:start w:w="120" w:type="dxa"/>
              <w:end w:w="120" w:type="dxa"/>
            </w:tcMar>
          </w:tcPr>
          <w:p>
            <w:pPr>
              <w:spacing w:after="0" w:before="0" w:line="240" w:lineRule="auto"/>
            </w:pPr>
            <w:r>
              <w:rPr>
                <w:sz w:val="12"/>
              </w:rPr>
              <w:t>160.7 / 261.9</w:t>
            </w:r>
          </w:p>
        </w:tc>
        <w:tc>
          <w:tcPr>
            <w:tcW w:type="dxa" w:w="2387"/>
            <w:vAlign w:val="center"/>
            <w:tcMar>
              <w:top w:w="80" w:type="dxa"/>
              <w:bottom w:w="80" w:type="dxa"/>
              <w:start w:w="120" w:type="dxa"/>
              <w:end w:w="120" w:type="dxa"/>
            </w:tcMar>
          </w:tcPr>
          <w:p>
            <w:pPr>
              <w:spacing w:after="0" w:before="0" w:line="240" w:lineRule="auto"/>
            </w:pPr>
            <w:r>
              <w:rPr>
                <w:sz w:val="12"/>
              </w:rPr>
              <w:t>final coefficient matrix (p x q): 0.21 / fitted/residual response path (n_train x q x A each): 36.62</w:t>
            </w:r>
          </w:p>
        </w:tc>
      </w:tr>
    </w:tbl>
    <w:p>
      <w:pPr>
        <w:keepNext/>
        <w:jc w:val="center"/>
      </w:pPr>
      <w:r>
        <w:drawing>
          <wp:inline>
            <wp:extent cx="6537960" cy="7355205"/>
            <wp:docPr id="7" name="Picture 7"/>
            <wp:cNvGraphicFramePr>
              <a:graphicFrameLocks noChangeAspect="1"/>
            </wp:cNvGraphicFramePr>
            <a:graphic>
              <a:graphicData uri="http://schemas.openxmlformats.org/drawingml/2006/picture">
                <pic:pic>
                  <pic:nvPicPr>
                    <pic:cNvPr id="0" name="Figure_2_frozen_external_simpls.png"/>
                    <pic:cNvPicPr/>
                  </pic:nvPicPr>
                  <pic:blipFill>
                    <a:blip r:embed="rId14"/>
                    <a:stretch>
                      <a:fillRect/>
                    </a:stretch>
                  </pic:blipFill>
                  <pic:spPr>
                    <a:xfrm>
                      <a:off x="0" y="0"/>
                      <a:ext cx="6537960" cy="7355205"/>
                    </a:xfrm>
                    <a:prstGeom prst="rect"/>
                  </pic:spPr>
                </pic:pic>
              </a:graphicData>
            </a:graphic>
          </wp:inline>
        </w:drawing>
      </w:r>
    </w:p>
    <w:p>
      <w:pPr>
        <w:pStyle w:val="Caption"/>
        <w:keepNext w:val="0"/>
      </w:pPr>
      <w:r>
        <w:t>Figure S3. Repeated deterministic float64 single-CPU SIMPLS public workflows with fastPLS 0.99.25 and pls 2.9.0. Panels show median total fitting-plus-prediction time, baseline-corrected complete-process peak RSS, and held-out argmax accuracy. Error bars are IQRs from three fresh processes per method-dataset pair. Splits and component counts were identical, and accuracy was identical for every pair. Full values and the separate minimum-output comparison are reported in Tables S10a-S10d.</w:t>
      </w:r>
    </w:p>
    <w:p>
      <w:pPr>
        <w:pStyle w:val="Caption"/>
        <w:pageBreakBefore/>
      </w:pPr>
      <w:r>
        <w:t>Table S10e. Broad external-package workflow comparison. Cells report accuracy; total fitting-plus-prediction time; and absolute peak process RSS. Implementations retain package-specific outputs, and unsupported runs, timeouts, and errors remain explicit.</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824"/>
        <w:gridCol w:w="1824"/>
        <w:gridCol w:w="1824"/>
        <w:gridCol w:w="1824"/>
        <w:gridCol w:w="1824"/>
        <w:gridCol w:w="1824"/>
      </w:tblGrid>
      <w:tr>
        <w:trPr>
          <w:tblHeader w:val="true"/>
          <w:cantSplit/>
        </w:trPr>
        <w:tc>
          <w:tcPr>
            <w:tcW w:type="dxa" w:w="1824"/>
            <w:vAlign w:val="center"/>
          </w:tcPr>
          <w:p>
            <w:pPr>
              <w:spacing w:before="0" w:after="0" w:line="240" w:lineRule="auto"/>
              <w:jc w:val="left"/>
            </w:pPr>
            <w:r>
              <w:rPr>
                <w:b/>
                <w:sz w:val="11"/>
              </w:rPr>
              <w:t>Dataset</w:t>
            </w:r>
          </w:p>
        </w:tc>
        <w:tc>
          <w:tcPr>
            <w:tcW w:type="dxa" w:w="1824"/>
            <w:vAlign w:val="center"/>
          </w:tcPr>
          <w:p>
            <w:pPr>
              <w:spacing w:before="0" w:after="0" w:line="240" w:lineRule="auto"/>
              <w:jc w:val="center"/>
            </w:pPr>
            <w:r>
              <w:rPr>
                <w:b/>
                <w:sz w:val="11"/>
              </w:rPr>
              <w:t>A</w:t>
            </w:r>
          </w:p>
        </w:tc>
        <w:tc>
          <w:tcPr>
            <w:tcW w:type="dxa" w:w="1824"/>
            <w:vAlign w:val="center"/>
          </w:tcPr>
          <w:p>
            <w:pPr>
              <w:spacing w:before="0" w:after="0" w:line="240" w:lineRule="auto"/>
              <w:jc w:val="center"/>
            </w:pPr>
            <w:r>
              <w:rPr>
                <w:b/>
                <w:sz w:val="11"/>
              </w:rPr>
              <w:t>fastPLS argmax</w:t>
            </w:r>
          </w:p>
        </w:tc>
        <w:tc>
          <w:tcPr>
            <w:tcW w:type="dxa" w:w="1824"/>
            <w:vAlign w:val="center"/>
          </w:tcPr>
          <w:p>
            <w:pPr>
              <w:spacing w:before="0" w:after="0" w:line="240" w:lineRule="auto"/>
              <w:jc w:val="center"/>
            </w:pPr>
            <w:r>
              <w:rPr>
                <w:b/>
                <w:sz w:val="11"/>
              </w:rPr>
              <w:t>fastPLS LDA</w:t>
            </w:r>
          </w:p>
        </w:tc>
        <w:tc>
          <w:tcPr>
            <w:tcW w:type="dxa" w:w="1824"/>
            <w:vAlign w:val="center"/>
          </w:tcPr>
          <w:p>
            <w:pPr>
              <w:spacing w:before="0" w:after="0" w:line="240" w:lineRule="auto"/>
              <w:jc w:val="center"/>
            </w:pPr>
            <w:r>
              <w:rPr>
                <w:b/>
                <w:sz w:val="11"/>
              </w:rPr>
              <w:t>Fastest external</w:t>
            </w:r>
          </w:p>
        </w:tc>
        <w:tc>
          <w:tcPr>
            <w:tcW w:type="dxa" w:w="1824"/>
            <w:vAlign w:val="center"/>
          </w:tcPr>
          <w:p>
            <w:pPr>
              <w:spacing w:before="0" w:after="0" w:line="240" w:lineRule="auto"/>
              <w:jc w:val="center"/>
            </w:pPr>
            <w:r>
              <w:rPr>
                <w:b/>
                <w:sz w:val="11"/>
              </w:rPr>
              <w:t>Best-accuracy external</w:t>
            </w:r>
          </w:p>
        </w:tc>
      </w:tr>
      <w:tr>
        <w:trPr>
          <w:cantSplit/>
        </w:trPr>
        <w:tc>
          <w:tcPr>
            <w:tcW w:type="dxa" w:w="1824"/>
            <w:vAlign w:val="center"/>
          </w:tcPr>
          <w:p>
            <w:pPr>
              <w:spacing w:before="0" w:after="0" w:line="240" w:lineRule="auto"/>
              <w:jc w:val="left"/>
            </w:pPr>
            <w:r>
              <w:rPr>
                <w:b w:val="0"/>
                <w:sz w:val="11"/>
              </w:rPr>
              <w:t>CCLE</w:t>
            </w:r>
          </w:p>
        </w:tc>
        <w:tc>
          <w:tcPr>
            <w:tcW w:type="dxa" w:w="1824"/>
            <w:vAlign w:val="center"/>
          </w:tcPr>
          <w:p>
            <w:pPr>
              <w:spacing w:before="0" w:after="0" w:line="240" w:lineRule="auto"/>
              <w:jc w:val="center"/>
            </w:pPr>
            <w:r>
              <w:rPr>
                <w:b w:val="0"/>
                <w:sz w:val="11"/>
              </w:rPr>
              <w:t>50</w:t>
            </w:r>
          </w:p>
        </w:tc>
        <w:tc>
          <w:tcPr>
            <w:tcW w:type="dxa" w:w="1824"/>
            <w:vAlign w:val="center"/>
          </w:tcPr>
          <w:p>
            <w:pPr>
              <w:spacing w:before="0" w:after="0" w:line="240" w:lineRule="auto"/>
              <w:jc w:val="center"/>
            </w:pPr>
            <w:r>
              <w:rPr>
                <w:b w:val="0"/>
                <w:sz w:val="11"/>
              </w:rPr>
              <w:t>0.7324; 0.077s; 469MB</w:t>
            </w:r>
          </w:p>
        </w:tc>
        <w:tc>
          <w:tcPr>
            <w:tcW w:type="dxa" w:w="1824"/>
            <w:vAlign w:val="center"/>
          </w:tcPr>
          <w:p>
            <w:pPr>
              <w:spacing w:before="0" w:after="0" w:line="240" w:lineRule="auto"/>
              <w:jc w:val="center"/>
            </w:pPr>
            <w:r>
              <w:rPr>
                <w:b w:val="0"/>
                <w:sz w:val="11"/>
              </w:rPr>
              <w:t>0.7746; 0.091s; 470MB</w:t>
            </w:r>
          </w:p>
        </w:tc>
        <w:tc>
          <w:tcPr>
            <w:tcW w:type="dxa" w:w="1824"/>
            <w:vAlign w:val="center"/>
          </w:tcPr>
          <w:p>
            <w:pPr>
              <w:spacing w:before="0" w:after="0" w:line="240" w:lineRule="auto"/>
              <w:jc w:val="center"/>
            </w:pPr>
            <w:r>
              <w:rPr>
                <w:b w:val="0"/>
                <w:sz w:val="11"/>
              </w:rPr>
              <w:t>pls/SIMPLS: 0.7324; 0.109s; 135MB</w:t>
            </w:r>
          </w:p>
        </w:tc>
        <w:tc>
          <w:tcPr>
            <w:tcW w:type="dxa" w:w="1824"/>
            <w:vAlign w:val="center"/>
          </w:tcPr>
          <w:p>
            <w:pPr>
              <w:spacing w:before="0" w:after="0" w:line="240" w:lineRule="auto"/>
              <w:jc w:val="center"/>
            </w:pPr>
            <w:r>
              <w:rPr>
                <w:b w:val="0"/>
                <w:sz w:val="11"/>
              </w:rPr>
              <w:t>plsgenomics/PLS-LDA: 0.7746; 0.114s; 172MB</w:t>
            </w:r>
          </w:p>
        </w:tc>
      </w:tr>
      <w:tr>
        <w:trPr>
          <w:cantSplit/>
        </w:trPr>
        <w:tc>
          <w:tcPr>
            <w:tcW w:type="dxa" w:w="1824"/>
            <w:vAlign w:val="center"/>
          </w:tcPr>
          <w:p>
            <w:pPr>
              <w:spacing w:before="0" w:after="0" w:line="240" w:lineRule="auto"/>
              <w:jc w:val="left"/>
            </w:pPr>
            <w:r>
              <w:rPr>
                <w:b w:val="0"/>
                <w:sz w:val="11"/>
              </w:rPr>
              <w:t>GTEx v8</w:t>
            </w:r>
          </w:p>
        </w:tc>
        <w:tc>
          <w:tcPr>
            <w:tcW w:type="dxa" w:w="1824"/>
            <w:vAlign w:val="center"/>
          </w:tcPr>
          <w:p>
            <w:pPr>
              <w:spacing w:before="0" w:after="0" w:line="240" w:lineRule="auto"/>
              <w:jc w:val="center"/>
            </w:pPr>
            <w:r>
              <w:rPr>
                <w:b w:val="0"/>
                <w:sz w:val="11"/>
              </w:rPr>
              <w:t>32</w:t>
            </w:r>
          </w:p>
        </w:tc>
        <w:tc>
          <w:tcPr>
            <w:tcW w:type="dxa" w:w="1824"/>
            <w:vAlign w:val="center"/>
          </w:tcPr>
          <w:p>
            <w:pPr>
              <w:spacing w:before="0" w:after="0" w:line="240" w:lineRule="auto"/>
              <w:jc w:val="center"/>
            </w:pPr>
            <w:r>
              <w:rPr>
                <w:b w:val="0"/>
                <w:sz w:val="11"/>
              </w:rPr>
              <w:t>0.9310; 0.234s; 509MB</w:t>
            </w:r>
          </w:p>
        </w:tc>
        <w:tc>
          <w:tcPr>
            <w:tcW w:type="dxa" w:w="1824"/>
            <w:vAlign w:val="center"/>
          </w:tcPr>
          <w:p>
            <w:pPr>
              <w:spacing w:before="0" w:after="0" w:line="240" w:lineRule="auto"/>
              <w:jc w:val="center"/>
            </w:pPr>
            <w:r>
              <w:rPr>
                <w:b w:val="0"/>
                <w:sz w:val="11"/>
              </w:rPr>
              <w:t>0.9611; 0.274s; 498MB</w:t>
            </w:r>
          </w:p>
        </w:tc>
        <w:tc>
          <w:tcPr>
            <w:tcW w:type="dxa" w:w="1824"/>
            <w:vAlign w:val="center"/>
          </w:tcPr>
          <w:p>
            <w:pPr>
              <w:spacing w:before="0" w:after="0" w:line="240" w:lineRule="auto"/>
              <w:jc w:val="center"/>
            </w:pPr>
            <w:r>
              <w:rPr>
                <w:b w:val="0"/>
                <w:sz w:val="11"/>
              </w:rPr>
              <w:t>plsgenomics/PLS-LDA: 0.9611; 0.360s; 203MB</w:t>
            </w:r>
          </w:p>
        </w:tc>
        <w:tc>
          <w:tcPr>
            <w:tcW w:type="dxa" w:w="1824"/>
            <w:vAlign w:val="center"/>
          </w:tcPr>
          <w:p>
            <w:pPr>
              <w:spacing w:before="0" w:after="0" w:line="240" w:lineRule="auto"/>
              <w:jc w:val="center"/>
            </w:pPr>
            <w:r>
              <w:rPr>
                <w:b w:val="0"/>
                <w:sz w:val="11"/>
              </w:rPr>
              <w:t>plsgenomics/PLS-LDA: 0.9611; 0.360s; 203MB</w:t>
            </w:r>
          </w:p>
        </w:tc>
      </w:tr>
      <w:tr>
        <w:trPr>
          <w:cantSplit/>
        </w:trPr>
        <w:tc>
          <w:tcPr>
            <w:tcW w:type="dxa" w:w="1824"/>
            <w:vAlign w:val="center"/>
          </w:tcPr>
          <w:p>
            <w:pPr>
              <w:spacing w:before="0" w:after="0" w:line="240" w:lineRule="auto"/>
              <w:jc w:val="left"/>
            </w:pPr>
            <w:r>
              <w:rPr>
                <w:b w:val="0"/>
                <w:sz w:val="11"/>
              </w:rPr>
              <w:t>MetRef</w:t>
            </w:r>
          </w:p>
        </w:tc>
        <w:tc>
          <w:tcPr>
            <w:tcW w:type="dxa" w:w="1824"/>
            <w:vAlign w:val="center"/>
          </w:tcPr>
          <w:p>
            <w:pPr>
              <w:spacing w:before="0" w:after="0" w:line="240" w:lineRule="auto"/>
              <w:jc w:val="center"/>
            </w:pPr>
            <w:r>
              <w:rPr>
                <w:b w:val="0"/>
                <w:sz w:val="11"/>
              </w:rPr>
              <w:t>22</w:t>
            </w:r>
          </w:p>
        </w:tc>
        <w:tc>
          <w:tcPr>
            <w:tcW w:type="dxa" w:w="1824"/>
            <w:vAlign w:val="center"/>
          </w:tcPr>
          <w:p>
            <w:pPr>
              <w:spacing w:before="0" w:after="0" w:line="240" w:lineRule="auto"/>
              <w:jc w:val="center"/>
            </w:pPr>
            <w:r>
              <w:rPr>
                <w:b w:val="0"/>
                <w:sz w:val="11"/>
              </w:rPr>
              <w:t>0.7700; 0.034s; 470MB</w:t>
            </w:r>
          </w:p>
        </w:tc>
        <w:tc>
          <w:tcPr>
            <w:tcW w:type="dxa" w:w="1824"/>
            <w:vAlign w:val="center"/>
          </w:tcPr>
          <w:p>
            <w:pPr>
              <w:spacing w:before="0" w:after="0" w:line="240" w:lineRule="auto"/>
              <w:jc w:val="center"/>
            </w:pPr>
            <w:r>
              <w:rPr>
                <w:b w:val="0"/>
                <w:sz w:val="11"/>
              </w:rPr>
              <w:t>0.8800; 0.037s; 470MB</w:t>
            </w:r>
          </w:p>
        </w:tc>
        <w:tc>
          <w:tcPr>
            <w:tcW w:type="dxa" w:w="1824"/>
            <w:vAlign w:val="center"/>
          </w:tcPr>
          <w:p>
            <w:pPr>
              <w:spacing w:before="0" w:after="0" w:line="240" w:lineRule="auto"/>
              <w:jc w:val="center"/>
            </w:pPr>
            <w:r>
              <w:rPr>
                <w:b w:val="0"/>
                <w:sz w:val="11"/>
              </w:rPr>
              <w:t>pls/SIMPLS: 0.7700; 0.037s; 125MB</w:t>
            </w:r>
          </w:p>
        </w:tc>
        <w:tc>
          <w:tcPr>
            <w:tcW w:type="dxa" w:w="1824"/>
            <w:vAlign w:val="center"/>
          </w:tcPr>
          <w:p>
            <w:pPr>
              <w:spacing w:before="0" w:after="0" w:line="240" w:lineRule="auto"/>
              <w:jc w:val="center"/>
            </w:pPr>
            <w:r>
              <w:rPr>
                <w:b w:val="0"/>
                <w:sz w:val="11"/>
              </w:rPr>
              <w:t>plsgenomics/PLS-LDA: 0.8800; 0.038s; 146MB</w:t>
            </w:r>
          </w:p>
        </w:tc>
      </w:tr>
      <w:tr>
        <w:trPr>
          <w:cantSplit/>
        </w:trPr>
        <w:tc>
          <w:tcPr>
            <w:tcW w:type="dxa" w:w="1824"/>
            <w:vAlign w:val="center"/>
          </w:tcPr>
          <w:p>
            <w:pPr>
              <w:spacing w:before="0" w:after="0" w:line="240" w:lineRule="auto"/>
              <w:jc w:val="left"/>
            </w:pPr>
            <w:r>
              <w:rPr>
                <w:b w:val="0"/>
                <w:sz w:val="11"/>
              </w:rPr>
              <w:t>Retina</w:t>
            </w:r>
          </w:p>
        </w:tc>
        <w:tc>
          <w:tcPr>
            <w:tcW w:type="dxa" w:w="1824"/>
            <w:vAlign w:val="center"/>
          </w:tcPr>
          <w:p>
            <w:pPr>
              <w:spacing w:before="0" w:after="0" w:line="240" w:lineRule="auto"/>
              <w:jc w:val="center"/>
            </w:pPr>
            <w:r>
              <w:rPr>
                <w:b w:val="0"/>
                <w:sz w:val="11"/>
              </w:rPr>
              <w:t>50</w:t>
            </w:r>
          </w:p>
        </w:tc>
        <w:tc>
          <w:tcPr>
            <w:tcW w:type="dxa" w:w="1824"/>
            <w:vAlign w:val="center"/>
          </w:tcPr>
          <w:p>
            <w:pPr>
              <w:spacing w:before="0" w:after="0" w:line="240" w:lineRule="auto"/>
              <w:jc w:val="center"/>
            </w:pPr>
            <w:r>
              <w:rPr>
                <w:b w:val="0"/>
                <w:sz w:val="11"/>
              </w:rPr>
              <w:t>0.9678; 0.084s; 530MB</w:t>
            </w:r>
          </w:p>
        </w:tc>
        <w:tc>
          <w:tcPr>
            <w:tcW w:type="dxa" w:w="1824"/>
            <w:vAlign w:val="center"/>
          </w:tcPr>
          <w:p>
            <w:pPr>
              <w:spacing w:before="0" w:after="0" w:line="240" w:lineRule="auto"/>
              <w:jc w:val="center"/>
            </w:pPr>
            <w:r>
              <w:rPr>
                <w:b w:val="0"/>
                <w:sz w:val="11"/>
              </w:rPr>
              <w:t>0.9691; 0.118s; 517MB</w:t>
            </w:r>
          </w:p>
        </w:tc>
        <w:tc>
          <w:tcPr>
            <w:tcW w:type="dxa" w:w="1824"/>
            <w:vAlign w:val="center"/>
          </w:tcPr>
          <w:p>
            <w:pPr>
              <w:spacing w:before="0" w:after="0" w:line="240" w:lineRule="auto"/>
              <w:jc w:val="center"/>
            </w:pPr>
            <w:r>
              <w:rPr>
                <w:b w:val="0"/>
                <w:sz w:val="11"/>
              </w:rPr>
              <w:t>chemometrics/PLS eigen: 0.9344; 0.136s; 163MB</w:t>
            </w:r>
          </w:p>
        </w:tc>
        <w:tc>
          <w:tcPr>
            <w:tcW w:type="dxa" w:w="1824"/>
            <w:vAlign w:val="center"/>
          </w:tcPr>
          <w:p>
            <w:pPr>
              <w:spacing w:before="0" w:after="0" w:line="240" w:lineRule="auto"/>
              <w:jc w:val="center"/>
            </w:pPr>
            <w:r>
              <w:rPr>
                <w:b w:val="0"/>
                <w:sz w:val="11"/>
              </w:rPr>
              <w:t>plsgenomics/PLS-LDA: 0.9691; 0.760s; 289MB</w:t>
            </w:r>
          </w:p>
        </w:tc>
      </w:tr>
      <w:tr>
        <w:trPr>
          <w:cantSplit/>
        </w:trPr>
        <w:tc>
          <w:tcPr>
            <w:tcW w:type="dxa" w:w="1824"/>
            <w:vAlign w:val="center"/>
          </w:tcPr>
          <w:p>
            <w:pPr>
              <w:spacing w:before="0" w:after="0" w:line="240" w:lineRule="auto"/>
              <w:jc w:val="left"/>
            </w:pPr>
            <w:r>
              <w:rPr>
                <w:b w:val="0"/>
                <w:sz w:val="11"/>
              </w:rPr>
              <w:t>Tabula Muris</w:t>
            </w:r>
          </w:p>
        </w:tc>
        <w:tc>
          <w:tcPr>
            <w:tcW w:type="dxa" w:w="1824"/>
            <w:vAlign w:val="center"/>
          </w:tcPr>
          <w:p>
            <w:pPr>
              <w:spacing w:before="0" w:after="0" w:line="240" w:lineRule="auto"/>
              <w:jc w:val="center"/>
            </w:pPr>
            <w:r>
              <w:rPr>
                <w:b w:val="0"/>
                <w:sz w:val="11"/>
              </w:rPr>
              <w:t>50</w:t>
            </w:r>
          </w:p>
        </w:tc>
        <w:tc>
          <w:tcPr>
            <w:tcW w:type="dxa" w:w="1824"/>
            <w:vAlign w:val="center"/>
          </w:tcPr>
          <w:p>
            <w:pPr>
              <w:spacing w:before="0" w:after="0" w:line="240" w:lineRule="auto"/>
              <w:jc w:val="center"/>
            </w:pPr>
            <w:r>
              <w:rPr>
                <w:b w:val="0"/>
                <w:sz w:val="11"/>
              </w:rPr>
              <w:t>0.8006; 0.346s; 682MB</w:t>
            </w:r>
          </w:p>
        </w:tc>
        <w:tc>
          <w:tcPr>
            <w:tcW w:type="dxa" w:w="1824"/>
            <w:vAlign w:val="center"/>
          </w:tcPr>
          <w:p>
            <w:pPr>
              <w:spacing w:before="0" w:after="0" w:line="240" w:lineRule="auto"/>
              <w:jc w:val="center"/>
            </w:pPr>
            <w:r>
              <w:rPr>
                <w:b w:val="0"/>
                <w:sz w:val="11"/>
              </w:rPr>
              <w:t>0.8752; 0.309s; 596MB</w:t>
            </w:r>
          </w:p>
        </w:tc>
        <w:tc>
          <w:tcPr>
            <w:tcW w:type="dxa" w:w="1824"/>
            <w:vAlign w:val="center"/>
          </w:tcPr>
          <w:p>
            <w:pPr>
              <w:spacing w:before="0" w:after="0" w:line="240" w:lineRule="auto"/>
              <w:jc w:val="center"/>
            </w:pPr>
            <w:r>
              <w:rPr>
                <w:b w:val="0"/>
                <w:sz w:val="11"/>
              </w:rPr>
              <w:t>chemometrics/PLS eigen: 0.7833; 0.605s; 314MB</w:t>
            </w:r>
          </w:p>
        </w:tc>
        <w:tc>
          <w:tcPr>
            <w:tcW w:type="dxa" w:w="1824"/>
            <w:vAlign w:val="center"/>
          </w:tcPr>
          <w:p>
            <w:pPr>
              <w:spacing w:before="0" w:after="0" w:line="240" w:lineRule="auto"/>
              <w:jc w:val="center"/>
            </w:pPr>
            <w:r>
              <w:rPr>
                <w:b w:val="0"/>
                <w:sz w:val="11"/>
              </w:rPr>
              <w:t>plsgenomics/PLS-LDA: 0.8752; 2.092s; 492MB</w:t>
            </w:r>
          </w:p>
        </w:tc>
      </w:tr>
      <w:tr>
        <w:trPr>
          <w:cantSplit/>
        </w:trPr>
        <w:tc>
          <w:tcPr>
            <w:tcW w:type="dxa" w:w="1824"/>
            <w:vAlign w:val="center"/>
          </w:tcPr>
          <w:p>
            <w:pPr>
              <w:spacing w:before="0" w:after="0" w:line="240" w:lineRule="auto"/>
              <w:jc w:val="left"/>
            </w:pPr>
            <w:r>
              <w:rPr>
                <w:b w:val="0"/>
                <w:sz w:val="11"/>
              </w:rPr>
              <w:t>TCGA- BRCA</w:t>
            </w:r>
          </w:p>
        </w:tc>
        <w:tc>
          <w:tcPr>
            <w:tcW w:type="dxa" w:w="1824"/>
            <w:vAlign w:val="center"/>
          </w:tcPr>
          <w:p>
            <w:pPr>
              <w:spacing w:before="0" w:after="0" w:line="240" w:lineRule="auto"/>
              <w:jc w:val="center"/>
            </w:pPr>
            <w:r>
              <w:rPr>
                <w:b w:val="0"/>
                <w:sz w:val="11"/>
              </w:rPr>
              <w:t>5</w:t>
            </w:r>
          </w:p>
        </w:tc>
        <w:tc>
          <w:tcPr>
            <w:tcW w:type="dxa" w:w="1824"/>
            <w:vAlign w:val="center"/>
          </w:tcPr>
          <w:p>
            <w:pPr>
              <w:spacing w:before="0" w:after="0" w:line="240" w:lineRule="auto"/>
              <w:jc w:val="center"/>
            </w:pPr>
            <w:r>
              <w:rPr>
                <w:b w:val="0"/>
                <w:sz w:val="11"/>
              </w:rPr>
              <w:t>0.8523; 0.030s; 471MB</w:t>
            </w:r>
          </w:p>
        </w:tc>
        <w:tc>
          <w:tcPr>
            <w:tcW w:type="dxa" w:w="1824"/>
            <w:vAlign w:val="center"/>
          </w:tcPr>
          <w:p>
            <w:pPr>
              <w:spacing w:before="0" w:after="0" w:line="240" w:lineRule="auto"/>
              <w:jc w:val="center"/>
            </w:pPr>
            <w:r>
              <w:rPr>
                <w:b w:val="0"/>
                <w:sz w:val="11"/>
              </w:rPr>
              <w:t>0.8750; 0.032s; 470MB</w:t>
            </w:r>
          </w:p>
        </w:tc>
        <w:tc>
          <w:tcPr>
            <w:tcW w:type="dxa" w:w="1824"/>
            <w:vAlign w:val="center"/>
          </w:tcPr>
          <w:p>
            <w:pPr>
              <w:spacing w:before="0" w:after="0" w:line="240" w:lineRule="auto"/>
              <w:jc w:val="center"/>
            </w:pPr>
            <w:r>
              <w:rPr>
                <w:b w:val="0"/>
                <w:sz w:val="11"/>
              </w:rPr>
              <w:t>plsgenomics/PLS-LDA: 0.8750; 0.021s; 145MB</w:t>
            </w:r>
          </w:p>
        </w:tc>
        <w:tc>
          <w:tcPr>
            <w:tcW w:type="dxa" w:w="1824"/>
            <w:vAlign w:val="center"/>
          </w:tcPr>
          <w:p>
            <w:pPr>
              <w:spacing w:before="0" w:after="0" w:line="240" w:lineRule="auto"/>
              <w:jc w:val="center"/>
            </w:pPr>
            <w:r>
              <w:rPr>
                <w:b w:val="0"/>
                <w:sz w:val="11"/>
              </w:rPr>
              <w:t>chemometrics/PLS eigen: 0.8864; 1.036s; 180MB</w:t>
            </w:r>
          </w:p>
        </w:tc>
      </w:tr>
      <w:tr>
        <w:trPr>
          <w:cantSplit/>
        </w:trPr>
        <w:tc>
          <w:tcPr>
            <w:tcW w:type="dxa" w:w="1824"/>
            <w:vAlign w:val="center"/>
          </w:tcPr>
          <w:p>
            <w:pPr>
              <w:spacing w:before="0" w:after="0" w:line="240" w:lineRule="auto"/>
              <w:jc w:val="left"/>
            </w:pPr>
            <w:r>
              <w:rPr>
                <w:b w:val="0"/>
                <w:sz w:val="11"/>
              </w:rPr>
              <w:t>TCGA-HNSC methyl.</w:t>
            </w:r>
          </w:p>
        </w:tc>
        <w:tc>
          <w:tcPr>
            <w:tcW w:type="dxa" w:w="1824"/>
            <w:vAlign w:val="center"/>
          </w:tcPr>
          <w:p>
            <w:pPr>
              <w:spacing w:before="0" w:after="0" w:line="240" w:lineRule="auto"/>
              <w:jc w:val="center"/>
            </w:pPr>
            <w:r>
              <w:rPr>
                <w:b w:val="0"/>
                <w:sz w:val="11"/>
              </w:rPr>
              <w:t>2</w:t>
            </w:r>
          </w:p>
        </w:tc>
        <w:tc>
          <w:tcPr>
            <w:tcW w:type="dxa" w:w="1824"/>
            <w:vAlign w:val="center"/>
          </w:tcPr>
          <w:p>
            <w:pPr>
              <w:spacing w:before="0" w:after="0" w:line="240" w:lineRule="auto"/>
              <w:jc w:val="center"/>
            </w:pPr>
            <w:r>
              <w:rPr>
                <w:b w:val="0"/>
                <w:sz w:val="11"/>
              </w:rPr>
              <w:t>1.0000; 0.023s; 467MB</w:t>
            </w:r>
          </w:p>
        </w:tc>
        <w:tc>
          <w:tcPr>
            <w:tcW w:type="dxa" w:w="1824"/>
            <w:vAlign w:val="center"/>
          </w:tcPr>
          <w:p>
            <w:pPr>
              <w:spacing w:before="0" w:after="0" w:line="240" w:lineRule="auto"/>
              <w:jc w:val="center"/>
            </w:pPr>
            <w:r>
              <w:rPr>
                <w:b w:val="0"/>
                <w:sz w:val="11"/>
              </w:rPr>
              <w:t>0.9828; 0.023s; 467MB</w:t>
            </w:r>
          </w:p>
        </w:tc>
        <w:tc>
          <w:tcPr>
            <w:tcW w:type="dxa" w:w="1824"/>
            <w:vAlign w:val="center"/>
          </w:tcPr>
          <w:p>
            <w:pPr>
              <w:spacing w:before="0" w:after="0" w:line="240" w:lineRule="auto"/>
              <w:jc w:val="center"/>
            </w:pPr>
            <w:r>
              <w:rPr>
                <w:b w:val="0"/>
                <w:sz w:val="11"/>
              </w:rPr>
              <w:t>plsgenomics/PLS-LDA: 0.9828; 0.010s; 133MB</w:t>
            </w:r>
          </w:p>
        </w:tc>
        <w:tc>
          <w:tcPr>
            <w:tcW w:type="dxa" w:w="1824"/>
            <w:vAlign w:val="center"/>
          </w:tcPr>
          <w:p>
            <w:pPr>
              <w:spacing w:before="0" w:after="0" w:line="240" w:lineRule="auto"/>
              <w:jc w:val="center"/>
            </w:pPr>
            <w:r>
              <w:rPr>
                <w:b w:val="0"/>
                <w:sz w:val="11"/>
              </w:rPr>
              <w:t>pls/SIMPLS: 1.0000; 0.013s; 107MB</w:t>
            </w:r>
          </w:p>
        </w:tc>
      </w:tr>
      <w:tr>
        <w:trPr>
          <w:cantSplit/>
        </w:trPr>
        <w:tc>
          <w:tcPr>
            <w:tcW w:type="dxa" w:w="1824"/>
            <w:vAlign w:val="center"/>
          </w:tcPr>
          <w:p>
            <w:pPr>
              <w:spacing w:before="0" w:after="0" w:line="240" w:lineRule="auto"/>
              <w:jc w:val="left"/>
            </w:pPr>
            <w:r>
              <w:rPr>
                <w:b w:val="0"/>
                <w:sz w:val="11"/>
              </w:rPr>
              <w:t>TCGA Pan- Cancer</w:t>
            </w:r>
          </w:p>
        </w:tc>
        <w:tc>
          <w:tcPr>
            <w:tcW w:type="dxa" w:w="1824"/>
            <w:vAlign w:val="center"/>
          </w:tcPr>
          <w:p>
            <w:pPr>
              <w:spacing w:before="0" w:after="0" w:line="240" w:lineRule="auto"/>
              <w:jc w:val="center"/>
            </w:pPr>
            <w:r>
              <w:rPr>
                <w:b w:val="0"/>
                <w:sz w:val="11"/>
              </w:rPr>
              <w:t>50</w:t>
            </w:r>
          </w:p>
        </w:tc>
        <w:tc>
          <w:tcPr>
            <w:tcW w:type="dxa" w:w="1824"/>
            <w:vAlign w:val="center"/>
          </w:tcPr>
          <w:p>
            <w:pPr>
              <w:spacing w:before="0" w:after="0" w:line="240" w:lineRule="auto"/>
              <w:jc w:val="center"/>
            </w:pPr>
            <w:r>
              <w:rPr>
                <w:b w:val="0"/>
                <w:sz w:val="11"/>
              </w:rPr>
              <w:t>0.9114; 0.263s; 500MB</w:t>
            </w:r>
          </w:p>
        </w:tc>
        <w:tc>
          <w:tcPr>
            <w:tcW w:type="dxa" w:w="1824"/>
            <w:vAlign w:val="center"/>
          </w:tcPr>
          <w:p>
            <w:pPr>
              <w:spacing w:before="0" w:after="0" w:line="240" w:lineRule="auto"/>
              <w:jc w:val="center"/>
            </w:pPr>
            <w:r>
              <w:rPr>
                <w:b w:val="0"/>
                <w:sz w:val="11"/>
              </w:rPr>
              <w:t>0.9155; 0.323s; 495MB</w:t>
            </w:r>
          </w:p>
        </w:tc>
        <w:tc>
          <w:tcPr>
            <w:tcW w:type="dxa" w:w="1824"/>
            <w:vAlign w:val="center"/>
          </w:tcPr>
          <w:p>
            <w:pPr>
              <w:spacing w:before="0" w:after="0" w:line="240" w:lineRule="auto"/>
              <w:jc w:val="center"/>
            </w:pPr>
            <w:r>
              <w:rPr>
                <w:b w:val="0"/>
                <w:sz w:val="11"/>
              </w:rPr>
              <w:t>plsgenomics/PLS-LDA: 0.9155; 0.533s; 221MB</w:t>
            </w:r>
          </w:p>
        </w:tc>
        <w:tc>
          <w:tcPr>
            <w:tcW w:type="dxa" w:w="1824"/>
            <w:vAlign w:val="center"/>
          </w:tcPr>
          <w:p>
            <w:pPr>
              <w:spacing w:before="0" w:after="0" w:line="240" w:lineRule="auto"/>
              <w:jc w:val="center"/>
            </w:pPr>
            <w:r>
              <w:rPr>
                <w:b w:val="0"/>
                <w:sz w:val="11"/>
              </w:rPr>
              <w:t>plsgenomics/PLS-LDA: 0.9155; 0.533s; 221MB</w:t>
            </w:r>
          </w:p>
        </w:tc>
      </w:tr>
      <w:tr>
        <w:trPr>
          <w:cantSplit/>
        </w:trPr>
        <w:tc>
          <w:tcPr>
            <w:tcW w:type="dxa" w:w="1824"/>
            <w:vAlign w:val="center"/>
          </w:tcPr>
          <w:p>
            <w:pPr>
              <w:spacing w:before="0" w:after="0" w:line="240" w:lineRule="auto"/>
            </w:pPr>
            <w:r>
              <w:rPr>
                <w:sz w:val="11"/>
              </w:rPr>
              <w:t>CIFAR-100</w:t>
            </w:r>
          </w:p>
        </w:tc>
        <w:tc>
          <w:tcPr>
            <w:tcW w:type="dxa" w:w="1824"/>
            <w:vAlign w:val="center"/>
          </w:tcPr>
          <w:p>
            <w:pPr>
              <w:spacing w:before="0" w:after="0" w:line="240" w:lineRule="auto"/>
            </w:pPr>
            <w:r>
              <w:rPr>
                <w:sz w:val="11"/>
              </w:rPr>
              <w:t>100</w:t>
            </w:r>
          </w:p>
        </w:tc>
        <w:tc>
          <w:tcPr>
            <w:tcW w:type="dxa" w:w="1824"/>
            <w:vAlign w:val="center"/>
          </w:tcPr>
          <w:p>
            <w:pPr>
              <w:spacing w:before="0" w:after="0" w:line="240" w:lineRule="auto"/>
            </w:pPr>
            <w:r>
              <w:rPr>
                <w:sz w:val="11"/>
              </w:rPr>
              <w:t>0.8739; 8.189s; 1688MB</w:t>
            </w:r>
          </w:p>
        </w:tc>
        <w:tc>
          <w:tcPr>
            <w:tcW w:type="dxa" w:w="1824"/>
            <w:vAlign w:val="center"/>
          </w:tcPr>
          <w:p>
            <w:pPr>
              <w:spacing w:before="0" w:after="0" w:line="240" w:lineRule="auto"/>
            </w:pPr>
            <w:r>
              <w:rPr>
                <w:sz w:val="11"/>
              </w:rPr>
              <w:t>0.8710; 10.118s; 1687MB</w:t>
            </w:r>
          </w:p>
        </w:tc>
        <w:tc>
          <w:tcPr>
            <w:tcW w:type="dxa" w:w="1824"/>
            <w:vAlign w:val="center"/>
          </w:tcPr>
          <w:p>
            <w:pPr>
              <w:spacing w:before="0" w:after="0" w:line="240" w:lineRule="auto"/>
            </w:pPr>
            <w:r>
              <w:rPr>
                <w:sz w:val="11"/>
              </w:rPr>
              <w:t>pls/SIMPLS: 0.8739; 34.647s; 13090MB</w:t>
            </w:r>
          </w:p>
        </w:tc>
        <w:tc>
          <w:tcPr>
            <w:tcW w:type="dxa" w:w="1824"/>
            <w:vAlign w:val="center"/>
          </w:tcPr>
          <w:p>
            <w:pPr>
              <w:spacing w:before="0" w:after="0" w:line="240" w:lineRule="auto"/>
            </w:pPr>
            <w:r>
              <w:rPr>
                <w:sz w:val="11"/>
              </w:rPr>
              <w:t>pls/SIMPLS: 0.8739; 34.647s; 13090MB</w:t>
            </w:r>
          </w:p>
        </w:tc>
      </w:tr>
    </w:tbl>
    <w:p>
      <w:pPr>
        <w:pStyle w:val="Heading2"/>
      </w:pPr>
      <w:r>
        <w:t>S15.1 Cross-language IKPLS software comparison</w:t>
      </w:r>
    </w:p>
    <w:p>
      <w:pPr>
        <w:pStyle w:val="BodyText"/>
      </w:pPr>
      <w:r/>
      <w:r>
        <w:t>This archived-release comparison is not estimator matched. IKPLS 6.1.2 implements Dayal-MacGregor Improved Kernel PLS in two formulations: the score-explicit variant computes and retains the training-score matrix, whereas the cross-product variant fits from the predictor cross-product and predictor-response cross-product without retaining training scores. fastPLS instead implements de Jong SIMPLS with deterministic IRLBA or approximate rSVD. The repeated CPU contract comprised float64 input, externally applied training centring, identical centred one-hot responses, identical splits and component counts, final held-out prediction, three fresh-process repetitions, and one effective thread. This repeated comparison used Breast, MetRef, and CIFAR-100. A separate single-run float32 feasibility extension evaluated the public IKPLS cross-product formulation on NMR and ImageNet, as detailed in Section S15.2. Resident-set size includes language-runtime allocation and is therefore interpreted as a workflow-feasibility measurement.</w:t>
      </w:r>
    </w:p>
    <w:p>
      <w:pPr>
        <w:pStyle w:val="Caption"/>
        <w:keepNext/>
      </w:pPr>
      <w:r>
        <w:t>Table S10f. Archived-release single-thread CPU end-to-end comparison with IKPLS. The score-explicit variant corresponds to IKPLS Algorithm 1 and the cross-product variant to IKPLS Algorithm 2. Time and IQR are fitting-plus-prediction seconds; resident-set-size values are MiB. fastPLS rSVD rows use version 0.99.25, oversampling 20, two power iterations, seed 123, and case-specific diagnostics.</w:t>
      </w:r>
    </w:p>
    <w:tbl>
      <w:tblPr>
        <w:tblW w:type="dxa" w:w="10944"/>
        <w:jc w:val="center"/>
        <w:tblLayout w:type="fixed"/>
        <w:tblLook w:firstColumn="1" w:firstRow="1" w:lastColumn="0" w:lastRow="0" w:noHBand="0" w:noVBand="1" w:val="04A0"/>
        <w:tblCellMar>
          <w:top w:w="45" w:type="dxa"/>
          <w:start w:w="45" w:type="dxa"/>
          <w:bottom w:w="45" w:type="dxa"/>
          <w:end w:w="45" w:type="dxa"/>
        </w:tblCellMar>
      </w:tblPr>
      <w:tblGrid>
        <w:gridCol w:w="1563"/>
        <w:gridCol w:w="1563"/>
        <w:gridCol w:w="1563"/>
        <w:gridCol w:w="1563"/>
        <w:gridCol w:w="1563"/>
        <w:gridCol w:w="1563"/>
        <w:gridCol w:w="1566"/>
      </w:tblGrid>
      <w:tr>
        <w:trPr>
          <w:tblHeader w:val="true"/>
        </w:trPr>
        <w:tc>
          <w:tcPr>
            <w:tcW w:type="dxa" w:w="1563"/>
            <w:vAlign w:val="center"/>
            <w:shd w:fill="1F4E78"/>
          </w:tcPr>
          <w:p>
            <w:pPr>
              <w:spacing w:before="0" w:after="0" w:line="240" w:lineRule="auto"/>
              <w:jc w:val="left"/>
            </w:pPr>
            <w:r>
              <w:rPr>
                <w:rFonts w:ascii="Arial" w:hAnsi="Arial"/>
                <w:b/>
                <w:color w:val="FFFFFF"/>
                <w:sz w:val="11"/>
              </w:rPr>
              <w:t>Dataset</w:t>
            </w:r>
          </w:p>
        </w:tc>
        <w:tc>
          <w:tcPr>
            <w:tcW w:type="dxa" w:w="1563"/>
            <w:vAlign w:val="center"/>
            <w:shd w:fill="1F4E78"/>
          </w:tcPr>
          <w:p>
            <w:pPr>
              <w:spacing w:before="0" w:after="0" w:line="240" w:lineRule="auto"/>
              <w:jc w:val="left"/>
            </w:pPr>
            <w:r>
              <w:rPr>
                <w:rFonts w:ascii="Arial" w:hAnsi="Arial"/>
                <w:b/>
                <w:color w:val="FFFFFF"/>
                <w:sz w:val="11"/>
              </w:rPr>
              <w:t>Workflow</w:t>
            </w:r>
          </w:p>
        </w:tc>
        <w:tc>
          <w:tcPr>
            <w:tcW w:type="dxa" w:w="1563"/>
            <w:vAlign w:val="center"/>
            <w:shd w:fill="1F4E78"/>
          </w:tcPr>
          <w:p>
            <w:pPr>
              <w:spacing w:before="0" w:after="0" w:line="240" w:lineRule="auto"/>
              <w:jc w:val="center"/>
            </w:pPr>
            <w:r>
              <w:rPr>
                <w:rFonts w:ascii="Arial" w:hAnsi="Arial"/>
                <w:b/>
                <w:color w:val="FFFFFF"/>
                <w:sz w:val="11"/>
              </w:rPr>
              <w:t>Accuracy (%)</w:t>
            </w:r>
          </w:p>
        </w:tc>
        <w:tc>
          <w:tcPr>
            <w:tcW w:type="dxa" w:w="1563"/>
            <w:vAlign w:val="center"/>
            <w:shd w:fill="1F4E78"/>
          </w:tcPr>
          <w:p>
            <w:pPr>
              <w:spacing w:before="0" w:after="0" w:line="240" w:lineRule="auto"/>
              <w:jc w:val="center"/>
            </w:pPr>
            <w:r>
              <w:rPr>
                <w:rFonts w:ascii="Arial" w:hAnsi="Arial"/>
                <w:b/>
                <w:color w:val="FFFFFF"/>
                <w:sz w:val="11"/>
              </w:rPr>
              <w:t>Median time</w:t>
            </w:r>
          </w:p>
        </w:tc>
        <w:tc>
          <w:tcPr>
            <w:tcW w:type="dxa" w:w="1563"/>
            <w:vAlign w:val="center"/>
            <w:shd w:fill="1F4E78"/>
          </w:tcPr>
          <w:p>
            <w:pPr>
              <w:spacing w:before="0" w:after="0" w:line="240" w:lineRule="auto"/>
              <w:jc w:val="center"/>
            </w:pPr>
            <w:r>
              <w:rPr>
                <w:rFonts w:ascii="Arial" w:hAnsi="Arial"/>
                <w:b/>
                <w:color w:val="FFFFFF"/>
                <w:sz w:val="11"/>
              </w:rPr>
              <w:t>Time IQR</w:t>
            </w:r>
          </w:p>
        </w:tc>
        <w:tc>
          <w:tcPr>
            <w:tcW w:type="dxa" w:w="1563"/>
            <w:vAlign w:val="center"/>
            <w:shd w:fill="1F4E78"/>
          </w:tcPr>
          <w:p>
            <w:pPr>
              <w:spacing w:before="0" w:after="0" w:line="240" w:lineRule="auto"/>
              <w:jc w:val="center"/>
            </w:pPr>
            <w:r>
              <w:rPr>
                <w:rFonts w:ascii="Arial" w:hAnsi="Arial"/>
                <w:b/>
                <w:color w:val="FFFFFF"/>
                <w:sz w:val="11"/>
              </w:rPr>
              <w:t>Peak RSS</w:t>
            </w:r>
          </w:p>
        </w:tc>
        <w:tc>
          <w:tcPr>
            <w:tcW w:type="dxa" w:w="1566"/>
            <w:vAlign w:val="center"/>
            <w:shd w:fill="1F4E78"/>
          </w:tcPr>
          <w:p>
            <w:pPr>
              <w:spacing w:before="0" w:after="0" w:line="240" w:lineRule="auto"/>
              <w:jc w:val="center"/>
            </w:pPr>
            <w:r>
              <w:rPr>
                <w:rFonts w:ascii="Arial" w:hAnsi="Arial"/>
                <w:b/>
                <w:color w:val="FFFFFF"/>
                <w:sz w:val="11"/>
              </w:rPr>
              <w:t>Incremental RSS</w:t>
            </w:r>
          </w:p>
        </w:tc>
      </w:tr>
      <w:tr>
        <w:tc>
          <w:tcPr>
            <w:tcW w:type="dxa" w:w="1563"/>
            <w:vAlign w:val="center"/>
          </w:tcPr>
          <w:p>
            <w:pPr>
              <w:spacing w:after="0" w:before="0" w:line="240" w:lineRule="auto"/>
            </w:pPr>
            <w:r>
              <w:rPr>
                <w:sz w:val="11"/>
              </w:rPr>
              <w:t>Breast</w:t>
            </w:r>
          </w:p>
        </w:tc>
        <w:tc>
          <w:tcPr>
            <w:tcW w:type="dxa" w:w="1563"/>
            <w:vAlign w:val="center"/>
          </w:tcPr>
          <w:p>
            <w:pPr>
              <w:spacing w:after="0" w:before="0" w:line="240" w:lineRule="auto"/>
            </w:pPr>
            <w:r>
              <w:rPr>
                <w:sz w:val="11"/>
              </w:rPr>
              <w:t>IKPLS score-explicit (Alg. 1)</w:t>
            </w:r>
          </w:p>
        </w:tc>
        <w:tc>
          <w:tcPr>
            <w:tcW w:type="dxa" w:w="1563"/>
            <w:vAlign w:val="center"/>
          </w:tcPr>
          <w:p>
            <w:pPr>
              <w:spacing w:after="0" w:before="0" w:line="240" w:lineRule="auto"/>
            </w:pPr>
            <w:r>
              <w:rPr>
                <w:sz w:val="11"/>
              </w:rPr>
              <w:t>94.29</w:t>
            </w:r>
          </w:p>
        </w:tc>
        <w:tc>
          <w:tcPr>
            <w:tcW w:type="dxa" w:w="1563"/>
            <w:vAlign w:val="center"/>
          </w:tcPr>
          <w:p>
            <w:pPr>
              <w:spacing w:after="0" w:before="0" w:line="240" w:lineRule="auto"/>
            </w:pPr>
            <w:r>
              <w:rPr>
                <w:sz w:val="11"/>
              </w:rPr>
              <w:t>0.000601</w:t>
            </w:r>
          </w:p>
        </w:tc>
        <w:tc>
          <w:tcPr>
            <w:tcW w:type="dxa" w:w="1563"/>
            <w:vAlign w:val="center"/>
          </w:tcPr>
          <w:p>
            <w:pPr>
              <w:spacing w:after="0" w:before="0" w:line="240" w:lineRule="auto"/>
            </w:pPr>
            <w:r>
              <w:rPr>
                <w:sz w:val="11"/>
              </w:rPr>
              <w:t>0.000519</w:t>
            </w:r>
          </w:p>
        </w:tc>
        <w:tc>
          <w:tcPr>
            <w:tcW w:type="dxa" w:w="1563"/>
            <w:vAlign w:val="center"/>
          </w:tcPr>
          <w:p>
            <w:pPr>
              <w:spacing w:after="0" w:before="0" w:line="240" w:lineRule="auto"/>
            </w:pPr>
            <w:r>
              <w:rPr>
                <w:sz w:val="11"/>
              </w:rPr>
              <w:t>130.5</w:t>
            </w:r>
          </w:p>
        </w:tc>
        <w:tc>
          <w:tcPr>
            <w:tcW w:type="dxa" w:w="1566"/>
            <w:vAlign w:val="center"/>
          </w:tcPr>
          <w:p>
            <w:pPr>
              <w:spacing w:after="0" w:before="0" w:line="240" w:lineRule="auto"/>
            </w:pPr>
            <w:r>
              <w:rPr>
                <w:sz w:val="11"/>
              </w:rPr>
              <w:t>0.8</w:t>
            </w:r>
          </w:p>
        </w:tc>
      </w:tr>
      <w:tr>
        <w:tc>
          <w:tcPr>
            <w:tcW w:type="dxa" w:w="1563"/>
            <w:vAlign w:val="center"/>
          </w:tcPr>
          <w:p>
            <w:pPr>
              <w:spacing w:after="0" w:before="0" w:line="240" w:lineRule="auto"/>
            </w:pPr>
            <w:r>
              <w:rPr>
                <w:sz w:val="11"/>
              </w:rPr>
              <w:t>Breast</w:t>
            </w:r>
          </w:p>
        </w:tc>
        <w:tc>
          <w:tcPr>
            <w:tcW w:type="dxa" w:w="1563"/>
            <w:vAlign w:val="center"/>
          </w:tcPr>
          <w:p>
            <w:pPr>
              <w:spacing w:after="0" w:before="0" w:line="240" w:lineRule="auto"/>
            </w:pPr>
            <w:r>
              <w:rPr>
                <w:sz w:val="11"/>
              </w:rPr>
              <w:t>IKPLS cross-product (Alg. 2)</w:t>
            </w:r>
          </w:p>
        </w:tc>
        <w:tc>
          <w:tcPr>
            <w:tcW w:type="dxa" w:w="1563"/>
            <w:vAlign w:val="center"/>
          </w:tcPr>
          <w:p>
            <w:pPr>
              <w:spacing w:after="0" w:before="0" w:line="240" w:lineRule="auto"/>
            </w:pPr>
            <w:r>
              <w:rPr>
                <w:sz w:val="11"/>
              </w:rPr>
              <w:t>94.29</w:t>
            </w:r>
          </w:p>
        </w:tc>
        <w:tc>
          <w:tcPr>
            <w:tcW w:type="dxa" w:w="1563"/>
            <w:vAlign w:val="center"/>
          </w:tcPr>
          <w:p>
            <w:pPr>
              <w:spacing w:after="0" w:before="0" w:line="240" w:lineRule="auto"/>
            </w:pPr>
            <w:r>
              <w:rPr>
                <w:sz w:val="11"/>
              </w:rPr>
              <w:t>0.000593</w:t>
            </w:r>
          </w:p>
        </w:tc>
        <w:tc>
          <w:tcPr>
            <w:tcW w:type="dxa" w:w="1563"/>
            <w:vAlign w:val="center"/>
          </w:tcPr>
          <w:p>
            <w:pPr>
              <w:spacing w:after="0" w:before="0" w:line="240" w:lineRule="auto"/>
            </w:pPr>
            <w:r>
              <w:rPr>
                <w:sz w:val="11"/>
              </w:rPr>
              <w:t>0.000084</w:t>
            </w:r>
          </w:p>
        </w:tc>
        <w:tc>
          <w:tcPr>
            <w:tcW w:type="dxa" w:w="1563"/>
            <w:vAlign w:val="center"/>
          </w:tcPr>
          <w:p>
            <w:pPr>
              <w:spacing w:after="0" w:before="0" w:line="240" w:lineRule="auto"/>
            </w:pPr>
            <w:r>
              <w:rPr>
                <w:sz w:val="11"/>
              </w:rPr>
              <w:t>131.2</w:t>
            </w:r>
          </w:p>
        </w:tc>
        <w:tc>
          <w:tcPr>
            <w:tcW w:type="dxa" w:w="1566"/>
            <w:vAlign w:val="center"/>
          </w:tcPr>
          <w:p>
            <w:pPr>
              <w:spacing w:after="0" w:before="0" w:line="240" w:lineRule="auto"/>
            </w:pPr>
            <w:r>
              <w:rPr>
                <w:sz w:val="11"/>
              </w:rPr>
              <w:t>0.8</w:t>
            </w:r>
          </w:p>
        </w:tc>
      </w:tr>
      <w:tr>
        <w:tc>
          <w:tcPr>
            <w:tcW w:type="dxa" w:w="1563"/>
            <w:vAlign w:val="center"/>
          </w:tcPr>
          <w:p>
            <w:pPr>
              <w:spacing w:after="0" w:before="0" w:line="240" w:lineRule="auto"/>
            </w:pPr>
            <w:r>
              <w:rPr>
                <w:sz w:val="11"/>
              </w:rPr>
              <w:t>Breast</w:t>
            </w:r>
          </w:p>
        </w:tc>
        <w:tc>
          <w:tcPr>
            <w:tcW w:type="dxa" w:w="1563"/>
            <w:vAlign w:val="center"/>
          </w:tcPr>
          <w:p>
            <w:pPr>
              <w:spacing w:before="0" w:after="0" w:line="240" w:lineRule="auto"/>
            </w:pPr>
            <w:r>
              <w:rPr>
                <w:sz w:val="11"/>
              </w:rPr>
              <w:t>fastPLS SIMPLS/IRLBA</w:t>
              <w:br/>
              <w:t>(v0.99.25; deterministic)</w:t>
            </w:r>
          </w:p>
        </w:tc>
        <w:tc>
          <w:tcPr>
            <w:tcW w:type="dxa" w:w="1563"/>
            <w:vAlign w:val="center"/>
          </w:tcPr>
          <w:p>
            <w:pPr>
              <w:spacing w:after="0" w:before="0" w:line="240" w:lineRule="auto"/>
            </w:pPr>
            <w:r>
              <w:rPr>
                <w:sz w:val="11"/>
              </w:rPr>
              <w:t>94.29</w:t>
            </w:r>
          </w:p>
        </w:tc>
        <w:tc>
          <w:tcPr>
            <w:tcW w:type="dxa" w:w="1563"/>
            <w:vAlign w:val="center"/>
          </w:tcPr>
          <w:p>
            <w:pPr>
              <w:spacing w:after="0" w:before="0" w:line="240" w:lineRule="auto"/>
            </w:pPr>
            <w:r>
              <w:rPr>
                <w:sz w:val="11"/>
              </w:rPr>
              <w:t>0.005000</w:t>
            </w:r>
          </w:p>
        </w:tc>
        <w:tc>
          <w:tcPr>
            <w:tcW w:type="dxa" w:w="1563"/>
            <w:vAlign w:val="center"/>
          </w:tcPr>
          <w:p>
            <w:pPr>
              <w:spacing w:after="0" w:before="0" w:line="240" w:lineRule="auto"/>
            </w:pPr>
            <w:r>
              <w:rPr>
                <w:sz w:val="11"/>
              </w:rPr>
              <w:t>0.002000</w:t>
            </w:r>
          </w:p>
        </w:tc>
        <w:tc>
          <w:tcPr>
            <w:tcW w:type="dxa" w:w="1563"/>
            <w:vAlign w:val="center"/>
          </w:tcPr>
          <w:p>
            <w:pPr>
              <w:spacing w:after="0" w:before="0" w:line="240" w:lineRule="auto"/>
            </w:pPr>
            <w:r>
              <w:rPr>
                <w:sz w:val="11"/>
              </w:rPr>
              <w:t>186.0</w:t>
            </w:r>
          </w:p>
        </w:tc>
        <w:tc>
          <w:tcPr>
            <w:tcW w:type="dxa" w:w="1566"/>
            <w:vAlign w:val="center"/>
          </w:tcPr>
          <w:p>
            <w:pPr>
              <w:spacing w:after="0" w:before="0" w:line="240" w:lineRule="auto"/>
            </w:pPr>
            <w:r>
              <w:rPr>
                <w:sz w:val="11"/>
              </w:rPr>
              <w:t>1.2</w:t>
            </w:r>
          </w:p>
        </w:tc>
      </w:tr>
      <w:tr>
        <w:tc>
          <w:tcPr>
            <w:tcW w:type="dxa" w:w="1563"/>
            <w:vAlign w:val="center"/>
          </w:tcPr>
          <w:p>
            <w:pPr>
              <w:spacing w:after="0" w:before="0" w:line="240" w:lineRule="auto"/>
            </w:pPr>
            <w:r>
              <w:rPr>
                <w:sz w:val="11"/>
              </w:rPr>
              <w:t>Breast</w:t>
            </w:r>
          </w:p>
        </w:tc>
        <w:tc>
          <w:tcPr>
            <w:tcW w:type="dxa" w:w="1563"/>
            <w:vAlign w:val="center"/>
          </w:tcPr>
          <w:p>
            <w:pPr>
              <w:spacing w:before="0" w:after="0" w:line="240" w:lineRule="auto"/>
            </w:pPr>
            <w:r>
              <w:rPr>
                <w:sz w:val="11"/>
              </w:rPr>
              <w:t>fastPLS SIMPLS/rSVD</w:t>
              <w:br/>
              <w:t>(v0.99.25; os20/p2/s123; qualified)</w:t>
            </w:r>
          </w:p>
        </w:tc>
        <w:tc>
          <w:tcPr>
            <w:tcW w:type="dxa" w:w="1563"/>
            <w:vAlign w:val="center"/>
          </w:tcPr>
          <w:p>
            <w:pPr>
              <w:spacing w:after="0" w:before="0" w:line="240" w:lineRule="auto"/>
            </w:pPr>
            <w:r>
              <w:rPr>
                <w:sz w:val="11"/>
              </w:rPr>
              <w:t>94.29</w:t>
            </w:r>
          </w:p>
        </w:tc>
        <w:tc>
          <w:tcPr>
            <w:tcW w:type="dxa" w:w="1563"/>
            <w:vAlign w:val="center"/>
          </w:tcPr>
          <w:p>
            <w:pPr>
              <w:spacing w:after="0" w:before="0" w:line="240" w:lineRule="auto"/>
            </w:pPr>
            <w:r>
              <w:rPr>
                <w:sz w:val="11"/>
              </w:rPr>
              <w:t>0.005000</w:t>
            </w:r>
          </w:p>
        </w:tc>
        <w:tc>
          <w:tcPr>
            <w:tcW w:type="dxa" w:w="1563"/>
            <w:vAlign w:val="center"/>
          </w:tcPr>
          <w:p>
            <w:pPr>
              <w:spacing w:after="0" w:before="0" w:line="240" w:lineRule="auto"/>
            </w:pPr>
            <w:r>
              <w:rPr>
                <w:sz w:val="11"/>
              </w:rPr>
              <w:t>0.000500</w:t>
            </w:r>
          </w:p>
        </w:tc>
        <w:tc>
          <w:tcPr>
            <w:tcW w:type="dxa" w:w="1563"/>
            <w:vAlign w:val="center"/>
          </w:tcPr>
          <w:p>
            <w:pPr>
              <w:spacing w:after="0" w:before="0" w:line="240" w:lineRule="auto"/>
            </w:pPr>
            <w:r>
              <w:rPr>
                <w:sz w:val="11"/>
              </w:rPr>
              <w:t>181.8</w:t>
            </w:r>
          </w:p>
        </w:tc>
        <w:tc>
          <w:tcPr>
            <w:tcW w:type="dxa" w:w="1566"/>
            <w:vAlign w:val="center"/>
          </w:tcPr>
          <w:p>
            <w:pPr>
              <w:spacing w:after="0" w:before="0" w:line="240" w:lineRule="auto"/>
            </w:pPr>
            <w:r>
              <w:rPr>
                <w:sz w:val="11"/>
              </w:rPr>
              <w:t>1.1</w:t>
            </w:r>
          </w:p>
        </w:tc>
      </w:tr>
      <w:tr>
        <w:tc>
          <w:tcPr>
            <w:tcW w:type="dxa" w:w="1563"/>
            <w:vAlign w:val="center"/>
          </w:tcPr>
          <w:p>
            <w:pPr>
              <w:spacing w:after="0" w:before="0" w:line="240" w:lineRule="auto"/>
            </w:pPr>
            <w:r>
              <w:rPr>
                <w:sz w:val="11"/>
              </w:rPr>
              <w:t>CIFAR-100</w:t>
            </w:r>
          </w:p>
        </w:tc>
        <w:tc>
          <w:tcPr>
            <w:tcW w:type="dxa" w:w="1563"/>
            <w:vAlign w:val="center"/>
          </w:tcPr>
          <w:p>
            <w:pPr>
              <w:spacing w:after="0" w:before="0" w:line="240" w:lineRule="auto"/>
            </w:pPr>
            <w:r>
              <w:rPr>
                <w:sz w:val="11"/>
              </w:rPr>
              <w:t>IKPLS score-explicit (Alg. 1)</w:t>
            </w:r>
          </w:p>
        </w:tc>
        <w:tc>
          <w:tcPr>
            <w:tcW w:type="dxa" w:w="1563"/>
            <w:vAlign w:val="center"/>
          </w:tcPr>
          <w:p>
            <w:pPr>
              <w:spacing w:after="0" w:before="0" w:line="240" w:lineRule="auto"/>
            </w:pPr>
            <w:r>
              <w:rPr>
                <w:sz w:val="11"/>
              </w:rPr>
              <w:t>70.95</w:t>
            </w:r>
          </w:p>
        </w:tc>
        <w:tc>
          <w:tcPr>
            <w:tcW w:type="dxa" w:w="1563"/>
            <w:vAlign w:val="center"/>
          </w:tcPr>
          <w:p>
            <w:pPr>
              <w:spacing w:after="0" w:before="0" w:line="240" w:lineRule="auto"/>
            </w:pPr>
            <w:r>
              <w:rPr>
                <w:sz w:val="11"/>
              </w:rPr>
              <w:t>0.885829</w:t>
            </w:r>
          </w:p>
        </w:tc>
        <w:tc>
          <w:tcPr>
            <w:tcW w:type="dxa" w:w="1563"/>
            <w:vAlign w:val="center"/>
          </w:tcPr>
          <w:p>
            <w:pPr>
              <w:spacing w:after="0" w:before="0" w:line="240" w:lineRule="auto"/>
            </w:pPr>
            <w:r>
              <w:rPr>
                <w:sz w:val="11"/>
              </w:rPr>
              <w:t>0.035523</w:t>
            </w:r>
          </w:p>
        </w:tc>
        <w:tc>
          <w:tcPr>
            <w:tcW w:type="dxa" w:w="1563"/>
            <w:vAlign w:val="center"/>
          </w:tcPr>
          <w:p>
            <w:pPr>
              <w:spacing w:after="0" w:before="0" w:line="240" w:lineRule="auto"/>
            </w:pPr>
            <w:r>
              <w:rPr>
                <w:sz w:val="11"/>
              </w:rPr>
              <w:t>595.2</w:t>
            </w:r>
          </w:p>
        </w:tc>
        <w:tc>
          <w:tcPr>
            <w:tcW w:type="dxa" w:w="1566"/>
            <w:vAlign w:val="center"/>
          </w:tcPr>
          <w:p>
            <w:pPr>
              <w:spacing w:after="0" w:before="0" w:line="240" w:lineRule="auto"/>
            </w:pPr>
            <w:r>
              <w:rPr>
                <w:sz w:val="11"/>
              </w:rPr>
              <w:t>74.8</w:t>
            </w:r>
          </w:p>
        </w:tc>
      </w:tr>
      <w:tr>
        <w:tc>
          <w:tcPr>
            <w:tcW w:type="dxa" w:w="1563"/>
            <w:vAlign w:val="center"/>
          </w:tcPr>
          <w:p>
            <w:pPr>
              <w:spacing w:after="0" w:before="0" w:line="240" w:lineRule="auto"/>
            </w:pPr>
            <w:r>
              <w:rPr>
                <w:sz w:val="11"/>
              </w:rPr>
              <w:t>CIFAR-100</w:t>
            </w:r>
          </w:p>
        </w:tc>
        <w:tc>
          <w:tcPr>
            <w:tcW w:type="dxa" w:w="1563"/>
            <w:vAlign w:val="center"/>
          </w:tcPr>
          <w:p>
            <w:pPr>
              <w:spacing w:after="0" w:before="0" w:line="240" w:lineRule="auto"/>
            </w:pPr>
            <w:r>
              <w:rPr>
                <w:sz w:val="11"/>
              </w:rPr>
              <w:t>IKPLS cross-product (Alg. 2)</w:t>
            </w:r>
          </w:p>
        </w:tc>
        <w:tc>
          <w:tcPr>
            <w:tcW w:type="dxa" w:w="1563"/>
            <w:vAlign w:val="center"/>
          </w:tcPr>
          <w:p>
            <w:pPr>
              <w:spacing w:after="0" w:before="0" w:line="240" w:lineRule="auto"/>
            </w:pPr>
            <w:r>
              <w:rPr>
                <w:sz w:val="11"/>
              </w:rPr>
              <w:t>70.95</w:t>
            </w:r>
          </w:p>
        </w:tc>
        <w:tc>
          <w:tcPr>
            <w:tcW w:type="dxa" w:w="1563"/>
            <w:vAlign w:val="center"/>
          </w:tcPr>
          <w:p>
            <w:pPr>
              <w:spacing w:after="0" w:before="0" w:line="240" w:lineRule="auto"/>
            </w:pPr>
            <w:r>
              <w:rPr>
                <w:sz w:val="11"/>
              </w:rPr>
              <w:t>0.217595</w:t>
            </w:r>
          </w:p>
        </w:tc>
        <w:tc>
          <w:tcPr>
            <w:tcW w:type="dxa" w:w="1563"/>
            <w:vAlign w:val="center"/>
          </w:tcPr>
          <w:p>
            <w:pPr>
              <w:spacing w:after="0" w:before="0" w:line="240" w:lineRule="auto"/>
            </w:pPr>
            <w:r>
              <w:rPr>
                <w:sz w:val="11"/>
              </w:rPr>
              <w:t>0.005360</w:t>
            </w:r>
          </w:p>
        </w:tc>
        <w:tc>
          <w:tcPr>
            <w:tcW w:type="dxa" w:w="1563"/>
            <w:vAlign w:val="center"/>
          </w:tcPr>
          <w:p>
            <w:pPr>
              <w:spacing w:after="0" w:before="0" w:line="240" w:lineRule="auto"/>
            </w:pPr>
            <w:r>
              <w:rPr>
                <w:sz w:val="11"/>
              </w:rPr>
              <w:t>583.8</w:t>
            </w:r>
          </w:p>
        </w:tc>
        <w:tc>
          <w:tcPr>
            <w:tcW w:type="dxa" w:w="1566"/>
            <w:vAlign w:val="center"/>
          </w:tcPr>
          <w:p>
            <w:pPr>
              <w:spacing w:after="0" w:before="0" w:line="240" w:lineRule="auto"/>
            </w:pPr>
            <w:r>
              <w:rPr>
                <w:sz w:val="11"/>
              </w:rPr>
              <w:t>64.5</w:t>
            </w:r>
          </w:p>
        </w:tc>
      </w:tr>
      <w:tr>
        <w:tc>
          <w:tcPr>
            <w:tcW w:type="dxa" w:w="1563"/>
            <w:vAlign w:val="center"/>
          </w:tcPr>
          <w:p>
            <w:pPr>
              <w:spacing w:after="0" w:before="0" w:line="240" w:lineRule="auto"/>
            </w:pPr>
            <w:r>
              <w:rPr>
                <w:sz w:val="11"/>
              </w:rPr>
              <w:t>CIFAR-100</w:t>
            </w:r>
          </w:p>
        </w:tc>
        <w:tc>
          <w:tcPr>
            <w:tcW w:type="dxa" w:w="1563"/>
            <w:vAlign w:val="center"/>
          </w:tcPr>
          <w:p>
            <w:pPr>
              <w:spacing w:before="0" w:after="0" w:line="240" w:lineRule="auto"/>
            </w:pPr>
            <w:r>
              <w:rPr>
                <w:sz w:val="11"/>
              </w:rPr>
              <w:t>fastPLS SIMPLS/IRLBA</w:t>
              <w:br/>
              <w:t>(v0.99.25; deterministic)</w:t>
            </w:r>
          </w:p>
        </w:tc>
        <w:tc>
          <w:tcPr>
            <w:tcW w:type="dxa" w:w="1563"/>
            <w:vAlign w:val="center"/>
          </w:tcPr>
          <w:p>
            <w:pPr>
              <w:spacing w:after="0" w:before="0" w:line="240" w:lineRule="auto"/>
            </w:pPr>
            <w:r>
              <w:rPr>
                <w:sz w:val="11"/>
              </w:rPr>
              <w:t>70.77</w:t>
            </w:r>
          </w:p>
        </w:tc>
        <w:tc>
          <w:tcPr>
            <w:tcW w:type="dxa" w:w="1563"/>
            <w:vAlign w:val="center"/>
          </w:tcPr>
          <w:p>
            <w:pPr>
              <w:spacing w:after="0" w:before="0" w:line="240" w:lineRule="auto"/>
            </w:pPr>
            <w:r>
              <w:rPr>
                <w:sz w:val="11"/>
              </w:rPr>
              <w:t>3.414000</w:t>
            </w:r>
          </w:p>
        </w:tc>
        <w:tc>
          <w:tcPr>
            <w:tcW w:type="dxa" w:w="1563"/>
            <w:vAlign w:val="center"/>
          </w:tcPr>
          <w:p>
            <w:pPr>
              <w:spacing w:after="0" w:before="0" w:line="240" w:lineRule="auto"/>
            </w:pPr>
            <w:r>
              <w:rPr>
                <w:sz w:val="11"/>
              </w:rPr>
              <w:t>0.079500</w:t>
            </w:r>
          </w:p>
        </w:tc>
        <w:tc>
          <w:tcPr>
            <w:tcW w:type="dxa" w:w="1563"/>
            <w:vAlign w:val="center"/>
          </w:tcPr>
          <w:p>
            <w:pPr>
              <w:spacing w:after="0" w:before="0" w:line="240" w:lineRule="auto"/>
            </w:pPr>
            <w:r>
              <w:rPr>
                <w:sz w:val="11"/>
              </w:rPr>
              <w:t>1252.3</w:t>
            </w:r>
          </w:p>
        </w:tc>
        <w:tc>
          <w:tcPr>
            <w:tcW w:type="dxa" w:w="1566"/>
            <w:vAlign w:val="center"/>
          </w:tcPr>
          <w:p>
            <w:pPr>
              <w:spacing w:after="0" w:before="0" w:line="240" w:lineRule="auto"/>
            </w:pPr>
            <w:r>
              <w:rPr>
                <w:sz w:val="11"/>
              </w:rPr>
              <w:t>624.3</w:t>
            </w:r>
          </w:p>
        </w:tc>
      </w:tr>
      <w:tr>
        <w:tc>
          <w:tcPr>
            <w:tcW w:type="dxa" w:w="1563"/>
            <w:vAlign w:val="center"/>
          </w:tcPr>
          <w:p>
            <w:pPr>
              <w:spacing w:after="0" w:before="0" w:line="240" w:lineRule="auto"/>
            </w:pPr>
            <w:r>
              <w:rPr>
                <w:sz w:val="11"/>
              </w:rPr>
              <w:t>CIFAR-100</w:t>
            </w:r>
          </w:p>
        </w:tc>
        <w:tc>
          <w:tcPr>
            <w:tcW w:type="dxa" w:w="1563"/>
            <w:vAlign w:val="center"/>
          </w:tcPr>
          <w:p>
            <w:pPr>
              <w:spacing w:before="0" w:after="0" w:line="240" w:lineRule="auto"/>
            </w:pPr>
            <w:r>
              <w:rPr>
                <w:sz w:val="11"/>
              </w:rPr>
              <w:t>fastPLS SIMPLS/rSVD</w:t>
              <w:br/>
              <w:t>(v0.99.25; os20/p2/s123; qualified)</w:t>
            </w:r>
          </w:p>
        </w:tc>
        <w:tc>
          <w:tcPr>
            <w:tcW w:type="dxa" w:w="1563"/>
            <w:vAlign w:val="center"/>
          </w:tcPr>
          <w:p>
            <w:pPr>
              <w:spacing w:after="0" w:before="0" w:line="240" w:lineRule="auto"/>
            </w:pPr>
            <w:r>
              <w:rPr>
                <w:sz w:val="11"/>
              </w:rPr>
              <w:t>72.13</w:t>
            </w:r>
          </w:p>
        </w:tc>
        <w:tc>
          <w:tcPr>
            <w:tcW w:type="dxa" w:w="1563"/>
            <w:vAlign w:val="center"/>
          </w:tcPr>
          <w:p>
            <w:pPr>
              <w:spacing w:after="0" w:before="0" w:line="240" w:lineRule="auto"/>
            </w:pPr>
            <w:r>
              <w:rPr>
                <w:sz w:val="11"/>
              </w:rPr>
              <w:t>3.585000</w:t>
            </w:r>
          </w:p>
        </w:tc>
        <w:tc>
          <w:tcPr>
            <w:tcW w:type="dxa" w:w="1563"/>
            <w:vAlign w:val="center"/>
          </w:tcPr>
          <w:p>
            <w:pPr>
              <w:spacing w:after="0" w:before="0" w:line="240" w:lineRule="auto"/>
            </w:pPr>
            <w:r>
              <w:rPr>
                <w:sz w:val="11"/>
              </w:rPr>
              <w:t>0.064000</w:t>
            </w:r>
          </w:p>
        </w:tc>
        <w:tc>
          <w:tcPr>
            <w:tcW w:type="dxa" w:w="1563"/>
            <w:vAlign w:val="center"/>
          </w:tcPr>
          <w:p>
            <w:pPr>
              <w:spacing w:after="0" w:before="0" w:line="240" w:lineRule="auto"/>
            </w:pPr>
            <w:r>
              <w:rPr>
                <w:sz w:val="11"/>
              </w:rPr>
              <w:t>1178.1</w:t>
            </w:r>
          </w:p>
        </w:tc>
        <w:tc>
          <w:tcPr>
            <w:tcW w:type="dxa" w:w="1566"/>
            <w:vAlign w:val="center"/>
          </w:tcPr>
          <w:p>
            <w:pPr>
              <w:spacing w:after="0" w:before="0" w:line="240" w:lineRule="auto"/>
            </w:pPr>
            <w:r>
              <w:rPr>
                <w:sz w:val="11"/>
              </w:rPr>
              <w:t>581.0</w:t>
            </w:r>
          </w:p>
        </w:tc>
      </w:tr>
      <w:tr>
        <w:tc>
          <w:tcPr>
            <w:tcW w:type="dxa" w:w="1563"/>
            <w:vAlign w:val="center"/>
          </w:tcPr>
          <w:p>
            <w:pPr>
              <w:spacing w:after="0" w:before="0" w:line="240" w:lineRule="auto"/>
            </w:pPr>
            <w:r>
              <w:rPr>
                <w:sz w:val="11"/>
              </w:rPr>
              <w:t>Metref</w:t>
            </w:r>
          </w:p>
        </w:tc>
        <w:tc>
          <w:tcPr>
            <w:tcW w:type="dxa" w:w="1563"/>
            <w:vAlign w:val="center"/>
          </w:tcPr>
          <w:p>
            <w:pPr>
              <w:spacing w:after="0" w:before="0" w:line="240" w:lineRule="auto"/>
            </w:pPr>
            <w:r>
              <w:rPr>
                <w:sz w:val="11"/>
              </w:rPr>
              <w:t>IKPLS score-explicit (Alg. 1)</w:t>
            </w:r>
          </w:p>
        </w:tc>
        <w:tc>
          <w:tcPr>
            <w:tcW w:type="dxa" w:w="1563"/>
            <w:vAlign w:val="center"/>
          </w:tcPr>
          <w:p>
            <w:pPr>
              <w:spacing w:after="0" w:before="0" w:line="240" w:lineRule="auto"/>
            </w:pPr>
            <w:r>
              <w:rPr>
                <w:sz w:val="11"/>
              </w:rPr>
              <w:t>75.00</w:t>
            </w:r>
          </w:p>
        </w:tc>
        <w:tc>
          <w:tcPr>
            <w:tcW w:type="dxa" w:w="1563"/>
            <w:vAlign w:val="center"/>
          </w:tcPr>
          <w:p>
            <w:pPr>
              <w:spacing w:after="0" w:before="0" w:line="240" w:lineRule="auto"/>
            </w:pPr>
            <w:r>
              <w:rPr>
                <w:sz w:val="11"/>
              </w:rPr>
              <w:t>0.003331</w:t>
            </w:r>
          </w:p>
        </w:tc>
        <w:tc>
          <w:tcPr>
            <w:tcW w:type="dxa" w:w="1563"/>
            <w:vAlign w:val="center"/>
          </w:tcPr>
          <w:p>
            <w:pPr>
              <w:spacing w:after="0" w:before="0" w:line="240" w:lineRule="auto"/>
            </w:pPr>
            <w:r>
              <w:rPr>
                <w:sz w:val="11"/>
              </w:rPr>
              <w:t>0.000063</w:t>
            </w:r>
          </w:p>
        </w:tc>
        <w:tc>
          <w:tcPr>
            <w:tcW w:type="dxa" w:w="1563"/>
            <w:vAlign w:val="center"/>
          </w:tcPr>
          <w:p>
            <w:pPr>
              <w:spacing w:after="0" w:before="0" w:line="240" w:lineRule="auto"/>
            </w:pPr>
            <w:r>
              <w:rPr>
                <w:sz w:val="11"/>
              </w:rPr>
              <w:t>134.7</w:t>
            </w:r>
          </w:p>
        </w:tc>
        <w:tc>
          <w:tcPr>
            <w:tcW w:type="dxa" w:w="1566"/>
            <w:vAlign w:val="center"/>
          </w:tcPr>
          <w:p>
            <w:pPr>
              <w:spacing w:after="0" w:before="0" w:line="240" w:lineRule="auto"/>
            </w:pPr>
            <w:r>
              <w:rPr>
                <w:sz w:val="11"/>
              </w:rPr>
              <w:t>2.1</w:t>
            </w:r>
          </w:p>
        </w:tc>
      </w:tr>
      <w:tr>
        <w:tc>
          <w:tcPr>
            <w:tcW w:type="dxa" w:w="1563"/>
            <w:vAlign w:val="center"/>
          </w:tcPr>
          <w:p>
            <w:pPr>
              <w:spacing w:after="0" w:before="0" w:line="240" w:lineRule="auto"/>
            </w:pPr>
            <w:r>
              <w:rPr>
                <w:sz w:val="11"/>
              </w:rPr>
              <w:t>Metref</w:t>
            </w:r>
          </w:p>
        </w:tc>
        <w:tc>
          <w:tcPr>
            <w:tcW w:type="dxa" w:w="1563"/>
            <w:vAlign w:val="center"/>
          </w:tcPr>
          <w:p>
            <w:pPr>
              <w:spacing w:after="0" w:before="0" w:line="240" w:lineRule="auto"/>
            </w:pPr>
            <w:r>
              <w:rPr>
                <w:sz w:val="11"/>
              </w:rPr>
              <w:t>IKPLS cross-product (Alg. 2)</w:t>
            </w:r>
          </w:p>
        </w:tc>
        <w:tc>
          <w:tcPr>
            <w:tcW w:type="dxa" w:w="1563"/>
            <w:vAlign w:val="center"/>
          </w:tcPr>
          <w:p>
            <w:pPr>
              <w:spacing w:after="0" w:before="0" w:line="240" w:lineRule="auto"/>
            </w:pPr>
            <w:r>
              <w:rPr>
                <w:sz w:val="11"/>
              </w:rPr>
              <w:t>75.00</w:t>
            </w:r>
          </w:p>
        </w:tc>
        <w:tc>
          <w:tcPr>
            <w:tcW w:type="dxa" w:w="1563"/>
            <w:vAlign w:val="center"/>
          </w:tcPr>
          <w:p>
            <w:pPr>
              <w:spacing w:after="0" w:before="0" w:line="240" w:lineRule="auto"/>
            </w:pPr>
            <w:r>
              <w:rPr>
                <w:sz w:val="11"/>
              </w:rPr>
              <w:t>0.002979</w:t>
            </w:r>
          </w:p>
        </w:tc>
        <w:tc>
          <w:tcPr>
            <w:tcW w:type="dxa" w:w="1563"/>
            <w:vAlign w:val="center"/>
          </w:tcPr>
          <w:p>
            <w:pPr>
              <w:spacing w:after="0" w:before="0" w:line="240" w:lineRule="auto"/>
            </w:pPr>
            <w:r>
              <w:rPr>
                <w:sz w:val="11"/>
              </w:rPr>
              <w:t>0.000165</w:t>
            </w:r>
          </w:p>
        </w:tc>
        <w:tc>
          <w:tcPr>
            <w:tcW w:type="dxa" w:w="1563"/>
            <w:vAlign w:val="center"/>
          </w:tcPr>
          <w:p>
            <w:pPr>
              <w:spacing w:after="0" w:before="0" w:line="240" w:lineRule="auto"/>
            </w:pPr>
            <w:r>
              <w:rPr>
                <w:sz w:val="11"/>
              </w:rPr>
              <w:t>135.2</w:t>
            </w:r>
          </w:p>
        </w:tc>
        <w:tc>
          <w:tcPr>
            <w:tcW w:type="dxa" w:w="1566"/>
            <w:vAlign w:val="center"/>
          </w:tcPr>
          <w:p>
            <w:pPr>
              <w:spacing w:after="0" w:before="0" w:line="240" w:lineRule="auto"/>
            </w:pPr>
            <w:r>
              <w:rPr>
                <w:sz w:val="11"/>
              </w:rPr>
              <w:t>3.6</w:t>
            </w:r>
          </w:p>
        </w:tc>
      </w:tr>
      <w:tr>
        <w:tc>
          <w:tcPr>
            <w:tcW w:type="dxa" w:w="1563"/>
            <w:vAlign w:val="center"/>
          </w:tcPr>
          <w:p>
            <w:pPr>
              <w:spacing w:after="0" w:before="0" w:line="240" w:lineRule="auto"/>
            </w:pPr>
            <w:r>
              <w:rPr>
                <w:sz w:val="11"/>
              </w:rPr>
              <w:t>Metref</w:t>
            </w:r>
          </w:p>
        </w:tc>
        <w:tc>
          <w:tcPr>
            <w:tcW w:type="dxa" w:w="1563"/>
            <w:vAlign w:val="center"/>
          </w:tcPr>
          <w:p>
            <w:pPr>
              <w:spacing w:before="0" w:after="0" w:line="240" w:lineRule="auto"/>
            </w:pPr>
            <w:r>
              <w:rPr>
                <w:sz w:val="11"/>
              </w:rPr>
              <w:t>fastPLS SIMPLS/IRLBA</w:t>
              <w:br/>
              <w:t>(v0.99.25; deterministic)</w:t>
            </w:r>
          </w:p>
        </w:tc>
        <w:tc>
          <w:tcPr>
            <w:tcW w:type="dxa" w:w="1563"/>
            <w:vAlign w:val="center"/>
          </w:tcPr>
          <w:p>
            <w:pPr>
              <w:spacing w:after="0" w:before="0" w:line="240" w:lineRule="auto"/>
            </w:pPr>
            <w:r>
              <w:rPr>
                <w:sz w:val="11"/>
              </w:rPr>
              <w:t>77.00</w:t>
            </w:r>
          </w:p>
        </w:tc>
        <w:tc>
          <w:tcPr>
            <w:tcW w:type="dxa" w:w="1563"/>
            <w:vAlign w:val="center"/>
          </w:tcPr>
          <w:p>
            <w:pPr>
              <w:spacing w:after="0" w:before="0" w:line="240" w:lineRule="auto"/>
            </w:pPr>
            <w:r>
              <w:rPr>
                <w:sz w:val="11"/>
              </w:rPr>
              <w:t>0.019000</w:t>
            </w:r>
          </w:p>
        </w:tc>
        <w:tc>
          <w:tcPr>
            <w:tcW w:type="dxa" w:w="1563"/>
            <w:vAlign w:val="center"/>
          </w:tcPr>
          <w:p>
            <w:pPr>
              <w:spacing w:after="0" w:before="0" w:line="240" w:lineRule="auto"/>
            </w:pPr>
            <w:r>
              <w:rPr>
                <w:sz w:val="11"/>
              </w:rPr>
              <w:t>0.001000</w:t>
            </w:r>
          </w:p>
        </w:tc>
        <w:tc>
          <w:tcPr>
            <w:tcW w:type="dxa" w:w="1563"/>
            <w:vAlign w:val="center"/>
          </w:tcPr>
          <w:p>
            <w:pPr>
              <w:spacing w:after="0" w:before="0" w:line="240" w:lineRule="auto"/>
            </w:pPr>
            <w:r>
              <w:rPr>
                <w:sz w:val="11"/>
              </w:rPr>
              <w:t>190.2</w:t>
            </w:r>
          </w:p>
        </w:tc>
        <w:tc>
          <w:tcPr>
            <w:tcW w:type="dxa" w:w="1566"/>
            <w:vAlign w:val="center"/>
          </w:tcPr>
          <w:p>
            <w:pPr>
              <w:spacing w:after="0" w:before="0" w:line="240" w:lineRule="auto"/>
            </w:pPr>
            <w:r>
              <w:rPr>
                <w:sz w:val="11"/>
              </w:rPr>
              <w:t>3.7</w:t>
            </w:r>
          </w:p>
        </w:tc>
      </w:tr>
      <w:tr>
        <w:tc>
          <w:tcPr>
            <w:tcW w:type="dxa" w:w="1563"/>
            <w:vAlign w:val="center"/>
          </w:tcPr>
          <w:p>
            <w:pPr>
              <w:spacing w:after="0" w:before="0" w:line="240" w:lineRule="auto"/>
            </w:pPr>
            <w:r>
              <w:rPr>
                <w:sz w:val="11"/>
              </w:rPr>
              <w:t>Metref</w:t>
            </w:r>
          </w:p>
        </w:tc>
        <w:tc>
          <w:tcPr>
            <w:tcW w:type="dxa" w:w="1563"/>
            <w:vAlign w:val="center"/>
          </w:tcPr>
          <w:p>
            <w:pPr>
              <w:spacing w:before="0" w:after="0" w:line="240" w:lineRule="auto"/>
            </w:pPr>
            <w:r>
              <w:rPr>
                <w:sz w:val="11"/>
              </w:rPr>
              <w:t>fastPLS SIMPLS/rSVD</w:t>
              <w:br/>
              <w:t>(v0.99.25; os20/p2/s123; qualified)</w:t>
            </w:r>
          </w:p>
        </w:tc>
        <w:tc>
          <w:tcPr>
            <w:tcW w:type="dxa" w:w="1563"/>
            <w:vAlign w:val="center"/>
          </w:tcPr>
          <w:p>
            <w:pPr>
              <w:spacing w:after="0" w:before="0" w:line="240" w:lineRule="auto"/>
            </w:pPr>
            <w:r>
              <w:rPr>
                <w:sz w:val="11"/>
              </w:rPr>
              <w:t>77.00</w:t>
            </w:r>
          </w:p>
        </w:tc>
        <w:tc>
          <w:tcPr>
            <w:tcW w:type="dxa" w:w="1563"/>
            <w:vAlign w:val="center"/>
          </w:tcPr>
          <w:p>
            <w:pPr>
              <w:spacing w:after="0" w:before="0" w:line="240" w:lineRule="auto"/>
            </w:pPr>
            <w:r>
              <w:rPr>
                <w:sz w:val="11"/>
              </w:rPr>
              <w:t>0.033000</w:t>
            </w:r>
          </w:p>
        </w:tc>
        <w:tc>
          <w:tcPr>
            <w:tcW w:type="dxa" w:w="1563"/>
            <w:vAlign w:val="center"/>
          </w:tcPr>
          <w:p>
            <w:pPr>
              <w:spacing w:after="0" w:before="0" w:line="240" w:lineRule="auto"/>
            </w:pPr>
            <w:r>
              <w:rPr>
                <w:sz w:val="11"/>
              </w:rPr>
              <w:t>0.000500</w:t>
            </w:r>
          </w:p>
        </w:tc>
        <w:tc>
          <w:tcPr>
            <w:tcW w:type="dxa" w:w="1563"/>
            <w:vAlign w:val="center"/>
          </w:tcPr>
          <w:p>
            <w:pPr>
              <w:spacing w:after="0" w:before="0" w:line="240" w:lineRule="auto"/>
            </w:pPr>
            <w:r>
              <w:rPr>
                <w:sz w:val="11"/>
              </w:rPr>
              <w:t>189.0</w:t>
            </w:r>
          </w:p>
        </w:tc>
        <w:tc>
          <w:tcPr>
            <w:tcW w:type="dxa" w:w="1566"/>
            <w:vAlign w:val="center"/>
          </w:tcPr>
          <w:p>
            <w:pPr>
              <w:spacing w:after="0" w:before="0" w:line="240" w:lineRule="auto"/>
            </w:pPr>
            <w:r>
              <w:rPr>
                <w:sz w:val="11"/>
              </w:rPr>
              <w:t>5.2</w:t>
            </w:r>
          </w:p>
        </w:tc>
      </w:tr>
    </w:tbl>
    <w:p>
      <w:pPr>
        <w:pStyle w:val="BodyText"/>
      </w:pPr>
      <w:r>
        <w:t>Reproducibility. Archived CPU results are in benchmark_results/frozen_release_0.99.25/ikpls_cross_language_cpu/. The benchmark used fastPLS 0.99.25, IKPLS 6.1.2, float64, three fresh processes, and fixed component counts of 10 (Breast), 22 (MetRef), and 50 (CIFAR-100). The earlier JAX/CUDA development comparison was not reproducible from the archived environment and is not retained as central evidence.</w:t>
      </w:r>
    </w:p>
    <w:p>
      <w:pPr>
        <w:pStyle w:val="Heading2"/>
      </w:pPr>
      <w:r>
        <w:t>S15.2 Large-case float32 feasibility extension</w:t>
      </w:r>
    </w:p>
    <w:p>
      <w:r>
        <w:t>The extension used IKPLS 6.1.2, its public NumPy cross-product formulation, float32 input and arithmetic, one effective CPU thread, and no conversion time inside model timing. NMR had 1,200 training and 321 held-out rows, 13,000 predictors, and 28,355 responses. ImageNet had 1,000,000 training and 281,167 held-out rows, 1,024 predictors, and 1,000 classes. ImageNet predictors and centred one-hot responses were prepared as float32 arrays before fitting; held-out prediction was blocked. The float32 centring and one-hot preparation required 26.36 s and is reported separately. NMR runs used a 10-GiB virtual-memory guard so that structurally infeasible coefficient paths failed safely rather than exhausting the workstation. Each configuration was measured once and is therefore exploratory.</w:t>
      </w:r>
    </w:p>
    <w:p>
      <w:pPr>
        <w:pStyle w:val="Caption"/>
        <w:keepNext/>
        <w:pageBreakBefore/>
      </w:pPr>
      <w:r>
        <w:t>Table S10g. IKPLS 6.1.2 float32 feasibility on the NMR and ImageNet case studies. Time excludes external conversion and centring; ImageNet preprocessing required an additional 26.36 s. Peak RSS is absolute complete-process resident-set size. NMR at 50 components was not run because the retained coefficient tensor alone would require 68.66 GiB.</w:t>
      </w:r>
    </w:p>
    <w:tbl>
      <w:tblPr>
        <w:tblW w:type="auto" w:w="0"/>
        <w:tblLayout w:type="autofit"/>
        <w:tblLook w:firstColumn="1" w:firstRow="1" w:lastColumn="0" w:lastRow="0" w:noHBand="0" w:noVBand="1" w:val="04A0"/>
      </w:tblPr>
      <w:tblGrid>
        <w:gridCol w:w="1563"/>
        <w:gridCol w:w="1563"/>
        <w:gridCol w:w="1563"/>
        <w:gridCol w:w="1563"/>
        <w:gridCol w:w="1563"/>
        <w:gridCol w:w="1563"/>
        <w:gridCol w:w="1563"/>
      </w:tblGrid>
      <w:tr>
        <w:trPr>
          <w:tblHeader w:val="true"/>
        </w:trPr>
        <w:tc>
          <w:tcPr>
            <w:tcW w:type="dxa" w:w="1563"/>
            <w:vAlign w:val="center"/>
            <w:tcMar>
              <w:top w:w="70" w:type="dxa"/>
              <w:start w:w="80" w:type="dxa"/>
              <w:bottom w:w="70" w:type="dxa"/>
              <w:end w:w="80" w:type="dxa"/>
            </w:tcMar>
            <w:shd w:fill="D9EAF7"/>
          </w:tcPr>
          <w:p>
            <w:pPr>
              <w:spacing w:before="0" w:after="0"/>
              <w:jc w:val="center"/>
            </w:pPr>
            <w:r>
              <w:rPr>
                <w:rFonts w:ascii="Arial" w:hAnsi="Arial"/>
                <w:b/>
                <w:sz w:val="13"/>
              </w:rPr>
              <w:t>Dataset</w:t>
            </w:r>
          </w:p>
        </w:tc>
        <w:tc>
          <w:tcPr>
            <w:tcW w:type="dxa" w:w="1563"/>
            <w:vAlign w:val="center"/>
            <w:tcMar>
              <w:top w:w="70" w:type="dxa"/>
              <w:start w:w="80" w:type="dxa"/>
              <w:bottom w:w="70" w:type="dxa"/>
              <w:end w:w="80" w:type="dxa"/>
            </w:tcMar>
            <w:shd w:fill="D9EAF7"/>
          </w:tcPr>
          <w:p>
            <w:pPr>
              <w:spacing w:before="0" w:after="0"/>
              <w:jc w:val="center"/>
            </w:pPr>
            <w:r>
              <w:rPr>
                <w:rFonts w:ascii="Arial" w:hAnsi="Arial"/>
                <w:b/>
                <w:sz w:val="13"/>
              </w:rPr>
              <w:t>Components</w:t>
            </w:r>
          </w:p>
        </w:tc>
        <w:tc>
          <w:tcPr>
            <w:tcW w:type="dxa" w:w="1563"/>
            <w:vAlign w:val="center"/>
            <w:tcMar>
              <w:top w:w="70" w:type="dxa"/>
              <w:start w:w="80" w:type="dxa"/>
              <w:bottom w:w="70" w:type="dxa"/>
              <w:end w:w="80" w:type="dxa"/>
            </w:tcMar>
            <w:shd w:fill="D9EAF7"/>
          </w:tcPr>
          <w:p>
            <w:pPr>
              <w:spacing w:before="0" w:after="0"/>
              <w:jc w:val="center"/>
            </w:pPr>
            <w:r>
              <w:rPr>
                <w:rFonts w:ascii="Arial" w:hAnsi="Arial"/>
                <w:b/>
                <w:sz w:val="13"/>
              </w:rPr>
              <w:t>Status</w:t>
            </w:r>
          </w:p>
        </w:tc>
        <w:tc>
          <w:tcPr>
            <w:tcW w:type="dxa" w:w="1563"/>
            <w:vAlign w:val="center"/>
            <w:tcMar>
              <w:top w:w="70" w:type="dxa"/>
              <w:start w:w="80" w:type="dxa"/>
              <w:bottom w:w="70" w:type="dxa"/>
              <w:end w:w="80" w:type="dxa"/>
            </w:tcMar>
            <w:shd w:fill="D9EAF7"/>
          </w:tcPr>
          <w:p>
            <w:pPr>
              <w:spacing w:before="0" w:after="0"/>
              <w:jc w:val="center"/>
            </w:pPr>
            <w:r>
              <w:rPr>
                <w:rFonts w:ascii="Arial" w:hAnsi="Arial"/>
                <w:b/>
                <w:sz w:val="13"/>
              </w:rPr>
              <w:t>Fit (s)</w:t>
            </w:r>
          </w:p>
        </w:tc>
        <w:tc>
          <w:tcPr>
            <w:tcW w:type="dxa" w:w="1563"/>
            <w:vAlign w:val="center"/>
            <w:tcMar>
              <w:top w:w="70" w:type="dxa"/>
              <w:start w:w="80" w:type="dxa"/>
              <w:bottom w:w="70" w:type="dxa"/>
              <w:end w:w="80" w:type="dxa"/>
            </w:tcMar>
            <w:shd w:fill="D9EAF7"/>
          </w:tcPr>
          <w:p>
            <w:pPr>
              <w:spacing w:before="0" w:after="0"/>
              <w:jc w:val="center"/>
            </w:pPr>
            <w:r>
              <w:rPr>
                <w:rFonts w:ascii="Arial" w:hAnsi="Arial"/>
                <w:b/>
                <w:sz w:val="13"/>
              </w:rPr>
              <w:t>Predict (s)</w:t>
            </w:r>
          </w:p>
        </w:tc>
        <w:tc>
          <w:tcPr>
            <w:tcW w:type="dxa" w:w="1563"/>
            <w:vAlign w:val="center"/>
            <w:tcMar>
              <w:top w:w="70" w:type="dxa"/>
              <w:start w:w="80" w:type="dxa"/>
              <w:bottom w:w="70" w:type="dxa"/>
              <w:end w:w="80" w:type="dxa"/>
            </w:tcMar>
            <w:shd w:fill="D9EAF7"/>
          </w:tcPr>
          <w:p>
            <w:pPr>
              <w:spacing w:before="0" w:after="0"/>
              <w:jc w:val="center"/>
            </w:pPr>
            <w:r>
              <w:rPr>
                <w:rFonts w:ascii="Arial" w:hAnsi="Arial"/>
                <w:b/>
                <w:sz w:val="13"/>
              </w:rPr>
              <w:t>Metric</w:t>
            </w:r>
          </w:p>
        </w:tc>
        <w:tc>
          <w:tcPr>
            <w:tcW w:type="dxa" w:w="1563"/>
            <w:vAlign w:val="center"/>
            <w:tcMar>
              <w:top w:w="70" w:type="dxa"/>
              <w:start w:w="80" w:type="dxa"/>
              <w:bottom w:w="70" w:type="dxa"/>
              <w:end w:w="80" w:type="dxa"/>
            </w:tcMar>
            <w:shd w:fill="D9EAF7"/>
          </w:tcPr>
          <w:p>
            <w:pPr>
              <w:spacing w:before="0" w:after="0"/>
              <w:jc w:val="center"/>
            </w:pPr>
            <w:r>
              <w:rPr>
                <w:rFonts w:ascii="Arial" w:hAnsi="Arial"/>
                <w:b/>
                <w:sz w:val="13"/>
              </w:rPr>
              <w:t>Peak RSS (MiB)</w:t>
            </w:r>
          </w:p>
        </w:tc>
      </w:tr>
      <w:tr>
        <w:tc>
          <w:tcPr>
            <w:tcW w:type="dxa" w:w="1563"/>
            <w:vAlign w:val="center"/>
            <w:tcMar>
              <w:top w:w="70" w:type="dxa"/>
              <w:start w:w="80" w:type="dxa"/>
              <w:bottom w:w="70" w:type="dxa"/>
              <w:end w:w="80" w:type="dxa"/>
            </w:tcMar>
          </w:tcPr>
          <w:p>
            <w:pPr>
              <w:spacing w:before="0" w:after="0"/>
              <w:jc w:val="center"/>
            </w:pPr>
            <w:r>
              <w:rPr>
                <w:rFonts w:ascii="Arial" w:hAnsi="Arial"/>
                <w:sz w:val="13"/>
              </w:rPr>
              <w:t>NMR</w:t>
            </w:r>
          </w:p>
        </w:tc>
        <w:tc>
          <w:tcPr>
            <w:tcW w:type="dxa" w:w="1563"/>
            <w:vAlign w:val="center"/>
            <w:tcMar>
              <w:top w:w="70" w:type="dxa"/>
              <w:start w:w="80" w:type="dxa"/>
              <w:bottom w:w="70" w:type="dxa"/>
              <w:end w:w="80" w:type="dxa"/>
            </w:tcMar>
          </w:tcPr>
          <w:p>
            <w:pPr>
              <w:spacing w:before="0" w:after="0"/>
              <w:jc w:val="center"/>
            </w:pPr>
            <w:r>
              <w:rPr>
                <w:rFonts w:ascii="Arial" w:hAnsi="Arial"/>
                <w:sz w:val="13"/>
              </w:rPr>
              <w:t>1</w:t>
            </w:r>
          </w:p>
        </w:tc>
        <w:tc>
          <w:tcPr>
            <w:tcW w:type="dxa" w:w="1563"/>
            <w:vAlign w:val="center"/>
            <w:tcMar>
              <w:top w:w="70" w:type="dxa"/>
              <w:start w:w="80" w:type="dxa"/>
              <w:bottom w:w="70" w:type="dxa"/>
              <w:end w:w="80" w:type="dxa"/>
            </w:tcMar>
          </w:tcPr>
          <w:p>
            <w:pPr>
              <w:spacing w:before="0" w:after="0"/>
              <w:jc w:val="center"/>
            </w:pPr>
            <w:r>
              <w:rPr>
                <w:rFonts w:ascii="Arial" w:hAnsi="Arial"/>
                <w:sz w:val="13"/>
              </w:rPr>
              <w:t>Degenerate</w:t>
            </w:r>
          </w:p>
        </w:tc>
        <w:tc>
          <w:tcPr>
            <w:tcW w:type="dxa" w:w="1563"/>
            <w:vAlign w:val="center"/>
            <w:tcMar>
              <w:top w:w="70" w:type="dxa"/>
              <w:start w:w="80" w:type="dxa"/>
              <w:bottom w:w="70" w:type="dxa"/>
              <w:end w:w="80" w:type="dxa"/>
            </w:tcMar>
          </w:tcPr>
          <w:p>
            <w:pPr>
              <w:spacing w:before="0" w:after="0"/>
              <w:jc w:val="center"/>
            </w:pPr>
            <w:r>
              <w:rPr>
                <w:rFonts w:ascii="Arial" w:hAnsi="Arial"/>
                <w:sz w:val="13"/>
              </w:rPr>
              <w:t>53.13</w:t>
            </w:r>
          </w:p>
        </w:tc>
        <w:tc>
          <w:tcPr>
            <w:tcW w:type="dxa" w:w="1563"/>
            <w:vAlign w:val="center"/>
            <w:tcMar>
              <w:top w:w="70" w:type="dxa"/>
              <w:start w:w="80" w:type="dxa"/>
              <w:bottom w:w="70" w:type="dxa"/>
              <w:end w:w="80" w:type="dxa"/>
            </w:tcMar>
          </w:tcPr>
          <w:p>
            <w:pPr>
              <w:spacing w:before="0" w:after="0"/>
              <w:jc w:val="center"/>
            </w:pPr>
            <w:r>
              <w:rPr>
                <w:rFonts w:ascii="Arial" w:hAnsi="Arial"/>
                <w:sz w:val="13"/>
              </w:rPr>
              <w:t>3.45</w:t>
            </w:r>
          </w:p>
        </w:tc>
        <w:tc>
          <w:tcPr>
            <w:tcW w:type="dxa" w:w="1563"/>
            <w:vAlign w:val="center"/>
            <w:tcMar>
              <w:top w:w="70" w:type="dxa"/>
              <w:start w:w="80" w:type="dxa"/>
              <w:bottom w:w="70" w:type="dxa"/>
              <w:end w:w="80" w:type="dxa"/>
            </w:tcMar>
          </w:tcPr>
          <w:p>
            <w:pPr>
              <w:spacing w:before="0" w:after="0"/>
              <w:jc w:val="center"/>
            </w:pPr>
            <w:r>
              <w:rPr>
                <w:rFonts w:ascii="Arial" w:hAnsi="Arial"/>
                <w:sz w:val="13"/>
              </w:rPr>
              <w:t>RMSD 0.002113</w:t>
            </w:r>
          </w:p>
        </w:tc>
        <w:tc>
          <w:tcPr>
            <w:tcW w:type="dxa" w:w="1563"/>
            <w:vAlign w:val="center"/>
            <w:tcMar>
              <w:top w:w="70" w:type="dxa"/>
              <w:start w:w="80" w:type="dxa"/>
              <w:bottom w:w="70" w:type="dxa"/>
              <w:end w:w="80" w:type="dxa"/>
            </w:tcMar>
          </w:tcPr>
          <w:p>
            <w:pPr>
              <w:spacing w:before="0" w:after="0"/>
              <w:jc w:val="center"/>
            </w:pPr>
            <w:r>
              <w:rPr>
                <w:rFonts w:ascii="Arial" w:hAnsi="Arial"/>
                <w:sz w:val="13"/>
              </w:rPr>
              <w:t>4,281</w:t>
            </w:r>
          </w:p>
        </w:tc>
      </w:tr>
      <w:tr>
        <w:tc>
          <w:tcPr>
            <w:tcW w:type="dxa" w:w="1563"/>
            <w:vAlign w:val="center"/>
            <w:tcMar>
              <w:top w:w="70" w:type="dxa"/>
              <w:start w:w="80" w:type="dxa"/>
              <w:bottom w:w="70" w:type="dxa"/>
              <w:end w:w="80" w:type="dxa"/>
            </w:tcMar>
          </w:tcPr>
          <w:p>
            <w:pPr>
              <w:spacing w:before="0" w:after="0"/>
              <w:jc w:val="center"/>
            </w:pPr>
            <w:r>
              <w:rPr>
                <w:rFonts w:ascii="Arial" w:hAnsi="Arial"/>
                <w:sz w:val="13"/>
              </w:rPr>
              <w:t>NMR</w:t>
            </w:r>
          </w:p>
        </w:tc>
        <w:tc>
          <w:tcPr>
            <w:tcW w:type="dxa" w:w="1563"/>
            <w:vAlign w:val="center"/>
            <w:tcMar>
              <w:top w:w="70" w:type="dxa"/>
              <w:start w:w="80" w:type="dxa"/>
              <w:bottom w:w="70" w:type="dxa"/>
              <w:end w:w="80" w:type="dxa"/>
            </w:tcMar>
          </w:tcPr>
          <w:p>
            <w:pPr>
              <w:spacing w:before="0" w:after="0"/>
              <w:jc w:val="center"/>
            </w:pPr>
            <w:r>
              <w:rPr>
                <w:rFonts w:ascii="Arial" w:hAnsi="Arial"/>
                <w:sz w:val="13"/>
              </w:rPr>
              <w:t>5</w:t>
            </w:r>
          </w:p>
        </w:tc>
        <w:tc>
          <w:tcPr>
            <w:tcW w:type="dxa" w:w="1563"/>
            <w:vAlign w:val="center"/>
            <w:tcMar>
              <w:top w:w="70" w:type="dxa"/>
              <w:start w:w="80" w:type="dxa"/>
              <w:bottom w:w="70" w:type="dxa"/>
              <w:end w:w="80" w:type="dxa"/>
            </w:tcMar>
          </w:tcPr>
          <w:p>
            <w:pPr>
              <w:spacing w:before="0" w:after="0"/>
              <w:jc w:val="center"/>
            </w:pPr>
            <w:r>
              <w:rPr>
                <w:rFonts w:ascii="Arial" w:hAnsi="Arial"/>
                <w:sz w:val="13"/>
              </w:rPr>
              <w:t>Memory guard</w:t>
            </w:r>
          </w:p>
        </w:tc>
        <w:tc>
          <w:tcPr>
            <w:tcW w:type="dxa" w:w="1563"/>
            <w:vAlign w:val="center"/>
            <w:tcMar>
              <w:top w:w="70" w:type="dxa"/>
              <w:start w:w="80" w:type="dxa"/>
              <w:bottom w:w="70" w:type="dxa"/>
              <w:end w:w="80" w:type="dxa"/>
            </w:tcMar>
          </w:tcPr>
          <w:p>
            <w:pPr>
              <w:spacing w:before="0" w:after="0"/>
              <w:jc w:val="center"/>
            </w:pPr>
            <w:r>
              <w:rPr>
                <w:rFonts w:ascii="Arial" w:hAnsi="Arial"/>
                <w:sz w:val="13"/>
              </w:rPr>
              <w:t>-</w:t>
            </w:r>
          </w:p>
        </w:tc>
        <w:tc>
          <w:tcPr>
            <w:tcW w:type="dxa" w:w="1563"/>
            <w:vAlign w:val="center"/>
            <w:tcMar>
              <w:top w:w="70" w:type="dxa"/>
              <w:start w:w="80" w:type="dxa"/>
              <w:bottom w:w="70" w:type="dxa"/>
              <w:end w:w="80" w:type="dxa"/>
            </w:tcMar>
          </w:tcPr>
          <w:p>
            <w:pPr>
              <w:spacing w:before="0" w:after="0"/>
              <w:jc w:val="center"/>
            </w:pPr>
            <w:r>
              <w:rPr>
                <w:rFonts w:ascii="Arial" w:hAnsi="Arial"/>
                <w:sz w:val="13"/>
              </w:rPr>
              <w:t>-</w:t>
            </w:r>
          </w:p>
        </w:tc>
        <w:tc>
          <w:tcPr>
            <w:tcW w:type="dxa" w:w="1563"/>
            <w:vAlign w:val="center"/>
            <w:tcMar>
              <w:top w:w="70" w:type="dxa"/>
              <w:start w:w="80" w:type="dxa"/>
              <w:bottom w:w="70" w:type="dxa"/>
              <w:end w:w="80" w:type="dxa"/>
            </w:tcMar>
          </w:tcPr>
          <w:p>
            <w:pPr>
              <w:spacing w:before="0" w:after="0"/>
              <w:jc w:val="center"/>
            </w:pPr>
            <w:r>
              <w:rPr>
                <w:rFonts w:ascii="Arial" w:hAnsi="Arial"/>
                <w:sz w:val="13"/>
              </w:rPr>
              <w:t>Not estimated</w:t>
            </w:r>
          </w:p>
        </w:tc>
        <w:tc>
          <w:tcPr>
            <w:tcW w:type="dxa" w:w="1563"/>
            <w:vAlign w:val="center"/>
            <w:tcMar>
              <w:top w:w="70" w:type="dxa"/>
              <w:start w:w="80" w:type="dxa"/>
              <w:bottom w:w="70" w:type="dxa"/>
              <w:end w:w="80" w:type="dxa"/>
            </w:tcMar>
          </w:tcPr>
          <w:p>
            <w:pPr>
              <w:spacing w:before="0" w:after="0"/>
              <w:jc w:val="center"/>
            </w:pPr>
            <w:r>
              <w:rPr>
                <w:rFonts w:ascii="Arial" w:hAnsi="Arial"/>
                <w:sz w:val="13"/>
              </w:rPr>
              <w:t>-</w:t>
            </w:r>
          </w:p>
        </w:tc>
      </w:tr>
      <w:tr>
        <w:tc>
          <w:tcPr>
            <w:tcW w:type="dxa" w:w="1563"/>
            <w:vAlign w:val="center"/>
            <w:tcMar>
              <w:top w:w="70" w:type="dxa"/>
              <w:start w:w="80" w:type="dxa"/>
              <w:bottom w:w="70" w:type="dxa"/>
              <w:end w:w="80" w:type="dxa"/>
            </w:tcMar>
          </w:tcPr>
          <w:p>
            <w:pPr>
              <w:spacing w:before="0" w:after="0"/>
              <w:jc w:val="center"/>
            </w:pPr>
            <w:r>
              <w:rPr>
                <w:rFonts w:ascii="Arial" w:hAnsi="Arial"/>
                <w:sz w:val="13"/>
              </w:rPr>
              <w:t>NMR</w:t>
            </w:r>
          </w:p>
        </w:tc>
        <w:tc>
          <w:tcPr>
            <w:tcW w:type="dxa" w:w="1563"/>
            <w:vAlign w:val="center"/>
            <w:tcMar>
              <w:top w:w="70" w:type="dxa"/>
              <w:start w:w="80" w:type="dxa"/>
              <w:bottom w:w="70" w:type="dxa"/>
              <w:end w:w="80" w:type="dxa"/>
            </w:tcMar>
          </w:tcPr>
          <w:p>
            <w:pPr>
              <w:spacing w:before="0" w:after="0"/>
              <w:jc w:val="center"/>
            </w:pPr>
            <w:r>
              <w:rPr>
                <w:rFonts w:ascii="Arial" w:hAnsi="Arial"/>
                <w:sz w:val="13"/>
              </w:rPr>
              <w:t>50</w:t>
            </w:r>
          </w:p>
        </w:tc>
        <w:tc>
          <w:tcPr>
            <w:tcW w:type="dxa" w:w="1563"/>
            <w:vAlign w:val="center"/>
            <w:tcMar>
              <w:top w:w="70" w:type="dxa"/>
              <w:start w:w="80" w:type="dxa"/>
              <w:bottom w:w="70" w:type="dxa"/>
              <w:end w:w="80" w:type="dxa"/>
            </w:tcMar>
          </w:tcPr>
          <w:p>
            <w:pPr>
              <w:spacing w:before="0" w:after="0"/>
              <w:jc w:val="center"/>
            </w:pPr>
            <w:r>
              <w:rPr>
                <w:rFonts w:ascii="Arial" w:hAnsi="Arial"/>
                <w:sz w:val="13"/>
              </w:rPr>
              <w:t>Not run</w:t>
            </w:r>
          </w:p>
        </w:tc>
        <w:tc>
          <w:tcPr>
            <w:tcW w:type="dxa" w:w="1563"/>
            <w:vAlign w:val="center"/>
            <w:tcMar>
              <w:top w:w="70" w:type="dxa"/>
              <w:start w:w="80" w:type="dxa"/>
              <w:bottom w:w="70" w:type="dxa"/>
              <w:end w:w="80" w:type="dxa"/>
            </w:tcMar>
          </w:tcPr>
          <w:p>
            <w:pPr>
              <w:spacing w:before="0" w:after="0"/>
              <w:jc w:val="center"/>
            </w:pPr>
            <w:r>
              <w:rPr>
                <w:rFonts w:ascii="Arial" w:hAnsi="Arial"/>
                <w:sz w:val="13"/>
              </w:rPr>
              <w:t>-</w:t>
            </w:r>
          </w:p>
        </w:tc>
        <w:tc>
          <w:tcPr>
            <w:tcW w:type="dxa" w:w="1563"/>
            <w:vAlign w:val="center"/>
            <w:tcMar>
              <w:top w:w="70" w:type="dxa"/>
              <w:start w:w="80" w:type="dxa"/>
              <w:bottom w:w="70" w:type="dxa"/>
              <w:end w:w="80" w:type="dxa"/>
            </w:tcMar>
          </w:tcPr>
          <w:p>
            <w:pPr>
              <w:spacing w:before="0" w:after="0"/>
              <w:jc w:val="center"/>
            </w:pPr>
            <w:r>
              <w:rPr>
                <w:rFonts w:ascii="Arial" w:hAnsi="Arial"/>
                <w:sz w:val="13"/>
              </w:rPr>
              <w:t>-</w:t>
            </w:r>
          </w:p>
        </w:tc>
        <w:tc>
          <w:tcPr>
            <w:tcW w:type="dxa" w:w="1563"/>
            <w:vAlign w:val="center"/>
            <w:tcMar>
              <w:top w:w="70" w:type="dxa"/>
              <w:start w:w="80" w:type="dxa"/>
              <w:bottom w:w="70" w:type="dxa"/>
              <w:end w:w="80" w:type="dxa"/>
            </w:tcMar>
          </w:tcPr>
          <w:p>
            <w:pPr>
              <w:spacing w:before="0" w:after="0"/>
              <w:jc w:val="center"/>
            </w:pPr>
            <w:r>
              <w:rPr>
                <w:rFonts w:ascii="Arial" w:hAnsi="Arial"/>
                <w:sz w:val="13"/>
              </w:rPr>
              <w:t>B tensor 68.66 GiB</w:t>
            </w:r>
          </w:p>
        </w:tc>
        <w:tc>
          <w:tcPr>
            <w:tcW w:type="dxa" w:w="1563"/>
            <w:vAlign w:val="center"/>
            <w:tcMar>
              <w:top w:w="70" w:type="dxa"/>
              <w:start w:w="80" w:type="dxa"/>
              <w:bottom w:w="70" w:type="dxa"/>
              <w:end w:w="80" w:type="dxa"/>
            </w:tcMar>
          </w:tcPr>
          <w:p>
            <w:pPr>
              <w:spacing w:before="0" w:after="0"/>
              <w:jc w:val="center"/>
            </w:pPr>
            <w:r>
              <w:rPr>
                <w:rFonts w:ascii="Arial" w:hAnsi="Arial"/>
                <w:sz w:val="13"/>
              </w:rPr>
              <w:t>-</w:t>
            </w:r>
          </w:p>
        </w:tc>
      </w:tr>
      <w:tr>
        <w:tc>
          <w:tcPr>
            <w:tcW w:type="dxa" w:w="1563"/>
            <w:vAlign w:val="center"/>
            <w:tcMar>
              <w:top w:w="70" w:type="dxa"/>
              <w:start w:w="80" w:type="dxa"/>
              <w:bottom w:w="70" w:type="dxa"/>
              <w:end w:w="80" w:type="dxa"/>
            </w:tcMar>
          </w:tcPr>
          <w:p>
            <w:pPr>
              <w:spacing w:before="0" w:after="0"/>
              <w:jc w:val="center"/>
            </w:pPr>
            <w:r>
              <w:rPr>
                <w:rFonts w:ascii="Arial" w:hAnsi="Arial"/>
                <w:sz w:val="13"/>
              </w:rPr>
              <w:t>ImageNet</w:t>
            </w:r>
          </w:p>
        </w:tc>
        <w:tc>
          <w:tcPr>
            <w:tcW w:type="dxa" w:w="1563"/>
            <w:vAlign w:val="center"/>
            <w:tcMar>
              <w:top w:w="70" w:type="dxa"/>
              <w:start w:w="80" w:type="dxa"/>
              <w:bottom w:w="70" w:type="dxa"/>
              <w:end w:w="80" w:type="dxa"/>
            </w:tcMar>
          </w:tcPr>
          <w:p>
            <w:pPr>
              <w:spacing w:before="0" w:after="0"/>
              <w:jc w:val="center"/>
            </w:pPr>
            <w:r>
              <w:rPr>
                <w:rFonts w:ascii="Arial" w:hAnsi="Arial"/>
                <w:sz w:val="13"/>
              </w:rPr>
              <w:t>100</w:t>
            </w:r>
          </w:p>
        </w:tc>
        <w:tc>
          <w:tcPr>
            <w:tcW w:type="dxa" w:w="1563"/>
            <w:vAlign w:val="center"/>
            <w:tcMar>
              <w:top w:w="70" w:type="dxa"/>
              <w:start w:w="80" w:type="dxa"/>
              <w:bottom w:w="70" w:type="dxa"/>
              <w:end w:w="80" w:type="dxa"/>
            </w:tcMar>
          </w:tcPr>
          <w:p>
            <w:pPr>
              <w:spacing w:before="0" w:after="0"/>
              <w:jc w:val="center"/>
            </w:pPr>
            <w:r>
              <w:rPr>
                <w:rFonts w:ascii="Arial" w:hAnsi="Arial"/>
                <w:sz w:val="13"/>
              </w:rPr>
              <w:t>Success</w:t>
            </w:r>
          </w:p>
        </w:tc>
        <w:tc>
          <w:tcPr>
            <w:tcW w:type="dxa" w:w="1563"/>
            <w:vAlign w:val="center"/>
            <w:tcMar>
              <w:top w:w="70" w:type="dxa"/>
              <w:start w:w="80" w:type="dxa"/>
              <w:bottom w:w="70" w:type="dxa"/>
              <w:end w:w="80" w:type="dxa"/>
            </w:tcMar>
          </w:tcPr>
          <w:p>
            <w:pPr>
              <w:spacing w:before="0" w:after="0"/>
              <w:jc w:val="center"/>
            </w:pPr>
            <w:r>
              <w:rPr>
                <w:rFonts w:ascii="Arial" w:hAnsi="Arial"/>
                <w:sz w:val="13"/>
              </w:rPr>
              <w:t>43.98</w:t>
            </w:r>
          </w:p>
        </w:tc>
        <w:tc>
          <w:tcPr>
            <w:tcW w:type="dxa" w:w="1563"/>
            <w:vAlign w:val="center"/>
            <w:tcMar>
              <w:top w:w="70" w:type="dxa"/>
              <w:start w:w="80" w:type="dxa"/>
              <w:bottom w:w="70" w:type="dxa"/>
              <w:end w:w="80" w:type="dxa"/>
            </w:tcMar>
          </w:tcPr>
          <w:p>
            <w:pPr>
              <w:spacing w:before="0" w:after="0"/>
              <w:jc w:val="center"/>
            </w:pPr>
            <w:r>
              <w:rPr>
                <w:rFonts w:ascii="Arial" w:hAnsi="Arial"/>
                <w:sz w:val="13"/>
              </w:rPr>
              <w:t>8.69</w:t>
            </w:r>
          </w:p>
        </w:tc>
        <w:tc>
          <w:tcPr>
            <w:tcW w:type="dxa" w:w="1563"/>
            <w:vAlign w:val="center"/>
            <w:tcMar>
              <w:top w:w="70" w:type="dxa"/>
              <w:start w:w="80" w:type="dxa"/>
              <w:bottom w:w="70" w:type="dxa"/>
              <w:end w:w="80" w:type="dxa"/>
            </w:tcMar>
          </w:tcPr>
          <w:p>
            <w:pPr>
              <w:spacing w:before="0" w:after="0"/>
              <w:jc w:val="center"/>
            </w:pPr>
            <w:r>
              <w:rPr>
                <w:rFonts w:ascii="Arial" w:hAnsi="Arial"/>
                <w:sz w:val="13"/>
              </w:rPr>
              <w:t>Top-1 62.91%; top-5 86.40%</w:t>
            </w:r>
          </w:p>
        </w:tc>
        <w:tc>
          <w:tcPr>
            <w:tcW w:type="dxa" w:w="1563"/>
            <w:vAlign w:val="center"/>
            <w:tcMar>
              <w:top w:w="70" w:type="dxa"/>
              <w:start w:w="80" w:type="dxa"/>
              <w:bottom w:w="70" w:type="dxa"/>
              <w:end w:w="80" w:type="dxa"/>
            </w:tcMar>
          </w:tcPr>
          <w:p>
            <w:pPr>
              <w:spacing w:before="0" w:after="0"/>
              <w:jc w:val="center"/>
            </w:pPr>
            <w:r>
              <w:rPr>
                <w:rFonts w:ascii="Arial" w:hAnsi="Arial"/>
                <w:sz w:val="13"/>
              </w:rPr>
              <w:t>8,239</w:t>
            </w:r>
          </w:p>
        </w:tc>
      </w:tr>
      <w:tr>
        <w:tc>
          <w:tcPr>
            <w:tcW w:type="dxa" w:w="1563"/>
            <w:vAlign w:val="center"/>
            <w:tcMar>
              <w:top w:w="70" w:type="dxa"/>
              <w:start w:w="80" w:type="dxa"/>
              <w:bottom w:w="70" w:type="dxa"/>
              <w:end w:w="80" w:type="dxa"/>
            </w:tcMar>
          </w:tcPr>
          <w:p>
            <w:pPr>
              <w:spacing w:before="0" w:after="0"/>
              <w:jc w:val="center"/>
            </w:pPr>
            <w:r>
              <w:rPr>
                <w:rFonts w:ascii="Arial" w:hAnsi="Arial"/>
                <w:sz w:val="13"/>
              </w:rPr>
              <w:t>ImageNet</w:t>
            </w:r>
          </w:p>
        </w:tc>
        <w:tc>
          <w:tcPr>
            <w:tcW w:type="dxa" w:w="1563"/>
            <w:vAlign w:val="center"/>
            <w:tcMar>
              <w:top w:w="70" w:type="dxa"/>
              <w:start w:w="80" w:type="dxa"/>
              <w:bottom w:w="70" w:type="dxa"/>
              <w:end w:w="80" w:type="dxa"/>
            </w:tcMar>
          </w:tcPr>
          <w:p>
            <w:pPr>
              <w:spacing w:before="0" w:after="0"/>
              <w:jc w:val="center"/>
            </w:pPr>
            <w:r>
              <w:rPr>
                <w:rFonts w:ascii="Arial" w:hAnsi="Arial"/>
                <w:sz w:val="13"/>
              </w:rPr>
              <w:t>200</w:t>
            </w:r>
          </w:p>
        </w:tc>
        <w:tc>
          <w:tcPr>
            <w:tcW w:type="dxa" w:w="1563"/>
            <w:vAlign w:val="center"/>
            <w:tcMar>
              <w:top w:w="70" w:type="dxa"/>
              <w:start w:w="80" w:type="dxa"/>
              <w:bottom w:w="70" w:type="dxa"/>
              <w:end w:w="80" w:type="dxa"/>
            </w:tcMar>
          </w:tcPr>
          <w:p>
            <w:pPr>
              <w:spacing w:before="0" w:after="0"/>
              <w:jc w:val="center"/>
            </w:pPr>
            <w:r>
              <w:rPr>
                <w:rFonts w:ascii="Arial" w:hAnsi="Arial"/>
                <w:sz w:val="13"/>
              </w:rPr>
              <w:t>Success</w:t>
            </w:r>
          </w:p>
        </w:tc>
        <w:tc>
          <w:tcPr>
            <w:tcW w:type="dxa" w:w="1563"/>
            <w:vAlign w:val="center"/>
            <w:tcMar>
              <w:top w:w="70" w:type="dxa"/>
              <w:start w:w="80" w:type="dxa"/>
              <w:bottom w:w="70" w:type="dxa"/>
              <w:end w:w="80" w:type="dxa"/>
            </w:tcMar>
          </w:tcPr>
          <w:p>
            <w:pPr>
              <w:spacing w:before="0" w:after="0"/>
              <w:jc w:val="center"/>
            </w:pPr>
            <w:r>
              <w:rPr>
                <w:rFonts w:ascii="Arial" w:hAnsi="Arial"/>
                <w:sz w:val="13"/>
              </w:rPr>
              <w:t>62.21</w:t>
            </w:r>
          </w:p>
        </w:tc>
        <w:tc>
          <w:tcPr>
            <w:tcW w:type="dxa" w:w="1563"/>
            <w:vAlign w:val="center"/>
            <w:tcMar>
              <w:top w:w="70" w:type="dxa"/>
              <w:start w:w="80" w:type="dxa"/>
              <w:bottom w:w="70" w:type="dxa"/>
              <w:end w:w="80" w:type="dxa"/>
            </w:tcMar>
          </w:tcPr>
          <w:p>
            <w:pPr>
              <w:spacing w:before="0" w:after="0"/>
              <w:jc w:val="center"/>
            </w:pPr>
            <w:r>
              <w:rPr>
                <w:rFonts w:ascii="Arial" w:hAnsi="Arial"/>
                <w:sz w:val="13"/>
              </w:rPr>
              <w:t>6.19</w:t>
            </w:r>
          </w:p>
        </w:tc>
        <w:tc>
          <w:tcPr>
            <w:tcW w:type="dxa" w:w="1563"/>
            <w:vAlign w:val="center"/>
            <w:tcMar>
              <w:top w:w="70" w:type="dxa"/>
              <w:start w:w="80" w:type="dxa"/>
              <w:bottom w:w="70" w:type="dxa"/>
              <w:end w:w="80" w:type="dxa"/>
            </w:tcMar>
          </w:tcPr>
          <w:p>
            <w:pPr>
              <w:spacing w:before="0" w:after="0"/>
              <w:jc w:val="center"/>
            </w:pPr>
            <w:r>
              <w:rPr>
                <w:rFonts w:ascii="Arial" w:hAnsi="Arial"/>
                <w:sz w:val="13"/>
              </w:rPr>
              <w:t>Top-1 70.22%; top-5 91.36%</w:t>
            </w:r>
          </w:p>
        </w:tc>
        <w:tc>
          <w:tcPr>
            <w:tcW w:type="dxa" w:w="1563"/>
            <w:vAlign w:val="center"/>
            <w:tcMar>
              <w:top w:w="70" w:type="dxa"/>
              <w:start w:w="80" w:type="dxa"/>
              <w:bottom w:w="70" w:type="dxa"/>
              <w:end w:w="80" w:type="dxa"/>
            </w:tcMar>
          </w:tcPr>
          <w:p>
            <w:pPr>
              <w:spacing w:before="0" w:after="0"/>
              <w:jc w:val="center"/>
            </w:pPr>
            <w:r>
              <w:rPr>
                <w:rFonts w:ascii="Arial" w:hAnsi="Arial"/>
                <w:sz w:val="13"/>
              </w:rPr>
              <w:t>8,634</w:t>
            </w:r>
          </w:p>
        </w:tc>
      </w:tr>
      <w:tr>
        <w:tc>
          <w:tcPr>
            <w:tcW w:type="dxa" w:w="1563"/>
            <w:vAlign w:val="center"/>
            <w:tcMar>
              <w:top w:w="70" w:type="dxa"/>
              <w:start w:w="80" w:type="dxa"/>
              <w:bottom w:w="70" w:type="dxa"/>
              <w:end w:w="80" w:type="dxa"/>
            </w:tcMar>
          </w:tcPr>
          <w:p>
            <w:pPr>
              <w:spacing w:before="0" w:after="0"/>
              <w:jc w:val="center"/>
            </w:pPr>
            <w:r>
              <w:rPr>
                <w:rFonts w:ascii="Arial" w:hAnsi="Arial"/>
                <w:sz w:val="13"/>
              </w:rPr>
              <w:t>ImageNet</w:t>
            </w:r>
          </w:p>
        </w:tc>
        <w:tc>
          <w:tcPr>
            <w:tcW w:type="dxa" w:w="1563"/>
            <w:vAlign w:val="center"/>
            <w:tcMar>
              <w:top w:w="70" w:type="dxa"/>
              <w:start w:w="80" w:type="dxa"/>
              <w:bottom w:w="70" w:type="dxa"/>
              <w:end w:w="80" w:type="dxa"/>
            </w:tcMar>
          </w:tcPr>
          <w:p>
            <w:pPr>
              <w:spacing w:before="0" w:after="0"/>
              <w:jc w:val="center"/>
            </w:pPr>
            <w:r>
              <w:rPr>
                <w:rFonts w:ascii="Arial" w:hAnsi="Arial"/>
                <w:sz w:val="13"/>
              </w:rPr>
              <w:t>500</w:t>
            </w:r>
          </w:p>
        </w:tc>
        <w:tc>
          <w:tcPr>
            <w:tcW w:type="dxa" w:w="1563"/>
            <w:vAlign w:val="center"/>
            <w:tcMar>
              <w:top w:w="70" w:type="dxa"/>
              <w:start w:w="80" w:type="dxa"/>
              <w:bottom w:w="70" w:type="dxa"/>
              <w:end w:w="80" w:type="dxa"/>
            </w:tcMar>
          </w:tcPr>
          <w:p>
            <w:pPr>
              <w:spacing w:before="0" w:after="0"/>
              <w:jc w:val="center"/>
            </w:pPr>
            <w:r>
              <w:rPr>
                <w:rFonts w:ascii="Arial" w:hAnsi="Arial"/>
                <w:sz w:val="13"/>
              </w:rPr>
              <w:t>Success</w:t>
            </w:r>
          </w:p>
        </w:tc>
        <w:tc>
          <w:tcPr>
            <w:tcW w:type="dxa" w:w="1563"/>
            <w:vAlign w:val="center"/>
            <w:tcMar>
              <w:top w:w="70" w:type="dxa"/>
              <w:start w:w="80" w:type="dxa"/>
              <w:bottom w:w="70" w:type="dxa"/>
              <w:end w:w="80" w:type="dxa"/>
            </w:tcMar>
          </w:tcPr>
          <w:p>
            <w:pPr>
              <w:spacing w:before="0" w:after="0"/>
              <w:jc w:val="center"/>
            </w:pPr>
            <w:r>
              <w:rPr>
                <w:rFonts w:ascii="Arial" w:hAnsi="Arial"/>
                <w:sz w:val="13"/>
              </w:rPr>
              <w:t>109.93</w:t>
            </w:r>
          </w:p>
        </w:tc>
        <w:tc>
          <w:tcPr>
            <w:tcW w:type="dxa" w:w="1563"/>
            <w:vAlign w:val="center"/>
            <w:tcMar>
              <w:top w:w="70" w:type="dxa"/>
              <w:start w:w="80" w:type="dxa"/>
              <w:bottom w:w="70" w:type="dxa"/>
              <w:end w:w="80" w:type="dxa"/>
            </w:tcMar>
          </w:tcPr>
          <w:p>
            <w:pPr>
              <w:spacing w:before="0" w:after="0"/>
              <w:jc w:val="center"/>
            </w:pPr>
            <w:r>
              <w:rPr>
                <w:rFonts w:ascii="Arial" w:hAnsi="Arial"/>
                <w:sz w:val="13"/>
              </w:rPr>
              <w:t>7.16</w:t>
            </w:r>
          </w:p>
        </w:tc>
        <w:tc>
          <w:tcPr>
            <w:tcW w:type="dxa" w:w="1563"/>
            <w:vAlign w:val="center"/>
            <w:tcMar>
              <w:top w:w="70" w:type="dxa"/>
              <w:start w:w="80" w:type="dxa"/>
              <w:bottom w:w="70" w:type="dxa"/>
              <w:end w:w="80" w:type="dxa"/>
            </w:tcMar>
          </w:tcPr>
          <w:p>
            <w:pPr>
              <w:spacing w:before="0" w:after="0"/>
              <w:jc w:val="center"/>
            </w:pPr>
            <w:r>
              <w:rPr>
                <w:rFonts w:ascii="Arial" w:hAnsi="Arial"/>
                <w:sz w:val="13"/>
              </w:rPr>
              <w:t>Top-1 76.61%; top-5 94.64%</w:t>
            </w:r>
          </w:p>
        </w:tc>
        <w:tc>
          <w:tcPr>
            <w:tcW w:type="dxa" w:w="1563"/>
            <w:vAlign w:val="center"/>
            <w:tcMar>
              <w:top w:w="70" w:type="dxa"/>
              <w:start w:w="80" w:type="dxa"/>
              <w:bottom w:w="70" w:type="dxa"/>
              <w:end w:w="80" w:type="dxa"/>
            </w:tcMar>
          </w:tcPr>
          <w:p>
            <w:pPr>
              <w:spacing w:before="0" w:after="0"/>
              <w:jc w:val="center"/>
            </w:pPr>
            <w:r>
              <w:rPr>
                <w:rFonts w:ascii="Arial" w:hAnsi="Arial"/>
                <w:sz w:val="13"/>
              </w:rPr>
              <w:t>9,783</w:t>
            </w:r>
          </w:p>
        </w:tc>
      </w:tr>
      <w:tr>
        <w:tc>
          <w:tcPr>
            <w:tcW w:type="dxa" w:w="1563"/>
            <w:vAlign w:val="center"/>
            <w:tcMar>
              <w:top w:w="70" w:type="dxa"/>
              <w:start w:w="80" w:type="dxa"/>
              <w:bottom w:w="70" w:type="dxa"/>
              <w:end w:w="80" w:type="dxa"/>
            </w:tcMar>
          </w:tcPr>
          <w:p>
            <w:pPr>
              <w:spacing w:before="0" w:after="0"/>
              <w:jc w:val="center"/>
            </w:pPr>
            <w:r>
              <w:rPr>
                <w:rFonts w:ascii="Arial" w:hAnsi="Arial"/>
                <w:sz w:val="13"/>
              </w:rPr>
              <w:t>ImageNet</w:t>
            </w:r>
          </w:p>
        </w:tc>
        <w:tc>
          <w:tcPr>
            <w:tcW w:type="dxa" w:w="1563"/>
            <w:vAlign w:val="center"/>
            <w:tcMar>
              <w:top w:w="70" w:type="dxa"/>
              <w:start w:w="80" w:type="dxa"/>
              <w:bottom w:w="70" w:type="dxa"/>
              <w:end w:w="80" w:type="dxa"/>
            </w:tcMar>
          </w:tcPr>
          <w:p>
            <w:pPr>
              <w:spacing w:before="0" w:after="0"/>
              <w:jc w:val="center"/>
            </w:pPr>
            <w:r>
              <w:rPr>
                <w:rFonts w:ascii="Arial" w:hAnsi="Arial"/>
                <w:sz w:val="13"/>
              </w:rPr>
              <w:t>1,000</w:t>
            </w:r>
          </w:p>
        </w:tc>
        <w:tc>
          <w:tcPr>
            <w:tcW w:type="dxa" w:w="1563"/>
            <w:vAlign w:val="center"/>
            <w:tcMar>
              <w:top w:w="70" w:type="dxa"/>
              <w:start w:w="80" w:type="dxa"/>
              <w:bottom w:w="70" w:type="dxa"/>
              <w:end w:w="80" w:type="dxa"/>
            </w:tcMar>
          </w:tcPr>
          <w:p>
            <w:pPr>
              <w:spacing w:before="0" w:after="0"/>
              <w:jc w:val="center"/>
            </w:pPr>
            <w:r>
              <w:rPr>
                <w:rFonts w:ascii="Arial" w:hAnsi="Arial"/>
                <w:sz w:val="13"/>
              </w:rPr>
              <w:t>Success</w:t>
            </w:r>
          </w:p>
        </w:tc>
        <w:tc>
          <w:tcPr>
            <w:tcW w:type="dxa" w:w="1563"/>
            <w:vAlign w:val="center"/>
            <w:tcMar>
              <w:top w:w="70" w:type="dxa"/>
              <w:start w:w="80" w:type="dxa"/>
              <w:bottom w:w="70" w:type="dxa"/>
              <w:end w:w="80" w:type="dxa"/>
            </w:tcMar>
          </w:tcPr>
          <w:p>
            <w:pPr>
              <w:spacing w:before="0" w:after="0"/>
              <w:jc w:val="center"/>
            </w:pPr>
            <w:r>
              <w:rPr>
                <w:rFonts w:ascii="Arial" w:hAnsi="Arial"/>
                <w:sz w:val="13"/>
              </w:rPr>
              <w:t>190.84</w:t>
            </w:r>
          </w:p>
        </w:tc>
        <w:tc>
          <w:tcPr>
            <w:tcW w:type="dxa" w:w="1563"/>
            <w:vAlign w:val="center"/>
            <w:tcMar>
              <w:top w:w="70" w:type="dxa"/>
              <w:start w:w="80" w:type="dxa"/>
              <w:bottom w:w="70" w:type="dxa"/>
              <w:end w:w="80" w:type="dxa"/>
            </w:tcMar>
          </w:tcPr>
          <w:p>
            <w:pPr>
              <w:spacing w:before="0" w:after="0"/>
              <w:jc w:val="center"/>
            </w:pPr>
            <w:r>
              <w:rPr>
                <w:rFonts w:ascii="Arial" w:hAnsi="Arial"/>
                <w:sz w:val="13"/>
              </w:rPr>
              <w:t>6.22</w:t>
            </w:r>
          </w:p>
        </w:tc>
        <w:tc>
          <w:tcPr>
            <w:tcW w:type="dxa" w:w="1563"/>
            <w:vAlign w:val="center"/>
            <w:tcMar>
              <w:top w:w="70" w:type="dxa"/>
              <w:start w:w="80" w:type="dxa"/>
              <w:bottom w:w="70" w:type="dxa"/>
              <w:end w:w="80" w:type="dxa"/>
            </w:tcMar>
          </w:tcPr>
          <w:p>
            <w:pPr>
              <w:spacing w:before="0" w:after="0"/>
              <w:jc w:val="center"/>
            </w:pPr>
            <w:r>
              <w:rPr>
                <w:rFonts w:ascii="Arial" w:hAnsi="Arial"/>
                <w:sz w:val="13"/>
              </w:rPr>
              <w:t>Top-1 79.99%; top-5 95.61%</w:t>
            </w:r>
          </w:p>
        </w:tc>
        <w:tc>
          <w:tcPr>
            <w:tcW w:type="dxa" w:w="1563"/>
            <w:vAlign w:val="center"/>
            <w:tcMar>
              <w:top w:w="70" w:type="dxa"/>
              <w:start w:w="80" w:type="dxa"/>
              <w:bottom w:w="70" w:type="dxa"/>
              <w:end w:w="80" w:type="dxa"/>
            </w:tcMar>
          </w:tcPr>
          <w:p>
            <w:pPr>
              <w:spacing w:before="0" w:after="0"/>
              <w:jc w:val="center"/>
            </w:pPr>
            <w:r>
              <w:rPr>
                <w:rFonts w:ascii="Arial" w:hAnsi="Arial"/>
                <w:sz w:val="13"/>
              </w:rPr>
              <w:t>11,792</w:t>
            </w:r>
          </w:p>
        </w:tc>
      </w:tr>
    </w:tbl>
    <w:p>
      <w:r>
        <w:t>The NMR one-component run emitted the IKPLS near-zero-weight warning and produced predictions identical to the training-response mean; its RMSD is therefore a baseline value rather than evidence of a predictive latent component. The five-component attempt failed safely when a 13,000 x 13,000 float32 allocation could not be made under the guard. Public IKPLS retains a coefficient tensor with dimensions components x predictors x responses, corresponding to 1.373 GiB at one component, 6.866 GiB at five components, and 68.66 GiB at 50 components. On ImageNet, all four runs succeeded and closely tracked the archived fastPLS argmax accuracy trajectory. Runtime remains a software-workflow comparison rather than an estimator-matched comparison because IKPLS and SIMPLS differ mathematically and the archived fastPLS timing represents one maximal 1,000-component CUDA fit shared across prefixes.</w:t>
      </w:r>
    </w:p>
    <w:p>
      <w:r>
        <w:t>Reproducibility. Scripts are in benchmark/ikpls_cross_language/. Raw logs, per-configuration CSV files, preprocessing time, and the joined comparison are in benchmark_results/ikpls_large_float32_20260826/. The experiment used IKPLS 6.1.2, NumPy float32 arrays, one CPU thread, blocked ImageNet prediction, and conversion outside timing.</w:t>
      </w:r>
    </w:p>
    <w:p>
      <w:pPr>
        <w:pStyle w:val="Heading1"/>
      </w:pPr>
      <w:r>
        <w:t>S16. Selected-point CPU and CUDA benchmark</w:t>
      </w:r>
    </w:p>
    <w:p>
      <w:r>
        <w:t>This focused archived-release analysis uses identical stored splits and component counts for paired CPU/CUDA SIMPLS-rSVD routes: MetRef 22, Retina 20, and CIFAR-100 100. Every row uses fastPLS 0.99.25, oversampling 20, two power iterations, seed 123, case-specific diagnostics, and three repetitions. Host memory is the post-prediction minus pre-fit RSS snapshot; device memory includes runtime/context allocation.</w:t>
      </w:r>
    </w:p>
    <w:p>
      <w:pPr>
        <w:pStyle w:val="Caption"/>
      </w:pPr>
      <w:r>
        <w:t>Table S11. Archived-release paired CPU/CUDA SIMPLS-rSVD results. Every row uses fastPLS 0.99.25, oversampling 20, two power iterations, seed 123, and qualified-approximate status; time is median (IQR) over three runs.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216"/>
        <w:gridCol w:w="1216"/>
        <w:gridCol w:w="1216"/>
        <w:gridCol w:w="1216"/>
        <w:gridCol w:w="1216"/>
        <w:gridCol w:w="1216"/>
        <w:gridCol w:w="1216"/>
        <w:gridCol w:w="1216"/>
        <w:gridCol w:w="1216"/>
      </w:tblGrid>
      <w:tr>
        <w:trPr>
          <w:tblHeader w:val="true"/>
          <w:cantSplit/>
        </w:trPr>
        <w:tc>
          <w:tcPr>
            <w:tcW w:type="dxa" w:w="1216"/>
            <w:vAlign w:val="center"/>
          </w:tcPr>
          <w:p>
            <w:pPr>
              <w:spacing w:after="0" w:before="0" w:line="240" w:lineRule="auto"/>
            </w:pPr>
            <w:r>
              <w:rPr>
                <w:b/>
                <w:sz w:val="11"/>
              </w:rPr>
              <w:t>Dataset</w:t>
            </w:r>
          </w:p>
        </w:tc>
        <w:tc>
          <w:tcPr>
            <w:tcW w:type="dxa" w:w="1216"/>
            <w:vAlign w:val="center"/>
          </w:tcPr>
          <w:p>
            <w:pPr>
              <w:spacing w:after="0" w:before="0" w:line="240" w:lineRule="auto"/>
            </w:pPr>
            <w:r>
              <w:rPr>
                <w:b/>
                <w:sz w:val="11"/>
              </w:rPr>
              <w:t>Family</w:t>
            </w:r>
          </w:p>
        </w:tc>
        <w:tc>
          <w:tcPr>
            <w:tcW w:type="dxa" w:w="1216"/>
            <w:vAlign w:val="center"/>
          </w:tcPr>
          <w:p>
            <w:pPr>
              <w:spacing w:after="0" w:before="0" w:line="240" w:lineRule="auto"/>
            </w:pPr>
            <w:r>
              <w:rPr>
                <w:b/>
                <w:sz w:val="11"/>
              </w:rPr>
              <w:t>A</w:t>
            </w:r>
          </w:p>
        </w:tc>
        <w:tc>
          <w:tcPr>
            <w:tcW w:type="dxa" w:w="1216"/>
            <w:vAlign w:val="center"/>
          </w:tcPr>
          <w:p>
            <w:pPr>
              <w:spacing w:after="0" w:before="0" w:line="240" w:lineRule="auto"/>
            </w:pPr>
            <w:r>
              <w:rPr>
                <w:b/>
                <w:sz w:val="11"/>
              </w:rPr>
              <w:t>Setting</w:t>
            </w:r>
          </w:p>
        </w:tc>
        <w:tc>
          <w:tcPr>
            <w:tcW w:type="dxa" w:w="1216"/>
            <w:vAlign w:val="center"/>
          </w:tcPr>
          <w:p>
            <w:pPr>
              <w:spacing w:after="0" w:before="0" w:line="240" w:lineRule="auto"/>
            </w:pPr>
            <w:r>
              <w:rPr>
                <w:b/>
                <w:sz w:val="11"/>
              </w:rPr>
              <w:t>Metric</w:t>
            </w:r>
          </w:p>
        </w:tc>
        <w:tc>
          <w:tcPr>
            <w:tcW w:type="dxa" w:w="1216"/>
            <w:vAlign w:val="center"/>
          </w:tcPr>
          <w:p>
            <w:pPr>
              <w:spacing w:after="0" w:before="0" w:line="240" w:lineRule="auto"/>
            </w:pPr>
            <w:r>
              <w:rPr>
                <w:b/>
                <w:sz w:val="11"/>
              </w:rPr>
              <w:t>Time median (IQR), s</w:t>
            </w:r>
          </w:p>
        </w:tc>
        <w:tc>
          <w:tcPr>
            <w:tcW w:type="dxa" w:w="1216"/>
            <w:vAlign w:val="center"/>
          </w:tcPr>
          <w:p>
            <w:pPr>
              <w:spacing w:before="0" w:after="0" w:line="240" w:lineRule="auto"/>
            </w:pPr>
            <w:r>
              <w:rPr>
                <w:b/>
                <w:sz w:val="11"/>
              </w:rPr>
              <w:t>Host RSS delta MiB</w:t>
            </w:r>
          </w:p>
        </w:tc>
        <w:tc>
          <w:tcPr>
            <w:tcW w:type="dxa" w:w="1216"/>
            <w:vAlign w:val="center"/>
          </w:tcPr>
          <w:p>
            <w:pPr>
              <w:spacing w:before="0" w:after="0" w:line="240" w:lineRule="auto"/>
            </w:pPr>
            <w:r>
              <w:rPr>
                <w:b/>
                <w:sz w:val="11"/>
              </w:rPr>
              <w:t>GPU delta MiB</w:t>
            </w:r>
          </w:p>
        </w:tc>
        <w:tc>
          <w:tcPr>
            <w:tcW w:type="dxa" w:w="1216"/>
            <w:vAlign w:val="center"/>
          </w:tcPr>
          <w:p>
            <w:pPr>
              <w:spacing w:after="0" w:before="0" w:line="240" w:lineRule="auto"/>
            </w:pPr>
            <w:r>
              <w:rPr>
                <w:b/>
                <w:sz w:val="11"/>
              </w:rPr>
              <w:t>Status</w:t>
            </w:r>
          </w:p>
        </w:tc>
      </w:tr>
      <w:tr>
        <w:trPr>
          <w:cantSplit/>
        </w:trPr>
        <w:tc>
          <w:tcPr>
            <w:tcW w:type="dxa" w:w="1216"/>
            <w:vAlign w:val="center"/>
          </w:tcPr>
          <w:p>
            <w:pPr>
              <w:spacing w:after="0" w:before="0" w:line="240" w:lineRule="auto"/>
            </w:pPr>
            <w:r>
              <w:rPr>
                <w:sz w:val="11"/>
              </w:rPr>
              <w:t>CIFAR-100</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fixed paired point</w:t>
            </w:r>
          </w:p>
        </w:tc>
        <w:tc>
          <w:tcPr>
            <w:tcW w:type="dxa" w:w="1216"/>
            <w:vAlign w:val="center"/>
          </w:tcPr>
          <w:p>
            <w:pPr>
              <w:spacing w:after="0" w:before="0" w:line="240" w:lineRule="auto"/>
            </w:pPr>
            <w:r>
              <w:rPr>
                <w:sz w:val="11"/>
              </w:rPr>
              <w:t>accuracy 0.8742</w:t>
            </w:r>
          </w:p>
        </w:tc>
        <w:tc>
          <w:tcPr>
            <w:tcW w:type="dxa" w:w="1216"/>
            <w:vAlign w:val="center"/>
          </w:tcPr>
          <w:p>
            <w:pPr>
              <w:spacing w:after="0" w:before="0" w:line="240" w:lineRule="auto"/>
            </w:pPr>
            <w:r>
              <w:rPr>
                <w:sz w:val="11"/>
              </w:rPr>
              <w:t>8.069 (0.127)</w:t>
            </w:r>
          </w:p>
        </w:tc>
        <w:tc>
          <w:tcPr>
            <w:tcW w:type="dxa" w:w="1216"/>
            <w:vAlign w:val="center"/>
          </w:tcPr>
          <w:p>
            <w:pPr>
              <w:spacing w:after="0" w:before="0" w:line="240" w:lineRule="auto"/>
            </w:pPr>
            <w:r>
              <w:rPr>
                <w:sz w:val="11"/>
              </w:rPr>
              <w:t>1.8</w:t>
            </w:r>
          </w:p>
        </w:tc>
        <w:tc>
          <w:tcPr>
            <w:tcW w:type="dxa" w:w="1216"/>
            <w:vAlign w:val="center"/>
          </w:tcPr>
          <w:p>
            <w:pPr>
              <w:spacing w:after="0" w:before="0" w:line="240" w:lineRule="auto"/>
            </w:pPr>
            <w:r>
              <w:rPr>
                <w:sz w:val="11"/>
              </w:rPr>
              <w:t>NA</w:t>
            </w:r>
          </w:p>
        </w:tc>
        <w:tc>
          <w:tcPr>
            <w:tcW w:type="dxa" w:w="1216"/>
            <w:vAlign w:val="center"/>
          </w:tcPr>
          <w:p>
            <w:pPr>
              <w:spacing w:before="0" w:after="0" w:line="240" w:lineRule="auto"/>
            </w:pPr>
            <w:r>
              <w:rPr>
                <w:sz w:val="11"/>
              </w:rPr>
              <w:t>CPU; v0.99.25; os20/p2/s123; qualified</w:t>
            </w:r>
          </w:p>
        </w:tc>
      </w:tr>
      <w:tr>
        <w:trPr>
          <w:cantSplit/>
        </w:trPr>
        <w:tc>
          <w:tcPr>
            <w:tcW w:type="dxa" w:w="1216"/>
            <w:vAlign w:val="center"/>
          </w:tcPr>
          <w:p>
            <w:pPr>
              <w:spacing w:after="0" w:before="0" w:line="240" w:lineRule="auto"/>
            </w:pPr>
            <w:r>
              <w:rPr>
                <w:sz w:val="11"/>
              </w:rPr>
              <w:t>CIFAR-100</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fixed paired point</w:t>
            </w:r>
          </w:p>
        </w:tc>
        <w:tc>
          <w:tcPr>
            <w:tcW w:type="dxa" w:w="1216"/>
            <w:vAlign w:val="center"/>
          </w:tcPr>
          <w:p>
            <w:pPr>
              <w:spacing w:after="0" w:before="0" w:line="240" w:lineRule="auto"/>
            </w:pPr>
            <w:r>
              <w:rPr>
                <w:sz w:val="11"/>
              </w:rPr>
              <w:t>accuracy 0.8739</w:t>
            </w:r>
          </w:p>
        </w:tc>
        <w:tc>
          <w:tcPr>
            <w:tcW w:type="dxa" w:w="1216"/>
            <w:vAlign w:val="center"/>
          </w:tcPr>
          <w:p>
            <w:pPr>
              <w:spacing w:after="0" w:before="0" w:line="240" w:lineRule="auto"/>
            </w:pPr>
            <w:r>
              <w:rPr>
                <w:sz w:val="11"/>
              </w:rPr>
              <w:t>0.724 (0.011)</w:t>
            </w:r>
          </w:p>
        </w:tc>
        <w:tc>
          <w:tcPr>
            <w:tcW w:type="dxa" w:w="1216"/>
            <w:vAlign w:val="center"/>
          </w:tcPr>
          <w:p>
            <w:pPr>
              <w:spacing w:after="0" w:before="0" w:line="240" w:lineRule="auto"/>
            </w:pPr>
            <w:r>
              <w:rPr>
                <w:sz w:val="11"/>
              </w:rPr>
              <w:t>99.3</w:t>
            </w:r>
          </w:p>
        </w:tc>
        <w:tc>
          <w:tcPr>
            <w:tcW w:type="dxa" w:w="1216"/>
            <w:vAlign w:val="center"/>
          </w:tcPr>
          <w:p>
            <w:pPr>
              <w:spacing w:after="0" w:before="0" w:line="240" w:lineRule="auto"/>
            </w:pPr>
            <w:r>
              <w:rPr>
                <w:sz w:val="11"/>
              </w:rPr>
              <w:t>537.0</w:t>
            </w:r>
          </w:p>
        </w:tc>
        <w:tc>
          <w:tcPr>
            <w:tcW w:type="dxa" w:w="1216"/>
            <w:vAlign w:val="center"/>
          </w:tcPr>
          <w:p>
            <w:pPr>
              <w:spacing w:before="0" w:after="0" w:line="240" w:lineRule="auto"/>
            </w:pPr>
            <w:r>
              <w:rPr>
                <w:sz w:val="11"/>
              </w:rPr>
              <w:t>CUDA; v0.99.25; os20/p2/s123; qualified</w:t>
            </w:r>
          </w:p>
        </w:tc>
      </w:tr>
      <w:tr>
        <w:trPr>
          <w:cantSplit/>
        </w:trPr>
        <w:tc>
          <w:tcPr>
            <w:tcW w:type="dxa" w:w="1216"/>
            <w:vAlign w:val="center"/>
          </w:tcPr>
          <w:p>
            <w:pPr>
              <w:spacing w:after="0" w:before="0" w:line="240" w:lineRule="auto"/>
            </w:pPr>
            <w:r>
              <w:rPr>
                <w:sz w:val="11"/>
              </w:rPr>
              <w:t>MetRef</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22</w:t>
            </w:r>
          </w:p>
        </w:tc>
        <w:tc>
          <w:tcPr>
            <w:tcW w:type="dxa" w:w="1216"/>
            <w:vAlign w:val="center"/>
          </w:tcPr>
          <w:p>
            <w:pPr>
              <w:spacing w:after="0" w:before="0" w:line="240" w:lineRule="auto"/>
            </w:pPr>
            <w:r>
              <w:rPr>
                <w:sz w:val="11"/>
              </w:rPr>
              <w:t>fixed paired point</w:t>
            </w:r>
          </w:p>
        </w:tc>
        <w:tc>
          <w:tcPr>
            <w:tcW w:type="dxa" w:w="1216"/>
            <w:vAlign w:val="center"/>
          </w:tcPr>
          <w:p>
            <w:pPr>
              <w:spacing w:after="0" w:before="0" w:line="240" w:lineRule="auto"/>
            </w:pPr>
            <w:r>
              <w:rPr>
                <w:sz w:val="11"/>
              </w:rPr>
              <w:t>accuracy 0.7700</w:t>
            </w:r>
          </w:p>
        </w:tc>
        <w:tc>
          <w:tcPr>
            <w:tcW w:type="dxa" w:w="1216"/>
            <w:vAlign w:val="center"/>
          </w:tcPr>
          <w:p>
            <w:pPr>
              <w:spacing w:after="0" w:before="0" w:line="240" w:lineRule="auto"/>
            </w:pPr>
            <w:r>
              <w:rPr>
                <w:sz w:val="11"/>
              </w:rPr>
              <w:t>0.034 (0.005)</w:t>
            </w:r>
          </w:p>
        </w:tc>
        <w:tc>
          <w:tcPr>
            <w:tcW w:type="dxa" w:w="1216"/>
            <w:vAlign w:val="center"/>
          </w:tcPr>
          <w:p>
            <w:pPr>
              <w:spacing w:after="0" w:before="0" w:line="240" w:lineRule="auto"/>
            </w:pPr>
            <w:r>
              <w:rPr>
                <w:sz w:val="11"/>
              </w:rPr>
              <w:t>6.0</w:t>
            </w:r>
          </w:p>
        </w:tc>
        <w:tc>
          <w:tcPr>
            <w:tcW w:type="dxa" w:w="1216"/>
            <w:vAlign w:val="center"/>
          </w:tcPr>
          <w:p>
            <w:pPr>
              <w:spacing w:after="0" w:before="0" w:line="240" w:lineRule="auto"/>
            </w:pPr>
            <w:r>
              <w:rPr>
                <w:sz w:val="11"/>
              </w:rPr>
              <w:t>NA</w:t>
            </w:r>
          </w:p>
        </w:tc>
        <w:tc>
          <w:tcPr>
            <w:tcW w:type="dxa" w:w="1216"/>
            <w:vAlign w:val="center"/>
          </w:tcPr>
          <w:p>
            <w:pPr>
              <w:spacing w:before="0" w:after="0" w:line="240" w:lineRule="auto"/>
            </w:pPr>
            <w:r>
              <w:rPr>
                <w:sz w:val="11"/>
              </w:rPr>
              <w:t>CPU; v0.99.25; os20/p2/s123; qualified</w:t>
            </w:r>
          </w:p>
        </w:tc>
      </w:tr>
      <w:tr>
        <w:trPr>
          <w:cantSplit/>
        </w:trPr>
        <w:tc>
          <w:tcPr>
            <w:tcW w:type="dxa" w:w="1216"/>
            <w:vAlign w:val="center"/>
          </w:tcPr>
          <w:p>
            <w:pPr>
              <w:spacing w:after="0" w:before="0" w:line="240" w:lineRule="auto"/>
            </w:pPr>
            <w:r>
              <w:rPr>
                <w:sz w:val="11"/>
              </w:rPr>
              <w:t>MetRef</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22</w:t>
            </w:r>
          </w:p>
        </w:tc>
        <w:tc>
          <w:tcPr>
            <w:tcW w:type="dxa" w:w="1216"/>
            <w:vAlign w:val="center"/>
          </w:tcPr>
          <w:p>
            <w:pPr>
              <w:spacing w:after="0" w:before="0" w:line="240" w:lineRule="auto"/>
            </w:pPr>
            <w:r>
              <w:rPr>
                <w:sz w:val="11"/>
              </w:rPr>
              <w:t>fixed paired point</w:t>
            </w:r>
          </w:p>
        </w:tc>
        <w:tc>
          <w:tcPr>
            <w:tcW w:type="dxa" w:w="1216"/>
            <w:vAlign w:val="center"/>
          </w:tcPr>
          <w:p>
            <w:pPr>
              <w:spacing w:after="0" w:before="0" w:line="240" w:lineRule="auto"/>
            </w:pPr>
            <w:r>
              <w:rPr>
                <w:sz w:val="11"/>
              </w:rPr>
              <w:t>accuracy 0.7700</w:t>
            </w:r>
          </w:p>
        </w:tc>
        <w:tc>
          <w:tcPr>
            <w:tcW w:type="dxa" w:w="1216"/>
            <w:vAlign w:val="center"/>
          </w:tcPr>
          <w:p>
            <w:pPr>
              <w:spacing w:after="0" w:before="0" w:line="240" w:lineRule="auto"/>
            </w:pPr>
            <w:r>
              <w:rPr>
                <w:sz w:val="11"/>
              </w:rPr>
              <w:t>0.267 (0.006)</w:t>
            </w:r>
          </w:p>
        </w:tc>
        <w:tc>
          <w:tcPr>
            <w:tcW w:type="dxa" w:w="1216"/>
            <w:vAlign w:val="center"/>
          </w:tcPr>
          <w:p>
            <w:pPr>
              <w:spacing w:after="0" w:before="0" w:line="240" w:lineRule="auto"/>
            </w:pPr>
            <w:r>
              <w:rPr>
                <w:sz w:val="11"/>
              </w:rPr>
              <w:t>345.2</w:t>
            </w:r>
          </w:p>
        </w:tc>
        <w:tc>
          <w:tcPr>
            <w:tcW w:type="dxa" w:w="1216"/>
            <w:vAlign w:val="center"/>
          </w:tcPr>
          <w:p>
            <w:pPr>
              <w:spacing w:after="0" w:before="0" w:line="240" w:lineRule="auto"/>
            </w:pPr>
            <w:r>
              <w:rPr>
                <w:sz w:val="11"/>
              </w:rPr>
              <w:t>204.0</w:t>
            </w:r>
          </w:p>
        </w:tc>
        <w:tc>
          <w:tcPr>
            <w:tcW w:type="dxa" w:w="1216"/>
            <w:vAlign w:val="center"/>
          </w:tcPr>
          <w:p>
            <w:pPr>
              <w:spacing w:before="0" w:after="0" w:line="240" w:lineRule="auto"/>
            </w:pPr>
            <w:r>
              <w:rPr>
                <w:sz w:val="11"/>
              </w:rPr>
              <w:t>CUDA; v0.99.25; os20/p2/s123; qualified</w:t>
            </w:r>
          </w:p>
        </w:tc>
      </w:tr>
      <w:tr>
        <w:trPr>
          <w:cantSplit/>
        </w:trPr>
        <w:tc>
          <w:tcPr>
            <w:tcW w:type="dxa" w:w="1216"/>
            <w:vAlign w:val="center"/>
          </w:tcPr>
          <w:p>
            <w:pPr>
              <w:spacing w:after="0" w:before="0" w:line="240" w:lineRule="auto"/>
            </w:pPr>
            <w:r>
              <w:rPr>
                <w:sz w:val="11"/>
              </w:rPr>
              <w:t>Retina</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20</w:t>
            </w:r>
          </w:p>
        </w:tc>
        <w:tc>
          <w:tcPr>
            <w:tcW w:type="dxa" w:w="1216"/>
            <w:vAlign w:val="center"/>
          </w:tcPr>
          <w:p>
            <w:pPr>
              <w:spacing w:after="0" w:before="0" w:line="240" w:lineRule="auto"/>
            </w:pPr>
            <w:r>
              <w:rPr>
                <w:sz w:val="11"/>
              </w:rPr>
              <w:t>fixed paired point</w:t>
            </w:r>
          </w:p>
        </w:tc>
        <w:tc>
          <w:tcPr>
            <w:tcW w:type="dxa" w:w="1216"/>
            <w:vAlign w:val="center"/>
          </w:tcPr>
          <w:p>
            <w:pPr>
              <w:spacing w:after="0" w:before="0" w:line="240" w:lineRule="auto"/>
            </w:pPr>
            <w:r>
              <w:rPr>
                <w:sz w:val="11"/>
              </w:rPr>
              <w:t>accuracy 0.9676</w:t>
            </w:r>
          </w:p>
        </w:tc>
        <w:tc>
          <w:tcPr>
            <w:tcW w:type="dxa" w:w="1216"/>
            <w:vAlign w:val="center"/>
          </w:tcPr>
          <w:p>
            <w:pPr>
              <w:spacing w:after="0" w:before="0" w:line="240" w:lineRule="auto"/>
            </w:pPr>
            <w:r>
              <w:rPr>
                <w:sz w:val="11"/>
              </w:rPr>
              <w:t>0.080 (0.003)</w:t>
            </w:r>
          </w:p>
        </w:tc>
        <w:tc>
          <w:tcPr>
            <w:tcW w:type="dxa" w:w="1216"/>
            <w:vAlign w:val="center"/>
          </w:tcPr>
          <w:p>
            <w:pPr>
              <w:spacing w:after="0" w:before="0" w:line="240" w:lineRule="auto"/>
            </w:pPr>
            <w:r>
              <w:rPr>
                <w:sz w:val="11"/>
              </w:rPr>
              <w:t>21.0</w:t>
            </w:r>
          </w:p>
        </w:tc>
        <w:tc>
          <w:tcPr>
            <w:tcW w:type="dxa" w:w="1216"/>
            <w:vAlign w:val="center"/>
          </w:tcPr>
          <w:p>
            <w:pPr>
              <w:spacing w:after="0" w:before="0" w:line="240" w:lineRule="auto"/>
            </w:pPr>
            <w:r>
              <w:rPr>
                <w:sz w:val="11"/>
              </w:rPr>
              <w:t>NA</w:t>
            </w:r>
          </w:p>
        </w:tc>
        <w:tc>
          <w:tcPr>
            <w:tcW w:type="dxa" w:w="1216"/>
            <w:vAlign w:val="center"/>
          </w:tcPr>
          <w:p>
            <w:pPr>
              <w:spacing w:before="0" w:after="0" w:line="240" w:lineRule="auto"/>
            </w:pPr>
            <w:r>
              <w:rPr>
                <w:sz w:val="11"/>
              </w:rPr>
              <w:t>CPU; v0.99.25; os20/p2/s123; qualified</w:t>
            </w:r>
          </w:p>
        </w:tc>
      </w:tr>
      <w:tr>
        <w:trPr>
          <w:cantSplit/>
        </w:trPr>
        <w:tc>
          <w:tcPr>
            <w:tcW w:type="dxa" w:w="1216"/>
            <w:vAlign w:val="center"/>
          </w:tcPr>
          <w:p>
            <w:pPr>
              <w:spacing w:after="0" w:before="0" w:line="240" w:lineRule="auto"/>
            </w:pPr>
            <w:r>
              <w:rPr>
                <w:sz w:val="11"/>
              </w:rPr>
              <w:t>Retina</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20</w:t>
            </w:r>
          </w:p>
        </w:tc>
        <w:tc>
          <w:tcPr>
            <w:tcW w:type="dxa" w:w="1216"/>
            <w:vAlign w:val="center"/>
          </w:tcPr>
          <w:p>
            <w:pPr>
              <w:spacing w:after="0" w:before="0" w:line="240" w:lineRule="auto"/>
            </w:pPr>
            <w:r>
              <w:rPr>
                <w:sz w:val="11"/>
              </w:rPr>
              <w:t>fixed paired point</w:t>
            </w:r>
          </w:p>
        </w:tc>
        <w:tc>
          <w:tcPr>
            <w:tcW w:type="dxa" w:w="1216"/>
            <w:vAlign w:val="center"/>
          </w:tcPr>
          <w:p>
            <w:pPr>
              <w:spacing w:after="0" w:before="0" w:line="240" w:lineRule="auto"/>
            </w:pPr>
            <w:r>
              <w:rPr>
                <w:sz w:val="11"/>
              </w:rPr>
              <w:t>accuracy 0.9676</w:t>
            </w:r>
          </w:p>
        </w:tc>
        <w:tc>
          <w:tcPr>
            <w:tcW w:type="dxa" w:w="1216"/>
            <w:vAlign w:val="center"/>
          </w:tcPr>
          <w:p>
            <w:pPr>
              <w:spacing w:after="0" w:before="0" w:line="240" w:lineRule="auto"/>
            </w:pPr>
            <w:r>
              <w:rPr>
                <w:sz w:val="11"/>
              </w:rPr>
              <w:t>0.264 (0.004)</w:t>
            </w:r>
          </w:p>
        </w:tc>
        <w:tc>
          <w:tcPr>
            <w:tcW w:type="dxa" w:w="1216"/>
            <w:vAlign w:val="center"/>
          </w:tcPr>
          <w:p>
            <w:pPr>
              <w:spacing w:after="0" w:before="0" w:line="240" w:lineRule="auto"/>
            </w:pPr>
            <w:r>
              <w:rPr>
                <w:sz w:val="11"/>
              </w:rPr>
              <w:t>348.1</w:t>
            </w:r>
          </w:p>
        </w:tc>
        <w:tc>
          <w:tcPr>
            <w:tcW w:type="dxa" w:w="1216"/>
            <w:vAlign w:val="center"/>
          </w:tcPr>
          <w:p>
            <w:pPr>
              <w:spacing w:after="0" w:before="0" w:line="240" w:lineRule="auto"/>
            </w:pPr>
            <w:r>
              <w:rPr>
                <w:sz w:val="11"/>
              </w:rPr>
              <w:t>213.0</w:t>
            </w:r>
          </w:p>
        </w:tc>
        <w:tc>
          <w:tcPr>
            <w:tcW w:type="dxa" w:w="1216"/>
            <w:vAlign w:val="center"/>
          </w:tcPr>
          <w:p>
            <w:pPr>
              <w:spacing w:before="0" w:after="0" w:line="240" w:lineRule="auto"/>
            </w:pPr>
            <w:r>
              <w:rPr>
                <w:sz w:val="11"/>
              </w:rPr>
              <w:t>CUDA; v0.99.25; os20/p2/s123; qualified</w:t>
            </w:r>
          </w:p>
        </w:tc>
      </w:tr>
    </w:tbl>
    <w:p>
      <w:pPr>
        <w:keepNext/>
        <w:jc w:val="center"/>
      </w:pPr>
      <w:r>
        <w:drawing>
          <wp:inline>
            <wp:extent cx="6217920" cy="2438998"/>
            <wp:docPr id="8" name="Picture 8"/>
            <wp:cNvGraphicFramePr>
              <a:graphicFrameLocks noChangeAspect="1"/>
            </wp:cNvGraphicFramePr>
            <a:graphic>
              <a:graphicData uri="http://schemas.openxmlformats.org/drawingml/2006/picture">
                <pic:pic>
                  <pic:nvPicPr>
                    <pic:cNvPr id="0" name="Figure_S4_selected_cpu_cuda.png"/>
                    <pic:cNvPicPr/>
                  </pic:nvPicPr>
                  <pic:blipFill>
                    <a:blip r:embed="rId15"/>
                    <a:stretch>
                      <a:fillRect/>
                    </a:stretch>
                  </pic:blipFill>
                  <pic:spPr>
                    <a:xfrm>
                      <a:off x="0" y="0"/>
                      <a:ext cx="6217920" cy="2438998"/>
                    </a:xfrm>
                    <a:prstGeom prst="rect"/>
                  </pic:spPr>
                </pic:pic>
              </a:graphicData>
            </a:graphic>
          </wp:inline>
        </w:drawing>
      </w:r>
    </w:p>
    <w:p>
      <w:pPr>
        <w:pStyle w:val="Caption"/>
        <w:keepNext w:val="0"/>
      </w:pPr>
      <w:r>
        <w:t>Figure S4. Frozen-release paired CPU/CUDA SIMPLS-rSVD workflows for MetRef, Retina, and CIFAR-100. Panels show total runtime, the post-prediction minus pre-fit host-RSS snapshot, and held-out accuracy. Points and IQRs summarize three runs. Every route used fastPLS 0.99.25, oversampling 20, two power iterations, seed 123, and identical splits and component counts. Device/context allocation is included; host-memory differences are not isolated solver workspace.</w:t>
      </w:r>
    </w:p>
    <w:p>
      <w:pPr>
        <w:pStyle w:val="Heading1"/>
      </w:pPr>
      <w:r>
        <w:t>S17. NMR case study</w:t>
      </w:r>
    </w:p>
    <w:p>
      <w:r>
        <w:t>The family-selected predictive analysis and paired backend analysis answer different questions. Component selection used five paired training-only splits. The PLS-SVD candidate grid was 1, 2, 3, 5, 7, 10, 25, 50, 75, 100, 125, 150, 165, 175, 200, 250, and 300 components. The SIMPLS candidate grid was 10, 25, 50, 75, 100, 125, 150, 165, 175, 200, 250, and 300 components. Both selected values were interior. This extended grid is the principal biomedical sensitivity analysis; the cross-dataset boundary rows remain fixed computational workloads.</w:t>
      </w:r>
    </w:p>
    <w:p>
      <w:pPr/>
      <w:r>
        <w:t>For family f, component count a, and split s = 1,...,5, let e_f,s(a) denote validation RMSD. The implementation computes m_f(a) = (1/5) sum_s e_f,s(a), chooses the smallest a_min in argmin_a m_f(a), and defines the one-standard-error threshold h_f = m_f(a_min) + sd_s[e_f,s(a_min)]/sqrt(5), where sd is the sample standard deviation across the five splits. The eligible set is E_f = {a: m_f(a) &lt;= h_f}, and the returned count is a_selected = min(E_f).</w:t>
      </w:r>
    </w:p>
    <w:p>
      <w:pPr/>
      <w:r>
        <w:t>For PLS-SVD, a_min = 5, h_f = 0.001528979123, and E_f = {5}; therefore a_selected = 5. For SIMPLS, a_min = 50, h_f = 0.0009565399754, and E_f = {50, 75, 100}; therefore a_selected = 50. Each value is selected within the evaluated grid, not asserted to be a global optimum.</w:t>
      </w:r>
    </w:p>
    <w:p>
      <w:pPr/>
      <w:r>
        <w:t>The family-selected paired analysis compares CPU IRLBA, CPU rSVD, and CUDA rSVD at five PLS-SVD or 50 SIMPLS components. The 4.6-4.8 ppm interval was defined a priori from predictor chemical-shift labels and set to zero in both training and test predictors before any training-only split to suppress residual water resonance; no response coordinate was masked, and no held-out response information informed preprocessing. The deposited 165-component workflow remains historical context. Figure 4 displays AMI-0030-9 (index 38), selected as the held-out sample closest to the median 50-component SIMPLS CUDA/rSVD per-spectrum RMSD.</w:t>
      </w:r>
    </w:p>
    <w:p>
      <w:pPr>
        <w:pStyle w:val="Caption"/>
      </w:pPr>
      <w:r>
        <w:t>Table S12. Archived-release NMR evidence. Approximate rows use fastPLS 0.99.25, oversampling 20, two power iterations, seed 123, and case-specific diagnostics; deterministic rows use CPU IRLBA. Family-selected prediction, the fixed-100-component implementation comparison, and the deposited historical workflow answer different questions.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216"/>
        <w:gridCol w:w="1216"/>
        <w:gridCol w:w="1216"/>
        <w:gridCol w:w="1216"/>
        <w:gridCol w:w="1216"/>
        <w:gridCol w:w="1216"/>
        <w:gridCol w:w="1216"/>
        <w:gridCol w:w="1216"/>
        <w:gridCol w:w="1216"/>
      </w:tblGrid>
      <w:tr>
        <w:trPr>
          <w:tblHeader w:val="true"/>
          <w:cantSplit/>
        </w:trPr>
        <w:tc>
          <w:tcPr>
            <w:tcW w:type="dxa" w:w="1216"/>
            <w:vAlign w:val="center"/>
          </w:tcPr>
          <w:p>
            <w:pPr>
              <w:spacing w:before="0" w:after="0" w:line="240" w:lineRule="auto"/>
              <w:jc w:val="left"/>
            </w:pPr>
            <w:r>
              <w:rPr>
                <w:b/>
                <w:sz w:val="11"/>
              </w:rPr>
              <w:t>Analysis</w:t>
            </w:r>
          </w:p>
        </w:tc>
        <w:tc>
          <w:tcPr>
            <w:tcW w:type="dxa" w:w="1216"/>
            <w:vAlign w:val="center"/>
          </w:tcPr>
          <w:p>
            <w:pPr>
              <w:spacing w:before="0" w:after="0" w:line="240" w:lineRule="auto"/>
              <w:jc w:val="center"/>
            </w:pPr>
            <w:r>
              <w:rPr>
                <w:b/>
                <w:sz w:val="11"/>
              </w:rPr>
              <w:t>Family</w:t>
            </w:r>
          </w:p>
        </w:tc>
        <w:tc>
          <w:tcPr>
            <w:tcW w:type="dxa" w:w="1216"/>
            <w:vAlign w:val="center"/>
          </w:tcPr>
          <w:p>
            <w:pPr>
              <w:spacing w:before="0" w:after="0" w:line="240" w:lineRule="auto"/>
              <w:jc w:val="center"/>
            </w:pPr>
            <w:r>
              <w:rPr>
                <w:b/>
                <w:sz w:val="11"/>
              </w:rPr>
              <w:t>Implementation</w:t>
            </w:r>
          </w:p>
        </w:tc>
        <w:tc>
          <w:tcPr>
            <w:tcW w:type="dxa" w:w="1216"/>
            <w:vAlign w:val="center"/>
          </w:tcPr>
          <w:p>
            <w:pPr>
              <w:spacing w:before="0" w:after="0" w:line="240" w:lineRule="auto"/>
              <w:jc w:val="center"/>
            </w:pPr>
            <w:r>
              <w:rPr>
                <w:b/>
                <w:sz w:val="11"/>
              </w:rPr>
              <w:t>A</w:t>
            </w:r>
          </w:p>
        </w:tc>
        <w:tc>
          <w:tcPr>
            <w:tcW w:type="dxa" w:w="1216"/>
            <w:vAlign w:val="center"/>
          </w:tcPr>
          <w:p>
            <w:pPr>
              <w:spacing w:before="0" w:after="0" w:line="240" w:lineRule="auto"/>
              <w:jc w:val="center"/>
            </w:pPr>
            <w:r>
              <w:rPr>
                <w:b/>
                <w:sz w:val="11"/>
              </w:rPr>
              <w:t>Predictive metric</w:t>
            </w:r>
          </w:p>
        </w:tc>
        <w:tc>
          <w:tcPr>
            <w:tcW w:type="dxa" w:w="1216"/>
            <w:vAlign w:val="center"/>
          </w:tcPr>
          <w:p>
            <w:pPr>
              <w:spacing w:before="0" w:after="0" w:line="240" w:lineRule="auto"/>
              <w:jc w:val="center"/>
            </w:pPr>
            <w:r>
              <w:rPr>
                <w:b/>
                <w:sz w:val="11"/>
              </w:rPr>
              <w:t>Time s</w:t>
            </w:r>
          </w:p>
        </w:tc>
        <w:tc>
          <w:tcPr>
            <w:tcW w:type="dxa" w:w="1216"/>
            <w:vAlign w:val="center"/>
          </w:tcPr>
          <w:p>
            <w:pPr>
              <w:spacing w:before="0" w:after="0" w:line="240" w:lineRule="auto"/>
            </w:pPr>
            <w:r>
              <w:rPr>
                <w:b/>
                <w:sz w:val="11"/>
              </w:rPr>
              <w:t>Delta host MiB</w:t>
            </w:r>
          </w:p>
        </w:tc>
        <w:tc>
          <w:tcPr>
            <w:tcW w:type="dxa" w:w="1216"/>
            <w:vAlign w:val="center"/>
          </w:tcPr>
          <w:p>
            <w:pPr>
              <w:spacing w:before="0" w:after="0" w:line="240" w:lineRule="auto"/>
            </w:pPr>
            <w:r>
              <w:rPr>
                <w:b/>
                <w:sz w:val="11"/>
              </w:rPr>
              <w:t>Delta GPU MiB</w:t>
            </w:r>
          </w:p>
        </w:tc>
        <w:tc>
          <w:tcPr>
            <w:tcW w:type="dxa" w:w="1216"/>
            <w:vAlign w:val="center"/>
          </w:tcPr>
          <w:p>
            <w:pPr>
              <w:spacing w:before="0" w:after="0" w:line="240" w:lineRule="auto"/>
              <w:jc w:val="center"/>
            </w:pPr>
            <w:r>
              <w:rPr>
                <w:b/>
                <w:sz w:val="11"/>
              </w:rPr>
              <w:t>Error detail / scope</w:t>
            </w:r>
          </w:p>
        </w:tc>
      </w:tr>
      <w:tr>
        <w:tc>
          <w:tcPr>
            <w:tcW w:type="dxa" w:w="1216"/>
            <w:vAlign w:val="center"/>
          </w:tcPr>
          <w:p>
            <w:pPr>
              <w:spacing w:after="0" w:before="0" w:line="240" w:lineRule="auto"/>
            </w:pPr>
            <w:r>
              <w:rPr>
                <w:sz w:val="11"/>
              </w:rPr>
              <w:t>family selected</w:t>
            </w:r>
          </w:p>
        </w:tc>
        <w:tc>
          <w:tcPr>
            <w:tcW w:type="dxa" w:w="1216"/>
            <w:vAlign w:val="center"/>
          </w:tcPr>
          <w:p>
            <w:pPr>
              <w:spacing w:after="0" w:before="0" w:line="240" w:lineRule="auto"/>
            </w:pPr>
            <w:r>
              <w:rPr>
                <w:sz w:val="11"/>
              </w:rPr>
              <w:t>PLS-SVD</w:t>
            </w:r>
          </w:p>
        </w:tc>
        <w:tc>
          <w:tcPr>
            <w:tcW w:type="dxa" w:w="1216"/>
            <w:vAlign w:val="center"/>
          </w:tcPr>
          <w:p>
            <w:pPr>
              <w:spacing w:after="0" w:before="0" w:line="240" w:lineRule="auto"/>
            </w:pPr>
            <w:r>
              <w:rPr>
                <w:sz w:val="11"/>
              </w:rPr>
              <w:t>CPU / RSVD</w:t>
            </w:r>
          </w:p>
        </w:tc>
        <w:tc>
          <w:tcPr>
            <w:tcW w:type="dxa" w:w="1216"/>
            <w:vAlign w:val="center"/>
          </w:tcPr>
          <w:p>
            <w:pPr>
              <w:spacing w:after="0" w:before="0" w:line="240" w:lineRule="auto"/>
            </w:pPr>
            <w:r>
              <w:rPr>
                <w:sz w:val="11"/>
              </w:rPr>
              <w:t>5</w:t>
            </w:r>
          </w:p>
        </w:tc>
        <w:tc>
          <w:tcPr>
            <w:tcW w:type="dxa" w:w="1216"/>
            <w:vAlign w:val="center"/>
          </w:tcPr>
          <w:p>
            <w:pPr>
              <w:spacing w:after="0" w:before="0" w:line="240" w:lineRule="auto"/>
            </w:pPr>
            <w:r>
              <w:rPr>
                <w:sz w:val="11"/>
              </w:rPr>
              <w:t>RMSD 0.0010426; Q² 0.989159</w:t>
            </w:r>
          </w:p>
        </w:tc>
        <w:tc>
          <w:tcPr>
            <w:tcW w:type="dxa" w:w="1216"/>
            <w:vAlign w:val="center"/>
          </w:tcPr>
          <w:p>
            <w:pPr>
              <w:spacing w:after="0" w:before="0" w:line="240" w:lineRule="auto"/>
            </w:pPr>
            <w:r>
              <w:rPr>
                <w:sz w:val="11"/>
              </w:rPr>
              <w:t>4.574</w:t>
            </w:r>
          </w:p>
        </w:tc>
        <w:tc>
          <w:tcPr>
            <w:tcW w:type="dxa" w:w="1216"/>
            <w:vAlign w:val="center"/>
          </w:tcPr>
          <w:p>
            <w:pPr>
              <w:spacing w:after="0" w:before="0" w:line="240" w:lineRule="auto"/>
            </w:pPr>
            <w:r>
              <w:rPr>
                <w:sz w:val="11"/>
              </w:rPr>
              <w:t>post-fit 5.4</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family selected</w:t>
            </w:r>
          </w:p>
        </w:tc>
        <w:tc>
          <w:tcPr>
            <w:tcW w:type="dxa" w:w="1216"/>
            <w:vAlign w:val="center"/>
          </w:tcPr>
          <w:p>
            <w:pPr>
              <w:spacing w:after="0" w:before="0" w:line="240" w:lineRule="auto"/>
            </w:pPr>
            <w:r>
              <w:rPr>
                <w:sz w:val="11"/>
              </w:rPr>
              <w:t>PLS-SVD</w:t>
            </w:r>
          </w:p>
        </w:tc>
        <w:tc>
          <w:tcPr>
            <w:tcW w:type="dxa" w:w="1216"/>
            <w:vAlign w:val="center"/>
          </w:tcPr>
          <w:p>
            <w:pPr>
              <w:spacing w:after="0" w:before="0" w:line="240" w:lineRule="auto"/>
            </w:pPr>
            <w:r>
              <w:rPr>
                <w:sz w:val="11"/>
              </w:rPr>
              <w:t>CUDA / RSVD</w:t>
            </w:r>
          </w:p>
        </w:tc>
        <w:tc>
          <w:tcPr>
            <w:tcW w:type="dxa" w:w="1216"/>
            <w:vAlign w:val="center"/>
          </w:tcPr>
          <w:p>
            <w:pPr>
              <w:spacing w:after="0" w:before="0" w:line="240" w:lineRule="auto"/>
            </w:pPr>
            <w:r>
              <w:rPr>
                <w:sz w:val="11"/>
              </w:rPr>
              <w:t>5</w:t>
            </w:r>
          </w:p>
        </w:tc>
        <w:tc>
          <w:tcPr>
            <w:tcW w:type="dxa" w:w="1216"/>
            <w:vAlign w:val="center"/>
          </w:tcPr>
          <w:p>
            <w:pPr>
              <w:spacing w:after="0" w:before="0" w:line="240" w:lineRule="auto"/>
            </w:pPr>
            <w:r>
              <w:rPr>
                <w:sz w:val="11"/>
              </w:rPr>
              <w:t>RMSD 0.0010426; Q² 0.989159</w:t>
            </w:r>
          </w:p>
        </w:tc>
        <w:tc>
          <w:tcPr>
            <w:tcW w:type="dxa" w:w="1216"/>
            <w:vAlign w:val="center"/>
          </w:tcPr>
          <w:p>
            <w:pPr>
              <w:spacing w:after="0" w:before="0" w:line="240" w:lineRule="auto"/>
            </w:pPr>
            <w:r>
              <w:rPr>
                <w:sz w:val="11"/>
              </w:rPr>
              <w:t>0.422</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family selected</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CPU / RSVD</w:t>
            </w:r>
          </w:p>
        </w:tc>
        <w:tc>
          <w:tcPr>
            <w:tcW w:type="dxa" w:w="1216"/>
            <w:vAlign w:val="center"/>
          </w:tcPr>
          <w:p>
            <w:pPr>
              <w:spacing w:after="0" w:before="0" w:line="240" w:lineRule="auto"/>
            </w:pPr>
            <w:r>
              <w:rPr>
                <w:sz w:val="11"/>
              </w:rPr>
              <w:t>50</w:t>
            </w:r>
          </w:p>
        </w:tc>
        <w:tc>
          <w:tcPr>
            <w:tcW w:type="dxa" w:w="1216"/>
            <w:vAlign w:val="center"/>
          </w:tcPr>
          <w:p>
            <w:pPr>
              <w:spacing w:after="0" w:before="0" w:line="240" w:lineRule="auto"/>
            </w:pPr>
            <w:r>
              <w:rPr>
                <w:sz w:val="11"/>
              </w:rPr>
              <w:t>RMSD 0.0007560; Q² 0.994301</w:t>
            </w:r>
          </w:p>
        </w:tc>
        <w:tc>
          <w:tcPr>
            <w:tcW w:type="dxa" w:w="1216"/>
            <w:vAlign w:val="center"/>
          </w:tcPr>
          <w:p>
            <w:pPr>
              <w:spacing w:after="0" w:before="0" w:line="240" w:lineRule="auto"/>
            </w:pPr>
            <w:r>
              <w:rPr>
                <w:sz w:val="11"/>
              </w:rPr>
              <w:t>152.092</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family selected</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CUDA / RSVD</w:t>
            </w:r>
          </w:p>
        </w:tc>
        <w:tc>
          <w:tcPr>
            <w:tcW w:type="dxa" w:w="1216"/>
            <w:vAlign w:val="center"/>
          </w:tcPr>
          <w:p>
            <w:pPr>
              <w:spacing w:after="0" w:before="0" w:line="240" w:lineRule="auto"/>
            </w:pPr>
            <w:r>
              <w:rPr>
                <w:sz w:val="11"/>
              </w:rPr>
              <w:t>50</w:t>
            </w:r>
          </w:p>
        </w:tc>
        <w:tc>
          <w:tcPr>
            <w:tcW w:type="dxa" w:w="1216"/>
            <w:vAlign w:val="center"/>
          </w:tcPr>
          <w:p>
            <w:pPr>
              <w:spacing w:after="0" w:before="0" w:line="240" w:lineRule="auto"/>
            </w:pPr>
            <w:r>
              <w:rPr>
                <w:sz w:val="11"/>
              </w:rPr>
              <w:t>RMSD 0.0007561; Q² 0.994299</w:t>
            </w:r>
          </w:p>
        </w:tc>
        <w:tc>
          <w:tcPr>
            <w:tcW w:type="dxa" w:w="1216"/>
            <w:vAlign w:val="center"/>
          </w:tcPr>
          <w:p>
            <w:pPr>
              <w:spacing w:after="0" w:before="0" w:line="240" w:lineRule="auto"/>
            </w:pPr>
            <w:r>
              <w:rPr>
                <w:sz w:val="11"/>
              </w:rPr>
              <w:t>3.909</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fixed 100 components</w:t>
            </w:r>
          </w:p>
        </w:tc>
        <w:tc>
          <w:tcPr>
            <w:tcW w:type="dxa" w:w="1216"/>
            <w:vAlign w:val="center"/>
          </w:tcPr>
          <w:p>
            <w:pPr>
              <w:spacing w:after="0" w:before="0" w:line="240" w:lineRule="auto"/>
            </w:pPr>
            <w:r>
              <w:rPr>
                <w:sz w:val="11"/>
              </w:rPr>
              <w:t>PLS-SVD</w:t>
            </w:r>
          </w:p>
        </w:tc>
        <w:tc>
          <w:tcPr>
            <w:tcW w:type="dxa" w:w="1216"/>
            <w:vAlign w:val="center"/>
          </w:tcPr>
          <w:p>
            <w:pPr>
              <w:spacing w:after="0" w:before="0" w:line="240" w:lineRule="auto"/>
            </w:pPr>
            <w:r>
              <w:rPr>
                <w:sz w:val="11"/>
              </w:rPr>
              <w:t>CPU / RSVD</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RMSD 0.0007208; Q² 0.994819</w:t>
            </w:r>
          </w:p>
        </w:tc>
        <w:tc>
          <w:tcPr>
            <w:tcW w:type="dxa" w:w="1216"/>
            <w:vAlign w:val="center"/>
          </w:tcPr>
          <w:p>
            <w:pPr>
              <w:spacing w:after="0" w:before="0" w:line="240" w:lineRule="auto"/>
            </w:pPr>
            <w:r>
              <w:rPr>
                <w:sz w:val="11"/>
              </w:rPr>
              <w:t>23.703</w:t>
            </w:r>
          </w:p>
        </w:tc>
        <w:tc>
          <w:tcPr>
            <w:tcW w:type="dxa" w:w="1216"/>
            <w:vAlign w:val="center"/>
          </w:tcPr>
          <w:p>
            <w:pPr>
              <w:spacing w:after="0" w:before="0" w:line="240" w:lineRule="auto"/>
            </w:pPr>
            <w:r>
              <w:rPr>
                <w:sz w:val="11"/>
              </w:rPr>
              <w:t>post-fit 77.8</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fixed 100 components</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CPU / RSVD</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RMSD 0.0008074; Q² 0.993498</w:t>
            </w:r>
          </w:p>
        </w:tc>
        <w:tc>
          <w:tcPr>
            <w:tcW w:type="dxa" w:w="1216"/>
            <w:vAlign w:val="center"/>
          </w:tcPr>
          <w:p>
            <w:pPr>
              <w:spacing w:after="0" w:before="0" w:line="240" w:lineRule="auto"/>
            </w:pPr>
            <w:r>
              <w:rPr>
                <w:sz w:val="11"/>
              </w:rPr>
              <w:t>307.484</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fixed 100 components</w:t>
            </w:r>
          </w:p>
        </w:tc>
        <w:tc>
          <w:tcPr>
            <w:tcW w:type="dxa" w:w="1216"/>
            <w:vAlign w:val="center"/>
          </w:tcPr>
          <w:p>
            <w:pPr>
              <w:spacing w:after="0" w:before="0" w:line="240" w:lineRule="auto"/>
            </w:pPr>
            <w:r>
              <w:rPr>
                <w:sz w:val="11"/>
              </w:rPr>
              <w:t>PLS-SVD</w:t>
            </w:r>
          </w:p>
        </w:tc>
        <w:tc>
          <w:tcPr>
            <w:tcW w:type="dxa" w:w="1216"/>
            <w:vAlign w:val="center"/>
          </w:tcPr>
          <w:p>
            <w:pPr>
              <w:spacing w:after="0" w:before="0" w:line="240" w:lineRule="auto"/>
            </w:pPr>
            <w:r>
              <w:rPr>
                <w:sz w:val="11"/>
              </w:rPr>
              <w:t>CUDA / RSVD</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RMSD 0.0007317; Q² 0.994660</w:t>
            </w:r>
          </w:p>
        </w:tc>
        <w:tc>
          <w:tcPr>
            <w:tcW w:type="dxa" w:w="1216"/>
            <w:vAlign w:val="center"/>
          </w:tcPr>
          <w:p>
            <w:pPr>
              <w:spacing w:after="0" w:before="0" w:line="240" w:lineRule="auto"/>
            </w:pPr>
            <w:r>
              <w:rPr>
                <w:sz w:val="11"/>
              </w:rPr>
              <w:t>1.207</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fixed 100 components</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CUDA / RSVD</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RMSD 0.0008250; Q² 0.993212</w:t>
            </w:r>
          </w:p>
        </w:tc>
        <w:tc>
          <w:tcPr>
            <w:tcW w:type="dxa" w:w="1216"/>
            <w:vAlign w:val="center"/>
          </w:tcPr>
          <w:p>
            <w:pPr>
              <w:spacing w:after="0" w:before="0" w:line="240" w:lineRule="auto"/>
            </w:pPr>
            <w:r>
              <w:rPr>
                <w:sz w:val="11"/>
              </w:rPr>
              <w:t>7.570</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rSVD os20/p2/s123; qualified</w:t>
            </w:r>
          </w:p>
        </w:tc>
      </w:tr>
      <w:tr>
        <w:tc>
          <w:tcPr>
            <w:tcW w:type="dxa" w:w="1216"/>
            <w:vAlign w:val="center"/>
          </w:tcPr>
          <w:p>
            <w:pPr>
              <w:spacing w:after="0" w:before="0" w:line="240" w:lineRule="auto"/>
            </w:pPr>
            <w:r>
              <w:rPr>
                <w:sz w:val="11"/>
              </w:rPr>
              <w:t>family selected</w:t>
            </w:r>
          </w:p>
        </w:tc>
        <w:tc>
          <w:tcPr>
            <w:tcW w:type="dxa" w:w="1216"/>
            <w:vAlign w:val="center"/>
          </w:tcPr>
          <w:p>
            <w:pPr>
              <w:spacing w:after="0" w:before="0" w:line="240" w:lineRule="auto"/>
            </w:pPr>
            <w:r>
              <w:rPr>
                <w:sz w:val="11"/>
              </w:rPr>
              <w:t>PLS-SVD</w:t>
            </w:r>
          </w:p>
        </w:tc>
        <w:tc>
          <w:tcPr>
            <w:tcW w:type="dxa" w:w="1216"/>
            <w:vAlign w:val="center"/>
          </w:tcPr>
          <w:p>
            <w:pPr>
              <w:spacing w:after="0" w:before="0" w:line="240" w:lineRule="auto"/>
            </w:pPr>
            <w:r>
              <w:rPr>
                <w:sz w:val="11"/>
              </w:rPr>
              <w:t>CPU / IRLBA</w:t>
            </w:r>
          </w:p>
        </w:tc>
        <w:tc>
          <w:tcPr>
            <w:tcW w:type="dxa" w:w="1216"/>
            <w:vAlign w:val="center"/>
          </w:tcPr>
          <w:p>
            <w:pPr>
              <w:spacing w:after="0" w:before="0" w:line="240" w:lineRule="auto"/>
            </w:pPr>
            <w:r>
              <w:rPr>
                <w:sz w:val="11"/>
              </w:rPr>
              <w:t>5</w:t>
            </w:r>
          </w:p>
        </w:tc>
        <w:tc>
          <w:tcPr>
            <w:tcW w:type="dxa" w:w="1216"/>
            <w:vAlign w:val="center"/>
          </w:tcPr>
          <w:p>
            <w:pPr>
              <w:spacing w:after="0" w:before="0" w:line="240" w:lineRule="auto"/>
            </w:pPr>
            <w:r>
              <w:rPr>
                <w:sz w:val="11"/>
              </w:rPr>
              <w:t>RMSD 0.0010426; Q² 0.989159</w:t>
            </w:r>
          </w:p>
        </w:tc>
        <w:tc>
          <w:tcPr>
            <w:tcW w:type="dxa" w:w="1216"/>
            <w:vAlign w:val="center"/>
          </w:tcPr>
          <w:p>
            <w:pPr>
              <w:spacing w:after="0" w:before="0" w:line="240" w:lineRule="auto"/>
            </w:pPr>
            <w:r>
              <w:rPr>
                <w:sz w:val="11"/>
              </w:rPr>
              <w:t>262.860</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CPU IRLBA; deterministic</w:t>
            </w:r>
          </w:p>
        </w:tc>
      </w:tr>
      <w:tr>
        <w:tc>
          <w:tcPr>
            <w:tcW w:type="dxa" w:w="1216"/>
            <w:vAlign w:val="center"/>
          </w:tcPr>
          <w:p>
            <w:pPr>
              <w:spacing w:after="0" w:before="0" w:line="240" w:lineRule="auto"/>
            </w:pPr>
            <w:r>
              <w:rPr>
                <w:sz w:val="11"/>
              </w:rPr>
              <w:t>family selected</w:t>
            </w:r>
          </w:p>
        </w:tc>
        <w:tc>
          <w:tcPr>
            <w:tcW w:type="dxa" w:w="1216"/>
            <w:vAlign w:val="center"/>
          </w:tcPr>
          <w:p>
            <w:pPr>
              <w:spacing w:after="0" w:before="0" w:line="240" w:lineRule="auto"/>
            </w:pPr>
            <w:r>
              <w:rPr>
                <w:sz w:val="11"/>
              </w:rPr>
              <w:t>SIMPLS</w:t>
            </w:r>
          </w:p>
        </w:tc>
        <w:tc>
          <w:tcPr>
            <w:tcW w:type="dxa" w:w="1216"/>
            <w:vAlign w:val="center"/>
          </w:tcPr>
          <w:p>
            <w:pPr>
              <w:spacing w:after="0" w:before="0" w:line="240" w:lineRule="auto"/>
            </w:pPr>
            <w:r>
              <w:rPr>
                <w:sz w:val="11"/>
              </w:rPr>
              <w:t>CPU / IRLBA</w:t>
            </w:r>
          </w:p>
        </w:tc>
        <w:tc>
          <w:tcPr>
            <w:tcW w:type="dxa" w:w="1216"/>
            <w:vAlign w:val="center"/>
          </w:tcPr>
          <w:p>
            <w:pPr>
              <w:spacing w:after="0" w:before="0" w:line="240" w:lineRule="auto"/>
            </w:pPr>
            <w:r>
              <w:rPr>
                <w:sz w:val="11"/>
              </w:rPr>
              <w:t>50</w:t>
            </w:r>
          </w:p>
        </w:tc>
        <w:tc>
          <w:tcPr>
            <w:tcW w:type="dxa" w:w="1216"/>
            <w:vAlign w:val="center"/>
          </w:tcPr>
          <w:p>
            <w:pPr>
              <w:spacing w:after="0" w:before="0" w:line="240" w:lineRule="auto"/>
            </w:pPr>
            <w:r>
              <w:rPr>
                <w:sz w:val="11"/>
              </w:rPr>
              <w:t>RMSD 0.0007561; Q² 0.994299</w:t>
            </w:r>
          </w:p>
        </w:tc>
        <w:tc>
          <w:tcPr>
            <w:tcW w:type="dxa" w:w="1216"/>
            <w:vAlign w:val="center"/>
          </w:tcPr>
          <w:p>
            <w:pPr>
              <w:spacing w:after="0" w:before="0" w:line="240" w:lineRule="auto"/>
            </w:pPr>
            <w:r>
              <w:rPr>
                <w:sz w:val="11"/>
              </w:rPr>
              <w:t>692.209</w:t>
            </w:r>
          </w:p>
        </w:tc>
        <w:tc>
          <w:tcPr>
            <w:tcW w:type="dxa" w:w="1216"/>
            <w:vAlign w:val="center"/>
          </w:tcPr>
          <w:p>
            <w:pPr>
              <w:spacing w:after="0" w:before="0" w:line="240" w:lineRule="auto"/>
            </w:pPr>
            <w:r>
              <w:rPr>
                <w:sz w:val="11"/>
              </w:rPr>
              <w:t>post-fit 0.0</w:t>
            </w:r>
          </w:p>
        </w:tc>
        <w:tc>
          <w:tcPr>
            <w:tcW w:type="dxa" w:w="1216"/>
            <w:vAlign w:val="center"/>
          </w:tcPr>
          <w:p>
            <w:pPr>
              <w:spacing w:after="0" w:before="0" w:line="240" w:lineRule="auto"/>
            </w:pPr>
            <w:r>
              <w:rPr>
                <w:sz w:val="11"/>
              </w:rPr>
              <w:t>not captured</w:t>
            </w:r>
          </w:p>
        </w:tc>
        <w:tc>
          <w:tcPr>
            <w:tcW w:type="dxa" w:w="1216"/>
            <w:vAlign w:val="center"/>
          </w:tcPr>
          <w:p>
            <w:pPr>
              <w:spacing w:before="0" w:after="0" w:line="240" w:lineRule="auto"/>
            </w:pPr>
            <w:r>
              <w:rPr>
                <w:sz w:val="11"/>
              </w:rPr>
              <w:t>v0.99.25; CPU IRLBA; deterministic</w:t>
            </w:r>
          </w:p>
        </w:tc>
      </w:tr>
      <w:tr>
        <w:tc>
          <w:tcPr>
            <w:tcW w:type="dxa" w:w="1216"/>
            <w:vAlign w:val="center"/>
          </w:tcPr>
          <w:p>
            <w:pPr>
              <w:spacing w:after="0" w:before="0" w:line="240" w:lineRule="auto"/>
            </w:pPr>
            <w:r>
              <w:rPr>
                <w:sz w:val="11"/>
              </w:rPr>
              <w:t>historical deposited workflow</w:t>
            </w:r>
          </w:p>
        </w:tc>
        <w:tc>
          <w:tcPr>
            <w:tcW w:type="dxa" w:w="1216"/>
            <w:vAlign w:val="center"/>
          </w:tcPr>
          <w:p>
            <w:pPr>
              <w:spacing w:after="0" w:before="0" w:line="240" w:lineRule="auto"/>
            </w:pPr>
            <w:r>
              <w:rPr>
                <w:sz w:val="11"/>
              </w:rPr>
              <w:t>PLS-SVD</w:t>
            </w:r>
          </w:p>
        </w:tc>
        <w:tc>
          <w:tcPr>
            <w:tcW w:type="dxa" w:w="1216"/>
            <w:vAlign w:val="center"/>
          </w:tcPr>
          <w:p>
            <w:pPr>
              <w:spacing w:after="0" w:before="0" w:line="240" w:lineRule="auto"/>
            </w:pPr>
            <w:r>
              <w:rPr>
                <w:sz w:val="11"/>
              </w:rPr>
              <w:t>deposited IRLBA</w:t>
            </w:r>
          </w:p>
        </w:tc>
        <w:tc>
          <w:tcPr>
            <w:tcW w:type="dxa" w:w="1216"/>
            <w:vAlign w:val="center"/>
          </w:tcPr>
          <w:p>
            <w:pPr>
              <w:spacing w:after="0" w:before="0" w:line="240" w:lineRule="auto"/>
            </w:pPr>
            <w:r>
              <w:rPr>
                <w:sz w:val="11"/>
              </w:rPr>
              <w:t>165</w:t>
            </w:r>
          </w:p>
        </w:tc>
        <w:tc>
          <w:tcPr>
            <w:tcW w:type="dxa" w:w="1216"/>
            <w:vAlign w:val="center"/>
          </w:tcPr>
          <w:p>
            <w:pPr>
              <w:spacing w:after="0" w:before="0" w:line="240" w:lineRule="auto"/>
            </w:pPr>
            <w:r>
              <w:rPr>
                <w:sz w:val="11"/>
              </w:rPr>
              <w:t>RMSD 0.0007099</w:t>
            </w:r>
          </w:p>
        </w:tc>
        <w:tc>
          <w:tcPr>
            <w:tcW w:type="dxa" w:w="1216"/>
            <w:vAlign w:val="center"/>
          </w:tcPr>
          <w:p>
            <w:pPr>
              <w:spacing w:after="0" w:before="0" w:line="240" w:lineRule="auto"/>
            </w:pPr>
            <w:r>
              <w:rPr>
                <w:sz w:val="11"/>
              </w:rPr>
              <w:t>447.601</w:t>
            </w:r>
          </w:p>
        </w:tc>
        <w:tc>
          <w:tcPr>
            <w:tcW w:type="dxa" w:w="1216"/>
            <w:vAlign w:val="center"/>
          </w:tcPr>
          <w:p>
            <w:pPr>
              <w:spacing w:after="0" w:before="0" w:line="240" w:lineRule="auto"/>
            </w:pPr>
            <w:r>
              <w:rPr>
                <w:sz w:val="11"/>
              </w:rPr>
              <w:t>peak 3605.5</w:t>
            </w:r>
          </w:p>
        </w:tc>
        <w:tc>
          <w:tcPr>
            <w:tcW w:type="dxa" w:w="1216"/>
            <w:vAlign w:val="center"/>
          </w:tcPr>
          <w:p>
            <w:pPr>
              <w:spacing w:after="0" w:before="0" w:line="240" w:lineRule="auto"/>
            </w:pPr>
            <w:r>
              <w:rPr>
                <w:sz w:val="11"/>
              </w:rPr>
              <w:t>NA</w:t>
            </w:r>
          </w:p>
        </w:tc>
        <w:tc>
          <w:tcPr>
            <w:tcW w:type="dxa" w:w="1216"/>
            <w:vAlign w:val="center"/>
          </w:tcPr>
          <w:p>
            <w:pPr>
              <w:spacing w:after="0" w:before="0" w:line="240" w:lineRule="auto"/>
            </w:pPr>
            <w:r>
              <w:rPr>
                <w:sz w:val="11"/>
              </w:rPr>
              <w:t>historical context; different workflow/hardware</w:t>
            </w:r>
          </w:p>
        </w:tc>
      </w:tr>
    </w:tbl>
    <w:p>
      <w:pPr>
        <w:pStyle w:val="Heading1"/>
      </w:pPr>
      <w:r>
        <w:t>S18. Historical ImageNet foundation-model embedding stress test</w:t>
      </w:r>
    </w:p>
    <w:p>
      <w:r>
        <w:t>The historical archive contained 1,281,167 precomputed DINOv2 embeddings with 1,024 features and 1,000 class labels. Seed 123 assigned 1,000,000 rows to training and 281,167 to a noncanonical holdout that had informed earlier component choices. The exact checkpoint, pooling rule, extraction script, and auditable image-to-row mapping were unavailable. Archived fastPLS 0.99.25 reran only downstream label-aware float32 SIMPLS fitting and blocked prediction using CUDA rSVD oversampling 20, two power iterations, and seed 123. All values are single-run historical feasibility estimates; they are not used for biomedical, representation-quality, or comparative predictive claims. The accuracy, runtime, and memory visualization is presented as main-text Figure 5.</w:t>
      </w:r>
    </w:p>
    <w:p>
      <w:pPr/>
      <w:r>
        <w:t>A separate repository benchmark uses FAISS [36] to compare nearest-neighbour retrieval on raw embeddings, PCA scores, and PLS scores, including transformation, index construction, and query time. It is an external retrieval analysis rather than a fastPLS classifier and is not pooled with the SIMPLS-LDA classification experiment below.</w:t>
      </w:r>
    </w:p>
    <w:p>
      <w:pPr>
        <w:pStyle w:val="Caption"/>
      </w:pPr>
      <w:r>
        <w:t>Table S13. Historical archived-release ImageNet downstream classification. Every row uses fastPLS 0.99.25, CUDA rSVD oversampling 20, two power iterations, seed 123, and qualified-approximate controls. One shared fit supplies all component prefixes; the 1,000-component row is a boundary stress point, not a selected optimum. All rows are single-run, partially reproducible feasibility estimates.</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216"/>
        <w:gridCol w:w="1216"/>
        <w:gridCol w:w="1216"/>
        <w:gridCol w:w="1216"/>
        <w:gridCol w:w="1216"/>
        <w:gridCol w:w="1216"/>
        <w:gridCol w:w="1216"/>
        <w:gridCol w:w="1216"/>
        <w:gridCol w:w="1216"/>
      </w:tblGrid>
      <w:tr>
        <w:trPr>
          <w:tblHeader w:val="true"/>
          <w:cantSplit/>
        </w:trPr>
        <w:tc>
          <w:tcPr>
            <w:tcW w:type="dxa" w:w="1216"/>
            <w:vAlign w:val="center"/>
          </w:tcPr>
          <w:p>
            <w:pPr>
              <w:spacing w:before="0" w:after="0" w:line="240" w:lineRule="auto"/>
              <w:jc w:val="left"/>
            </w:pPr>
            <w:r>
              <w:rPr>
                <w:b/>
                <w:sz w:val="11"/>
              </w:rPr>
              <w:t>Experiment</w:t>
            </w:r>
          </w:p>
        </w:tc>
        <w:tc>
          <w:tcPr>
            <w:tcW w:type="dxa" w:w="1216"/>
            <w:vAlign w:val="center"/>
          </w:tcPr>
          <w:p>
            <w:pPr>
              <w:spacing w:before="0" w:after="0" w:line="240" w:lineRule="auto"/>
              <w:jc w:val="center"/>
            </w:pPr>
            <w:r>
              <w:rPr>
                <w:b/>
                <w:sz w:val="11"/>
              </w:rPr>
              <w:t>Head / representation</w:t>
            </w:r>
          </w:p>
        </w:tc>
        <w:tc>
          <w:tcPr>
            <w:tcW w:type="dxa" w:w="1216"/>
            <w:vAlign w:val="center"/>
          </w:tcPr>
          <w:p>
            <w:pPr>
              <w:spacing w:before="0" w:after="0" w:line="240" w:lineRule="auto"/>
              <w:jc w:val="center"/>
            </w:pPr>
            <w:r>
              <w:rPr>
                <w:b/>
                <w:sz w:val="11"/>
              </w:rPr>
              <w:t>A/dim.</w:t>
            </w:r>
          </w:p>
        </w:tc>
        <w:tc>
          <w:tcPr>
            <w:tcW w:type="dxa" w:w="1216"/>
            <w:vAlign w:val="center"/>
          </w:tcPr>
          <w:p>
            <w:pPr>
              <w:spacing w:before="0" w:after="0" w:line="240" w:lineRule="auto"/>
              <w:jc w:val="center"/>
            </w:pPr>
            <w:r>
              <w:rPr>
                <w:b/>
                <w:sz w:val="11"/>
              </w:rPr>
              <w:t>Top-1</w:t>
            </w:r>
          </w:p>
        </w:tc>
        <w:tc>
          <w:tcPr>
            <w:tcW w:type="dxa" w:w="1216"/>
            <w:vAlign w:val="center"/>
          </w:tcPr>
          <w:p>
            <w:pPr>
              <w:spacing w:before="0" w:after="0" w:line="240" w:lineRule="auto"/>
              <w:jc w:val="center"/>
            </w:pPr>
            <w:r>
              <w:rPr>
                <w:b/>
                <w:sz w:val="11"/>
              </w:rPr>
              <w:t>Top-5</w:t>
            </w:r>
          </w:p>
        </w:tc>
        <w:tc>
          <w:tcPr>
            <w:tcW w:type="dxa" w:w="1216"/>
            <w:vAlign w:val="center"/>
          </w:tcPr>
          <w:p>
            <w:pPr>
              <w:spacing w:before="0" w:after="0" w:line="240" w:lineRule="auto"/>
              <w:jc w:val="center"/>
            </w:pPr>
            <w:r>
              <w:rPr>
                <w:b/>
                <w:sz w:val="11"/>
              </w:rPr>
              <w:t>End-to-end s</w:t>
            </w:r>
          </w:p>
        </w:tc>
        <w:tc>
          <w:tcPr>
            <w:tcW w:type="dxa" w:w="1216"/>
            <w:vAlign w:val="center"/>
          </w:tcPr>
          <w:p>
            <w:pPr>
              <w:spacing w:before="0" w:after="0" w:line="240" w:lineRule="auto"/>
            </w:pPr>
            <w:r>
              <w:rPr>
                <w:b/>
                <w:sz w:val="11"/>
              </w:rPr>
              <w:t>Host RSS MiB</w:t>
            </w:r>
          </w:p>
        </w:tc>
        <w:tc>
          <w:tcPr>
            <w:tcW w:type="dxa" w:w="1216"/>
            <w:vAlign w:val="center"/>
          </w:tcPr>
          <w:p>
            <w:pPr>
              <w:spacing w:before="0" w:after="0" w:line="240" w:lineRule="auto"/>
            </w:pPr>
            <w:r>
              <w:rPr>
                <w:b/>
                <w:sz w:val="11"/>
              </w:rPr>
              <w:t>GPU MiB</w:t>
            </w:r>
          </w:p>
        </w:tc>
        <w:tc>
          <w:tcPr>
            <w:tcW w:type="dxa" w:w="1216"/>
            <w:vAlign w:val="center"/>
          </w:tcPr>
          <w:p>
            <w:pPr>
              <w:spacing w:before="0" w:after="0" w:line="240" w:lineRule="auto"/>
              <w:jc w:val="center"/>
            </w:pPr>
            <w:r>
              <w:rPr>
                <w:b/>
                <w:sz w:val="11"/>
              </w:rPr>
              <w:t>Qualification</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0.64047</w:t>
            </w:r>
          </w:p>
        </w:tc>
        <w:tc>
          <w:tcPr>
            <w:tcW w:type="dxa" w:w="1216"/>
            <w:vAlign w:val="center"/>
          </w:tcPr>
          <w:p>
            <w:pPr>
              <w:spacing w:after="0" w:before="0" w:line="240" w:lineRule="auto"/>
            </w:pPr>
            <w:r>
              <w:rPr>
                <w:sz w:val="11"/>
              </w:rPr>
              <w:t>0.86775</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200</w:t>
            </w:r>
          </w:p>
        </w:tc>
        <w:tc>
          <w:tcPr>
            <w:tcW w:type="dxa" w:w="1216"/>
            <w:vAlign w:val="center"/>
          </w:tcPr>
          <w:p>
            <w:pPr>
              <w:spacing w:after="0" w:before="0" w:line="240" w:lineRule="auto"/>
            </w:pPr>
            <w:r>
              <w:rPr>
                <w:sz w:val="11"/>
              </w:rPr>
              <w:t>0.70520</w:t>
            </w:r>
          </w:p>
        </w:tc>
        <w:tc>
          <w:tcPr>
            <w:tcW w:type="dxa" w:w="1216"/>
            <w:vAlign w:val="center"/>
          </w:tcPr>
          <w:p>
            <w:pPr>
              <w:spacing w:after="0" w:before="0" w:line="240" w:lineRule="auto"/>
            </w:pPr>
            <w:r>
              <w:rPr>
                <w:sz w:val="11"/>
              </w:rPr>
              <w:t>0.91380</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300</w:t>
            </w:r>
          </w:p>
        </w:tc>
        <w:tc>
          <w:tcPr>
            <w:tcW w:type="dxa" w:w="1216"/>
            <w:vAlign w:val="center"/>
          </w:tcPr>
          <w:p>
            <w:pPr>
              <w:spacing w:after="0" w:before="0" w:line="240" w:lineRule="auto"/>
            </w:pPr>
            <w:r>
              <w:rPr>
                <w:sz w:val="11"/>
              </w:rPr>
              <w:t>0.73284</w:t>
            </w:r>
          </w:p>
        </w:tc>
        <w:tc>
          <w:tcPr>
            <w:tcW w:type="dxa" w:w="1216"/>
            <w:vAlign w:val="center"/>
          </w:tcPr>
          <w:p>
            <w:pPr>
              <w:spacing w:after="0" w:before="0" w:line="240" w:lineRule="auto"/>
            </w:pPr>
            <w:r>
              <w:rPr>
                <w:sz w:val="11"/>
              </w:rPr>
              <w:t>0.93098</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400</w:t>
            </w:r>
          </w:p>
        </w:tc>
        <w:tc>
          <w:tcPr>
            <w:tcW w:type="dxa" w:w="1216"/>
            <w:vAlign w:val="center"/>
          </w:tcPr>
          <w:p>
            <w:pPr>
              <w:spacing w:after="0" w:before="0" w:line="240" w:lineRule="auto"/>
            </w:pPr>
            <w:r>
              <w:rPr>
                <w:sz w:val="11"/>
              </w:rPr>
              <w:t>0.75233</w:t>
            </w:r>
          </w:p>
        </w:tc>
        <w:tc>
          <w:tcPr>
            <w:tcW w:type="dxa" w:w="1216"/>
            <w:vAlign w:val="center"/>
          </w:tcPr>
          <w:p>
            <w:pPr>
              <w:spacing w:after="0" w:before="0" w:line="240" w:lineRule="auto"/>
            </w:pPr>
            <w:r>
              <w:rPr>
                <w:sz w:val="11"/>
              </w:rPr>
              <w:t>0.94048</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500</w:t>
            </w:r>
          </w:p>
        </w:tc>
        <w:tc>
          <w:tcPr>
            <w:tcW w:type="dxa" w:w="1216"/>
            <w:vAlign w:val="center"/>
          </w:tcPr>
          <w:p>
            <w:pPr>
              <w:spacing w:after="0" w:before="0" w:line="240" w:lineRule="auto"/>
            </w:pPr>
            <w:r>
              <w:rPr>
                <w:sz w:val="11"/>
              </w:rPr>
              <w:t>0.76643</w:t>
            </w:r>
          </w:p>
        </w:tc>
        <w:tc>
          <w:tcPr>
            <w:tcW w:type="dxa" w:w="1216"/>
            <w:vAlign w:val="center"/>
          </w:tcPr>
          <w:p>
            <w:pPr>
              <w:spacing w:after="0" w:before="0" w:line="240" w:lineRule="auto"/>
            </w:pPr>
            <w:r>
              <w:rPr>
                <w:sz w:val="11"/>
              </w:rPr>
              <w:t>0.94621</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600</w:t>
            </w:r>
          </w:p>
        </w:tc>
        <w:tc>
          <w:tcPr>
            <w:tcW w:type="dxa" w:w="1216"/>
            <w:vAlign w:val="center"/>
          </w:tcPr>
          <w:p>
            <w:pPr>
              <w:spacing w:after="0" w:before="0" w:line="240" w:lineRule="auto"/>
            </w:pPr>
            <w:r>
              <w:rPr>
                <w:sz w:val="11"/>
              </w:rPr>
              <w:t>0.77801</w:t>
            </w:r>
          </w:p>
        </w:tc>
        <w:tc>
          <w:tcPr>
            <w:tcW w:type="dxa" w:w="1216"/>
            <w:vAlign w:val="center"/>
          </w:tcPr>
          <w:p>
            <w:pPr>
              <w:spacing w:after="0" w:before="0" w:line="240" w:lineRule="auto"/>
            </w:pPr>
            <w:r>
              <w:rPr>
                <w:sz w:val="11"/>
              </w:rPr>
              <w:t>0.95041</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700</w:t>
            </w:r>
          </w:p>
        </w:tc>
        <w:tc>
          <w:tcPr>
            <w:tcW w:type="dxa" w:w="1216"/>
            <w:vAlign w:val="center"/>
          </w:tcPr>
          <w:p>
            <w:pPr>
              <w:spacing w:after="0" w:before="0" w:line="240" w:lineRule="auto"/>
            </w:pPr>
            <w:r>
              <w:rPr>
                <w:sz w:val="11"/>
              </w:rPr>
              <w:t>0.78707</w:t>
            </w:r>
          </w:p>
        </w:tc>
        <w:tc>
          <w:tcPr>
            <w:tcW w:type="dxa" w:w="1216"/>
            <w:vAlign w:val="center"/>
          </w:tcPr>
          <w:p>
            <w:pPr>
              <w:spacing w:after="0" w:before="0" w:line="240" w:lineRule="auto"/>
            </w:pPr>
            <w:r>
              <w:rPr>
                <w:sz w:val="11"/>
              </w:rPr>
              <w:t>0.95276</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800</w:t>
            </w:r>
          </w:p>
        </w:tc>
        <w:tc>
          <w:tcPr>
            <w:tcW w:type="dxa" w:w="1216"/>
            <w:vAlign w:val="center"/>
          </w:tcPr>
          <w:p>
            <w:pPr>
              <w:spacing w:after="0" w:before="0" w:line="240" w:lineRule="auto"/>
            </w:pPr>
            <w:r>
              <w:rPr>
                <w:sz w:val="11"/>
              </w:rPr>
              <w:t>0.79332</w:t>
            </w:r>
          </w:p>
        </w:tc>
        <w:tc>
          <w:tcPr>
            <w:tcW w:type="dxa" w:w="1216"/>
            <w:vAlign w:val="center"/>
          </w:tcPr>
          <w:p>
            <w:pPr>
              <w:spacing w:after="0" w:before="0" w:line="240" w:lineRule="auto"/>
            </w:pPr>
            <w:r>
              <w:rPr>
                <w:sz w:val="11"/>
              </w:rPr>
              <w:t>0.95438</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900</w:t>
            </w:r>
          </w:p>
        </w:tc>
        <w:tc>
          <w:tcPr>
            <w:tcW w:type="dxa" w:w="1216"/>
            <w:vAlign w:val="center"/>
          </w:tcPr>
          <w:p>
            <w:pPr>
              <w:spacing w:after="0" w:before="0" w:line="240" w:lineRule="auto"/>
            </w:pPr>
            <w:r>
              <w:rPr>
                <w:sz w:val="11"/>
              </w:rPr>
              <w:t>0.79736</w:t>
            </w:r>
          </w:p>
        </w:tc>
        <w:tc>
          <w:tcPr>
            <w:tcW w:type="dxa" w:w="1216"/>
            <w:vAlign w:val="center"/>
          </w:tcPr>
          <w:p>
            <w:pPr>
              <w:spacing w:after="0" w:before="0" w:line="240" w:lineRule="auto"/>
            </w:pPr>
            <w:r>
              <w:rPr>
                <w:sz w:val="11"/>
              </w:rPr>
              <w:t>0.95538</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ARGMAX</w:t>
            </w:r>
          </w:p>
        </w:tc>
        <w:tc>
          <w:tcPr>
            <w:tcW w:type="dxa" w:w="1216"/>
            <w:vAlign w:val="center"/>
          </w:tcPr>
          <w:p>
            <w:pPr>
              <w:spacing w:after="0" w:before="0" w:line="240" w:lineRule="auto"/>
            </w:pPr>
            <w:r>
              <w:rPr>
                <w:sz w:val="11"/>
              </w:rPr>
              <w:t>1000</w:t>
            </w:r>
          </w:p>
        </w:tc>
        <w:tc>
          <w:tcPr>
            <w:tcW w:type="dxa" w:w="1216"/>
            <w:vAlign w:val="center"/>
          </w:tcPr>
          <w:p>
            <w:pPr>
              <w:spacing w:after="0" w:before="0" w:line="240" w:lineRule="auto"/>
            </w:pPr>
            <w:r>
              <w:rPr>
                <w:sz w:val="11"/>
              </w:rPr>
              <w:t>0.79980</w:t>
            </w:r>
          </w:p>
        </w:tc>
        <w:tc>
          <w:tcPr>
            <w:tcW w:type="dxa" w:w="1216"/>
            <w:vAlign w:val="center"/>
          </w:tcPr>
          <w:p>
            <w:pPr>
              <w:spacing w:after="0" w:before="0" w:line="240" w:lineRule="auto"/>
            </w:pPr>
            <w:r>
              <w:rPr>
                <w:sz w:val="11"/>
              </w:rPr>
              <w:t>0.95613</w:t>
            </w:r>
          </w:p>
        </w:tc>
        <w:tc>
          <w:tcPr>
            <w:tcW w:type="dxa" w:w="1216"/>
            <w:vAlign w:val="center"/>
          </w:tcPr>
          <w:p>
            <w:pPr>
              <w:spacing w:after="0" w:before="0" w:line="240" w:lineRule="auto"/>
            </w:pPr>
            <w:r>
              <w:rPr>
                <w:sz w:val="11"/>
              </w:rPr>
              <w:t>2150.06</w:t>
            </w:r>
          </w:p>
        </w:tc>
        <w:tc>
          <w:tcPr>
            <w:tcW w:type="dxa" w:w="1216"/>
            <w:vAlign w:val="center"/>
          </w:tcPr>
          <w:p>
            <w:pPr>
              <w:spacing w:after="0" w:before="0" w:line="240" w:lineRule="auto"/>
            </w:pPr>
            <w:r>
              <w:rPr>
                <w:sz w:val="11"/>
              </w:rPr>
              <w:t>9884</w:t>
            </w:r>
          </w:p>
        </w:tc>
        <w:tc>
          <w:tcPr>
            <w:tcW w:type="dxa" w:w="1216"/>
            <w:vAlign w:val="center"/>
          </w:tcPr>
          <w:p>
            <w:pPr>
              <w:spacing w:after="0" w:before="0" w:line="240" w:lineRule="auto"/>
            </w:pPr>
            <w:r>
              <w:rPr>
                <w:sz w:val="11"/>
              </w:rPr>
              <w:t>782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100</w:t>
            </w:r>
          </w:p>
        </w:tc>
        <w:tc>
          <w:tcPr>
            <w:tcW w:type="dxa" w:w="1216"/>
            <w:vAlign w:val="center"/>
          </w:tcPr>
          <w:p>
            <w:pPr>
              <w:spacing w:after="0" w:before="0" w:line="240" w:lineRule="auto"/>
            </w:pPr>
            <w:r>
              <w:rPr>
                <w:sz w:val="11"/>
              </w:rPr>
              <w:t>0.78061</w:t>
            </w:r>
          </w:p>
        </w:tc>
        <w:tc>
          <w:tcPr>
            <w:tcW w:type="dxa" w:w="1216"/>
            <w:vAlign w:val="center"/>
          </w:tcPr>
          <w:p>
            <w:pPr>
              <w:spacing w:after="0" w:before="0" w:line="240" w:lineRule="auto"/>
            </w:pPr>
            <w:r>
              <w:rPr>
                <w:sz w:val="11"/>
              </w:rPr>
              <w:t>0.92779</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200</w:t>
            </w:r>
          </w:p>
        </w:tc>
        <w:tc>
          <w:tcPr>
            <w:tcW w:type="dxa" w:w="1216"/>
            <w:vAlign w:val="center"/>
          </w:tcPr>
          <w:p>
            <w:pPr>
              <w:spacing w:after="0" w:before="0" w:line="240" w:lineRule="auto"/>
            </w:pPr>
            <w:r>
              <w:rPr>
                <w:sz w:val="11"/>
              </w:rPr>
              <w:t>0.79073</w:t>
            </w:r>
          </w:p>
        </w:tc>
        <w:tc>
          <w:tcPr>
            <w:tcW w:type="dxa" w:w="1216"/>
            <w:vAlign w:val="center"/>
          </w:tcPr>
          <w:p>
            <w:pPr>
              <w:spacing w:after="0" w:before="0" w:line="240" w:lineRule="auto"/>
            </w:pPr>
            <w:r>
              <w:rPr>
                <w:sz w:val="11"/>
              </w:rPr>
              <w:t>0.93201</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300</w:t>
            </w:r>
          </w:p>
        </w:tc>
        <w:tc>
          <w:tcPr>
            <w:tcW w:type="dxa" w:w="1216"/>
            <w:vAlign w:val="center"/>
          </w:tcPr>
          <w:p>
            <w:pPr>
              <w:spacing w:after="0" w:before="0" w:line="240" w:lineRule="auto"/>
            </w:pPr>
            <w:r>
              <w:rPr>
                <w:sz w:val="11"/>
              </w:rPr>
              <w:t>0.79548</w:t>
            </w:r>
          </w:p>
        </w:tc>
        <w:tc>
          <w:tcPr>
            <w:tcW w:type="dxa" w:w="1216"/>
            <w:vAlign w:val="center"/>
          </w:tcPr>
          <w:p>
            <w:pPr>
              <w:spacing w:after="0" w:before="0" w:line="240" w:lineRule="auto"/>
            </w:pPr>
            <w:r>
              <w:rPr>
                <w:sz w:val="11"/>
              </w:rPr>
              <w:t>0.93344</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400</w:t>
            </w:r>
          </w:p>
        </w:tc>
        <w:tc>
          <w:tcPr>
            <w:tcW w:type="dxa" w:w="1216"/>
            <w:vAlign w:val="center"/>
          </w:tcPr>
          <w:p>
            <w:pPr>
              <w:spacing w:after="0" w:before="0" w:line="240" w:lineRule="auto"/>
            </w:pPr>
            <w:r>
              <w:rPr>
                <w:sz w:val="11"/>
              </w:rPr>
              <w:t>0.79844</w:t>
            </w:r>
          </w:p>
        </w:tc>
        <w:tc>
          <w:tcPr>
            <w:tcW w:type="dxa" w:w="1216"/>
            <w:vAlign w:val="center"/>
          </w:tcPr>
          <w:p>
            <w:pPr>
              <w:spacing w:after="0" w:before="0" w:line="240" w:lineRule="auto"/>
            </w:pPr>
            <w:r>
              <w:rPr>
                <w:sz w:val="11"/>
              </w:rPr>
              <w:t>0.93394</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500</w:t>
            </w:r>
          </w:p>
        </w:tc>
        <w:tc>
          <w:tcPr>
            <w:tcW w:type="dxa" w:w="1216"/>
            <w:vAlign w:val="center"/>
          </w:tcPr>
          <w:p>
            <w:pPr>
              <w:spacing w:after="0" w:before="0" w:line="240" w:lineRule="auto"/>
            </w:pPr>
            <w:r>
              <w:rPr>
                <w:sz w:val="11"/>
              </w:rPr>
              <w:t>0.80067</w:t>
            </w:r>
          </w:p>
        </w:tc>
        <w:tc>
          <w:tcPr>
            <w:tcW w:type="dxa" w:w="1216"/>
            <w:vAlign w:val="center"/>
          </w:tcPr>
          <w:p>
            <w:pPr>
              <w:spacing w:after="0" w:before="0" w:line="240" w:lineRule="auto"/>
            </w:pPr>
            <w:r>
              <w:rPr>
                <w:sz w:val="11"/>
              </w:rPr>
              <w:t>0.93468</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600</w:t>
            </w:r>
          </w:p>
        </w:tc>
        <w:tc>
          <w:tcPr>
            <w:tcW w:type="dxa" w:w="1216"/>
            <w:vAlign w:val="center"/>
          </w:tcPr>
          <w:p>
            <w:pPr>
              <w:spacing w:after="0" w:before="0" w:line="240" w:lineRule="auto"/>
            </w:pPr>
            <w:r>
              <w:rPr>
                <w:sz w:val="11"/>
              </w:rPr>
              <w:t>0.80297</w:t>
            </w:r>
          </w:p>
        </w:tc>
        <w:tc>
          <w:tcPr>
            <w:tcW w:type="dxa" w:w="1216"/>
            <w:vAlign w:val="center"/>
          </w:tcPr>
          <w:p>
            <w:pPr>
              <w:spacing w:after="0" w:before="0" w:line="240" w:lineRule="auto"/>
            </w:pPr>
            <w:r>
              <w:rPr>
                <w:sz w:val="11"/>
              </w:rPr>
              <w:t>0.93550</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700</w:t>
            </w:r>
          </w:p>
        </w:tc>
        <w:tc>
          <w:tcPr>
            <w:tcW w:type="dxa" w:w="1216"/>
            <w:vAlign w:val="center"/>
          </w:tcPr>
          <w:p>
            <w:pPr>
              <w:spacing w:after="0" w:before="0" w:line="240" w:lineRule="auto"/>
            </w:pPr>
            <w:r>
              <w:rPr>
                <w:sz w:val="11"/>
              </w:rPr>
              <w:t>0.80508</w:t>
            </w:r>
          </w:p>
        </w:tc>
        <w:tc>
          <w:tcPr>
            <w:tcW w:type="dxa" w:w="1216"/>
            <w:vAlign w:val="center"/>
          </w:tcPr>
          <w:p>
            <w:pPr>
              <w:spacing w:after="0" w:before="0" w:line="240" w:lineRule="auto"/>
            </w:pPr>
            <w:r>
              <w:rPr>
                <w:sz w:val="11"/>
              </w:rPr>
              <w:t>0.93675</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800</w:t>
            </w:r>
          </w:p>
        </w:tc>
        <w:tc>
          <w:tcPr>
            <w:tcW w:type="dxa" w:w="1216"/>
            <w:vAlign w:val="center"/>
          </w:tcPr>
          <w:p>
            <w:pPr>
              <w:spacing w:after="0" w:before="0" w:line="240" w:lineRule="auto"/>
            </w:pPr>
            <w:r>
              <w:rPr>
                <w:sz w:val="11"/>
              </w:rPr>
              <w:t>0.80689</w:t>
            </w:r>
          </w:p>
        </w:tc>
        <w:tc>
          <w:tcPr>
            <w:tcW w:type="dxa" w:w="1216"/>
            <w:vAlign w:val="center"/>
          </w:tcPr>
          <w:p>
            <w:pPr>
              <w:spacing w:after="0" w:before="0" w:line="240" w:lineRule="auto"/>
            </w:pPr>
            <w:r>
              <w:rPr>
                <w:sz w:val="11"/>
              </w:rPr>
              <w:t>0.93787</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900</w:t>
            </w:r>
          </w:p>
        </w:tc>
        <w:tc>
          <w:tcPr>
            <w:tcW w:type="dxa" w:w="1216"/>
            <w:vAlign w:val="center"/>
          </w:tcPr>
          <w:p>
            <w:pPr>
              <w:spacing w:after="0" w:before="0" w:line="240" w:lineRule="auto"/>
            </w:pPr>
            <w:r>
              <w:rPr>
                <w:sz w:val="11"/>
              </w:rPr>
              <w:t>0.80847</w:t>
            </w:r>
          </w:p>
        </w:tc>
        <w:tc>
          <w:tcPr>
            <w:tcW w:type="dxa" w:w="1216"/>
            <w:vAlign w:val="center"/>
          </w:tcPr>
          <w:p>
            <w:pPr>
              <w:spacing w:after="0" w:before="0" w:line="240" w:lineRule="auto"/>
            </w:pPr>
            <w:r>
              <w:rPr>
                <w:sz w:val="11"/>
              </w:rPr>
              <w:t>0.93869</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r>
        <w:tc>
          <w:tcPr>
            <w:tcW w:type="dxa" w:w="1216"/>
            <w:vAlign w:val="center"/>
          </w:tcPr>
          <w:p>
            <w:pPr>
              <w:spacing w:after="0" w:before="0" w:line="240" w:lineRule="auto"/>
            </w:pPr>
            <w:r>
              <w:rPr>
                <w:sz w:val="11"/>
              </w:rPr>
              <w:t>classification</w:t>
            </w:r>
          </w:p>
        </w:tc>
        <w:tc>
          <w:tcPr>
            <w:tcW w:type="dxa" w:w="1216"/>
            <w:vAlign w:val="center"/>
          </w:tcPr>
          <w:p>
            <w:pPr>
              <w:spacing w:after="0" w:before="0" w:line="240" w:lineRule="auto"/>
            </w:pPr>
            <w:r>
              <w:rPr>
                <w:sz w:val="11"/>
              </w:rPr>
              <w:t>LDA</w:t>
            </w:r>
          </w:p>
        </w:tc>
        <w:tc>
          <w:tcPr>
            <w:tcW w:type="dxa" w:w="1216"/>
            <w:vAlign w:val="center"/>
          </w:tcPr>
          <w:p>
            <w:pPr>
              <w:spacing w:after="0" w:before="0" w:line="240" w:lineRule="auto"/>
            </w:pPr>
            <w:r>
              <w:rPr>
                <w:sz w:val="11"/>
              </w:rPr>
              <w:t>1000</w:t>
            </w:r>
          </w:p>
        </w:tc>
        <w:tc>
          <w:tcPr>
            <w:tcW w:type="dxa" w:w="1216"/>
            <w:vAlign w:val="center"/>
          </w:tcPr>
          <w:p>
            <w:pPr>
              <w:spacing w:after="0" w:before="0" w:line="240" w:lineRule="auto"/>
            </w:pPr>
            <w:r>
              <w:rPr>
                <w:sz w:val="11"/>
              </w:rPr>
              <w:t>0.80938</w:t>
            </w:r>
          </w:p>
        </w:tc>
        <w:tc>
          <w:tcPr>
            <w:tcW w:type="dxa" w:w="1216"/>
            <w:vAlign w:val="center"/>
          </w:tcPr>
          <w:p>
            <w:pPr>
              <w:spacing w:after="0" w:before="0" w:line="240" w:lineRule="auto"/>
            </w:pPr>
            <w:r>
              <w:rPr>
                <w:sz w:val="11"/>
              </w:rPr>
              <w:t>0.93929</w:t>
            </w:r>
          </w:p>
        </w:tc>
        <w:tc>
          <w:tcPr>
            <w:tcW w:type="dxa" w:w="1216"/>
            <w:vAlign w:val="center"/>
          </w:tcPr>
          <w:p>
            <w:pPr>
              <w:spacing w:after="0" w:before="0" w:line="240" w:lineRule="auto"/>
            </w:pPr>
            <w:r>
              <w:rPr>
                <w:sz w:val="11"/>
              </w:rPr>
              <w:t>1225.33</w:t>
            </w:r>
          </w:p>
        </w:tc>
        <w:tc>
          <w:tcPr>
            <w:tcW w:type="dxa" w:w="1216"/>
            <w:vAlign w:val="center"/>
          </w:tcPr>
          <w:p>
            <w:pPr>
              <w:spacing w:after="0" w:before="0" w:line="240" w:lineRule="auto"/>
            </w:pPr>
            <w:r>
              <w:rPr>
                <w:sz w:val="11"/>
              </w:rPr>
              <w:t>9718</w:t>
            </w:r>
          </w:p>
        </w:tc>
        <w:tc>
          <w:tcPr>
            <w:tcW w:type="dxa" w:w="1216"/>
            <w:vAlign w:val="center"/>
          </w:tcPr>
          <w:p>
            <w:pPr>
              <w:spacing w:after="0" w:before="0" w:line="240" w:lineRule="auto"/>
            </w:pPr>
            <w:r>
              <w:rPr>
                <w:sz w:val="11"/>
              </w:rPr>
              <w:t>4792</w:t>
            </w:r>
          </w:p>
        </w:tc>
        <w:tc>
          <w:tcPr>
            <w:tcW w:type="dxa" w:w="1216"/>
            <w:vAlign w:val="center"/>
          </w:tcPr>
          <w:p>
            <w:pPr>
              <w:spacing w:before="0" w:after="0" w:line="240" w:lineRule="auto"/>
            </w:pPr>
            <w:r>
              <w:rPr>
                <w:sz w:val="11"/>
              </w:rPr>
              <w:t>v0.99.25; os20/p2/s123; qualified</w:t>
            </w:r>
          </w:p>
        </w:tc>
      </w:tr>
    </w:tbl>
    <w:p>
      <w:pPr>
        <w:pStyle w:val="Heading1"/>
      </w:pPr>
      <w:r>
        <w:t>S19. Archival repeated outer-partition sensitivity analysis</w:t>
      </w:r>
    </w:p>
    <w:p>
      <w:r>
        <w:t>This development-stage sensitivity analysis was not regenerated from the archived 0.99.25 release and is excluded from central release claims. It is retained to document variability observed during method development. MetRef, GTEx v8, and Retina used ten stratified 80/20 outer partitions with five-fold training-only component selection; NMR used five random 80/20 partitions and three-fold selection. The empirical ranges are descriptive, not confidence intervals for the archived-release analyses.</w:t>
      </w:r>
    </w:p>
    <w:p>
      <w:pPr>
        <w:pStyle w:val="Caption"/>
      </w:pPr>
      <w:r>
        <w:t>Table S14. Supporting repeated-partition predictive dispersion and component-selection sensitivity. These development results show training-partition variability but were not regenerated from the archived 0.99.25 release and are not used as central release claims. Selection frequencies at a boundary are reported explicitly.</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094"/>
        <w:gridCol w:w="1094"/>
        <w:gridCol w:w="1094"/>
        <w:gridCol w:w="1094"/>
        <w:gridCol w:w="1094"/>
        <w:gridCol w:w="1094"/>
        <w:gridCol w:w="1094"/>
        <w:gridCol w:w="1094"/>
        <w:gridCol w:w="1094"/>
        <w:gridCol w:w="1098"/>
      </w:tblGrid>
      <w:tr>
        <w:trPr>
          <w:tblHeader w:val="true"/>
          <w:cantSplit/>
        </w:trPr>
        <w:tc>
          <w:tcPr>
            <w:tcW w:type="dxa" w:w="1094"/>
            <w:vAlign w:val="center"/>
          </w:tcPr>
          <w:p>
            <w:pPr>
              <w:spacing w:before="0" w:after="0" w:line="240" w:lineRule="auto"/>
              <w:jc w:val="left"/>
            </w:pPr>
            <w:r>
              <w:rPr>
                <w:b/>
                <w:sz w:val="11"/>
              </w:rPr>
              <w:t>Dataset</w:t>
            </w:r>
          </w:p>
        </w:tc>
        <w:tc>
          <w:tcPr>
            <w:tcW w:type="dxa" w:w="1094"/>
            <w:vAlign w:val="center"/>
          </w:tcPr>
          <w:p>
            <w:pPr>
              <w:spacing w:before="0" w:after="0" w:line="240" w:lineRule="auto"/>
              <w:jc w:val="center"/>
            </w:pPr>
            <w:r>
              <w:rPr>
                <w:b/>
                <w:sz w:val="11"/>
              </w:rPr>
              <w:t>Family</w:t>
            </w:r>
          </w:p>
        </w:tc>
        <w:tc>
          <w:tcPr>
            <w:tcW w:type="dxa" w:w="1094"/>
            <w:vAlign w:val="center"/>
          </w:tcPr>
          <w:p>
            <w:pPr>
              <w:spacing w:before="0" w:after="0" w:line="240" w:lineRule="auto"/>
              <w:jc w:val="center"/>
            </w:pPr>
            <w:r>
              <w:rPr>
                <w:b/>
                <w:sz w:val="11"/>
              </w:rPr>
              <w:t>Head</w:t>
            </w:r>
          </w:p>
        </w:tc>
        <w:tc>
          <w:tcPr>
            <w:tcW w:type="dxa" w:w="1094"/>
            <w:vAlign w:val="center"/>
          </w:tcPr>
          <w:p>
            <w:pPr>
              <w:spacing w:before="0" w:after="0" w:line="240" w:lineRule="auto"/>
              <w:jc w:val="center"/>
            </w:pPr>
            <w:r>
              <w:rPr>
                <w:b/>
                <w:sz w:val="11"/>
              </w:rPr>
              <w:t>Outer n</w:t>
            </w:r>
          </w:p>
        </w:tc>
        <w:tc>
          <w:tcPr>
            <w:tcW w:type="dxa" w:w="1094"/>
            <w:vAlign w:val="center"/>
          </w:tcPr>
          <w:p>
            <w:pPr>
              <w:spacing w:before="0" w:after="0" w:line="240" w:lineRule="auto"/>
              <w:jc w:val="center"/>
            </w:pPr>
            <w:r>
              <w:rPr>
                <w:b/>
                <w:sz w:val="11"/>
              </w:rPr>
              <w:t>Metric</w:t>
            </w:r>
          </w:p>
        </w:tc>
        <w:tc>
          <w:tcPr>
            <w:tcW w:type="dxa" w:w="1094"/>
            <w:vAlign w:val="center"/>
          </w:tcPr>
          <w:p>
            <w:pPr>
              <w:spacing w:before="0" w:after="0" w:line="240" w:lineRule="auto"/>
              <w:jc w:val="center"/>
            </w:pPr>
            <w:r>
              <w:rPr>
                <w:b/>
                <w:sz w:val="11"/>
              </w:rPr>
              <w:t>Mean (SD)</w:t>
            </w:r>
          </w:p>
        </w:tc>
        <w:tc>
          <w:tcPr>
            <w:tcW w:type="dxa" w:w="1094"/>
            <w:vAlign w:val="center"/>
          </w:tcPr>
          <w:p>
            <w:pPr>
              <w:spacing w:before="0" w:after="0" w:line="240" w:lineRule="auto"/>
              <w:jc w:val="center"/>
            </w:pPr>
            <w:r>
              <w:rPr>
                <w:b/>
                <w:sz w:val="11"/>
              </w:rPr>
              <w:t>Empirical range</w:t>
            </w:r>
          </w:p>
        </w:tc>
        <w:tc>
          <w:tcPr>
            <w:tcW w:type="dxa" w:w="1094"/>
            <w:vAlign w:val="center"/>
          </w:tcPr>
          <w:p>
            <w:pPr>
              <w:spacing w:before="0" w:after="0" w:line="240" w:lineRule="auto"/>
              <w:jc w:val="center"/>
            </w:pPr>
            <w:r>
              <w:rPr>
                <w:b/>
                <w:sz w:val="11"/>
              </w:rPr>
              <w:t>Selected A range</w:t>
            </w:r>
          </w:p>
        </w:tc>
        <w:tc>
          <w:tcPr>
            <w:tcW w:type="dxa" w:w="1094"/>
            <w:vAlign w:val="center"/>
          </w:tcPr>
          <w:p>
            <w:pPr>
              <w:spacing w:before="0" w:after="0" w:line="240" w:lineRule="auto"/>
              <w:jc w:val="center"/>
            </w:pPr>
            <w:r>
              <w:rPr>
                <w:b/>
                <w:sz w:val="11"/>
              </w:rPr>
              <w:t>Upper-bound freq.</w:t>
            </w:r>
          </w:p>
        </w:tc>
        <w:tc>
          <w:tcPr>
            <w:tcW w:type="dxa" w:w="1098"/>
            <w:vAlign w:val="center"/>
          </w:tcPr>
          <w:p>
            <w:pPr>
              <w:spacing w:before="0" w:after="0" w:line="240" w:lineRule="auto"/>
              <w:jc w:val="center"/>
            </w:pPr>
            <w:r>
              <w:rPr>
                <w:b/>
                <w:sz w:val="11"/>
              </w:rPr>
              <w:t>Constraint</w:t>
            </w:r>
          </w:p>
        </w:tc>
      </w:tr>
      <w:tr>
        <w:trPr>
          <w:cantSplit/>
        </w:trPr>
        <w:tc>
          <w:tcPr>
            <w:tcW w:type="dxa" w:w="1094"/>
            <w:vAlign w:val="center"/>
          </w:tcPr>
          <w:p>
            <w:pPr>
              <w:spacing w:before="0" w:after="0" w:line="240" w:lineRule="auto"/>
              <w:jc w:val="left"/>
            </w:pPr>
            <w:r>
              <w:rPr>
                <w:b w:val="0"/>
                <w:sz w:val="11"/>
              </w:rPr>
              <w:t>gtex v8</w:t>
            </w:r>
          </w:p>
        </w:tc>
        <w:tc>
          <w:tcPr>
            <w:tcW w:type="dxa" w:w="1094"/>
            <w:vAlign w:val="center"/>
          </w:tcPr>
          <w:p>
            <w:pPr>
              <w:spacing w:before="0" w:after="0" w:line="240" w:lineRule="auto"/>
              <w:jc w:val="center"/>
            </w:pPr>
            <w:r>
              <w:rPr>
                <w:b w:val="0"/>
                <w:sz w:val="11"/>
              </w:rPr>
              <w:t>kernel 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0.963437 (0.0048)</w:t>
            </w:r>
          </w:p>
        </w:tc>
        <w:tc>
          <w:tcPr>
            <w:tcW w:type="dxa" w:w="1094"/>
            <w:vAlign w:val="center"/>
          </w:tcPr>
          <w:p>
            <w:pPr>
              <w:spacing w:before="0" w:after="0" w:line="240" w:lineRule="auto"/>
              <w:jc w:val="center"/>
            </w:pPr>
            <w:r>
              <w:rPr>
                <w:b w:val="0"/>
                <w:sz w:val="11"/>
              </w:rPr>
              <w:t>0.956072-0.968702</w:t>
            </w:r>
          </w:p>
        </w:tc>
        <w:tc>
          <w:tcPr>
            <w:tcW w:type="dxa" w:w="1094"/>
            <w:vAlign w:val="center"/>
          </w:tcPr>
          <w:p>
            <w:pPr>
              <w:spacing w:before="0" w:after="0" w:line="240" w:lineRule="auto"/>
              <w:jc w:val="center"/>
            </w:pPr>
            <w:r>
              <w:rPr>
                <w:b w:val="0"/>
                <w:sz w:val="11"/>
              </w:rPr>
              <w:t>100-100</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gtex v8</w:t>
            </w:r>
          </w:p>
        </w:tc>
        <w:tc>
          <w:tcPr>
            <w:tcW w:type="dxa" w:w="1094"/>
            <w:vAlign w:val="center"/>
          </w:tcPr>
          <w:p>
            <w:pPr>
              <w:spacing w:before="0" w:after="0" w:line="240" w:lineRule="auto"/>
              <w:jc w:val="center"/>
            </w:pPr>
            <w:r>
              <w:rPr>
                <w:b w:val="0"/>
                <w:sz w:val="11"/>
              </w:rPr>
              <w:t>OPLS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0.961628 (0.00435)</w:t>
            </w:r>
          </w:p>
        </w:tc>
        <w:tc>
          <w:tcPr>
            <w:tcW w:type="dxa" w:w="1094"/>
            <w:vAlign w:val="center"/>
          </w:tcPr>
          <w:p>
            <w:pPr>
              <w:spacing w:before="0" w:after="0" w:line="240" w:lineRule="auto"/>
              <w:jc w:val="center"/>
            </w:pPr>
            <w:r>
              <w:rPr>
                <w:b w:val="0"/>
                <w:sz w:val="11"/>
              </w:rPr>
              <w:t>0.955362-0.96741</w:t>
            </w:r>
          </w:p>
        </w:tc>
        <w:tc>
          <w:tcPr>
            <w:tcW w:type="dxa" w:w="1094"/>
            <w:vAlign w:val="center"/>
          </w:tcPr>
          <w:p>
            <w:pPr>
              <w:spacing w:before="0" w:after="0" w:line="240" w:lineRule="auto"/>
              <w:jc w:val="center"/>
            </w:pPr>
            <w:r>
              <w:rPr>
                <w:b w:val="0"/>
                <w:sz w:val="11"/>
              </w:rPr>
              <w:t>100-100</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gtex v8</w:t>
            </w:r>
          </w:p>
        </w:tc>
        <w:tc>
          <w:tcPr>
            <w:tcW w:type="dxa" w:w="1094"/>
            <w:vAlign w:val="center"/>
          </w:tcPr>
          <w:p>
            <w:pPr>
              <w:spacing w:before="0" w:after="0" w:line="240" w:lineRule="auto"/>
              <w:jc w:val="center"/>
            </w:pPr>
            <w:r>
              <w:rPr>
                <w:b w:val="0"/>
                <w:sz w:val="11"/>
              </w:rPr>
              <w:t>PLS-SVD</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0.942765 (0.00642)</w:t>
            </w:r>
          </w:p>
        </w:tc>
        <w:tc>
          <w:tcPr>
            <w:tcW w:type="dxa" w:w="1094"/>
            <w:vAlign w:val="center"/>
          </w:tcPr>
          <w:p>
            <w:pPr>
              <w:spacing w:before="0" w:after="0" w:line="240" w:lineRule="auto"/>
              <w:jc w:val="center"/>
            </w:pPr>
            <w:r>
              <w:rPr>
                <w:b w:val="0"/>
                <w:sz w:val="11"/>
              </w:rPr>
              <w:t>0.929554-0.949031</w:t>
            </w:r>
          </w:p>
        </w:tc>
        <w:tc>
          <w:tcPr>
            <w:tcW w:type="dxa" w:w="1094"/>
            <w:vAlign w:val="center"/>
          </w:tcPr>
          <w:p>
            <w:pPr>
              <w:spacing w:before="0" w:after="0" w:line="240" w:lineRule="auto"/>
              <w:jc w:val="center"/>
            </w:pPr>
            <w:r>
              <w:rPr>
                <w:b w:val="0"/>
                <w:sz w:val="11"/>
              </w:rPr>
              <w:t>31-31</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t>rank constrained</w:t>
            </w:r>
          </w:p>
        </w:tc>
      </w:tr>
      <w:tr>
        <w:trPr>
          <w:cantSplit/>
        </w:trPr>
        <w:tc>
          <w:tcPr>
            <w:tcW w:type="dxa" w:w="1094"/>
            <w:vAlign w:val="center"/>
          </w:tcPr>
          <w:p>
            <w:pPr>
              <w:spacing w:before="0" w:after="0" w:line="240" w:lineRule="auto"/>
              <w:jc w:val="left"/>
            </w:pPr>
            <w:r>
              <w:rPr>
                <w:b w:val="0"/>
                <w:sz w:val="11"/>
              </w:rPr>
              <w:t>gtex v8</w:t>
            </w:r>
          </w:p>
        </w:tc>
        <w:tc>
          <w:tcPr>
            <w:tcW w:type="dxa" w:w="1094"/>
            <w:vAlign w:val="center"/>
          </w:tcPr>
          <w:p>
            <w:pPr>
              <w:spacing w:before="0" w:after="0" w:line="240" w:lineRule="auto"/>
              <w:jc w:val="center"/>
            </w:pPr>
            <w:r>
              <w:rPr>
                <w:b w:val="0"/>
                <w:sz w:val="11"/>
              </w:rPr>
              <w:t>SIMPLS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0.963437 (0.0048)</w:t>
            </w:r>
          </w:p>
        </w:tc>
        <w:tc>
          <w:tcPr>
            <w:tcW w:type="dxa" w:w="1094"/>
            <w:vAlign w:val="center"/>
          </w:tcPr>
          <w:p>
            <w:pPr>
              <w:spacing w:before="0" w:after="0" w:line="240" w:lineRule="auto"/>
              <w:jc w:val="center"/>
            </w:pPr>
            <w:r>
              <w:rPr>
                <w:b w:val="0"/>
                <w:sz w:val="11"/>
              </w:rPr>
              <w:t>0.956072-0.968702</w:t>
            </w:r>
          </w:p>
        </w:tc>
        <w:tc>
          <w:tcPr>
            <w:tcW w:type="dxa" w:w="1094"/>
            <w:vAlign w:val="center"/>
          </w:tcPr>
          <w:p>
            <w:pPr>
              <w:spacing w:before="0" w:after="0" w:line="240" w:lineRule="auto"/>
              <w:jc w:val="center"/>
            </w:pPr>
            <w:r>
              <w:rPr>
                <w:b w:val="0"/>
                <w:sz w:val="11"/>
              </w:rPr>
              <w:t>100-100</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kernel 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0.748023 (0.0269)</w:t>
            </w:r>
          </w:p>
        </w:tc>
        <w:tc>
          <w:tcPr>
            <w:tcW w:type="dxa" w:w="1094"/>
            <w:vAlign w:val="center"/>
          </w:tcPr>
          <w:p>
            <w:pPr>
              <w:spacing w:before="0" w:after="0" w:line="240" w:lineRule="auto"/>
              <w:jc w:val="center"/>
            </w:pPr>
            <w:r>
              <w:rPr>
                <w:b w:val="0"/>
                <w:sz w:val="11"/>
              </w:rPr>
              <w:t>0.706921-0.789689</w:t>
            </w:r>
          </w:p>
        </w:tc>
        <w:tc>
          <w:tcPr>
            <w:tcW w:type="dxa" w:w="1094"/>
            <w:vAlign w:val="center"/>
          </w:tcPr>
          <w:p>
            <w:pPr>
              <w:spacing w:before="0" w:after="0" w:line="240" w:lineRule="auto"/>
              <w:jc w:val="center"/>
            </w:pPr>
            <w:r>
              <w:rPr>
                <w:b w:val="0"/>
                <w:sz w:val="11"/>
              </w:rPr>
              <w:t>22-22</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kernel PLS</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0.858757 (0.0341)</w:t>
            </w:r>
          </w:p>
        </w:tc>
        <w:tc>
          <w:tcPr>
            <w:tcW w:type="dxa" w:w="1094"/>
            <w:vAlign w:val="center"/>
          </w:tcPr>
          <w:p>
            <w:pPr>
              <w:spacing w:before="0" w:after="0" w:line="240" w:lineRule="auto"/>
              <w:jc w:val="center"/>
            </w:pPr>
            <w:r>
              <w:rPr>
                <w:b w:val="0"/>
                <w:sz w:val="11"/>
              </w:rPr>
              <w:t>0.792938-0.900141</w:t>
            </w:r>
          </w:p>
        </w:tc>
        <w:tc>
          <w:tcPr>
            <w:tcW w:type="dxa" w:w="1094"/>
            <w:vAlign w:val="center"/>
          </w:tcPr>
          <w:p>
            <w:pPr>
              <w:spacing w:before="0" w:after="0" w:line="240" w:lineRule="auto"/>
              <w:jc w:val="center"/>
            </w:pPr>
            <w:r>
              <w:rPr>
                <w:b w:val="0"/>
                <w:sz w:val="11"/>
              </w:rPr>
              <w:t>22-22</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OPLS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0.756497 (0.0245)</w:t>
            </w:r>
          </w:p>
        </w:tc>
        <w:tc>
          <w:tcPr>
            <w:tcW w:type="dxa" w:w="1094"/>
            <w:vAlign w:val="center"/>
          </w:tcPr>
          <w:p>
            <w:pPr>
              <w:spacing w:before="0" w:after="0" w:line="240" w:lineRule="auto"/>
              <w:jc w:val="center"/>
            </w:pPr>
            <w:r>
              <w:rPr>
                <w:b w:val="0"/>
                <w:sz w:val="11"/>
              </w:rPr>
              <w:t>0.71822-0.792797</w:t>
            </w:r>
          </w:p>
        </w:tc>
        <w:tc>
          <w:tcPr>
            <w:tcW w:type="dxa" w:w="1094"/>
            <w:vAlign w:val="center"/>
          </w:tcPr>
          <w:p>
            <w:pPr>
              <w:spacing w:before="0" w:after="0" w:line="240" w:lineRule="auto"/>
              <w:jc w:val="center"/>
            </w:pPr>
            <w:r>
              <w:rPr>
                <w:b w:val="0"/>
                <w:sz w:val="11"/>
              </w:rPr>
              <w:t>22-22</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OPLS</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0.863842 (0.033)</w:t>
            </w:r>
          </w:p>
        </w:tc>
        <w:tc>
          <w:tcPr>
            <w:tcW w:type="dxa" w:w="1094"/>
            <w:vAlign w:val="center"/>
          </w:tcPr>
          <w:p>
            <w:pPr>
              <w:spacing w:before="0" w:after="0" w:line="240" w:lineRule="auto"/>
              <w:jc w:val="center"/>
            </w:pPr>
            <w:r>
              <w:rPr>
                <w:b w:val="0"/>
                <w:sz w:val="11"/>
              </w:rPr>
              <w:t>0.813559-0.901412</w:t>
            </w:r>
          </w:p>
        </w:tc>
        <w:tc>
          <w:tcPr>
            <w:tcW w:type="dxa" w:w="1094"/>
            <w:vAlign w:val="center"/>
          </w:tcPr>
          <w:p>
            <w:pPr>
              <w:spacing w:before="0" w:after="0" w:line="240" w:lineRule="auto"/>
              <w:jc w:val="center"/>
            </w:pPr>
            <w:r>
              <w:rPr>
                <w:b w:val="0"/>
                <w:sz w:val="11"/>
              </w:rPr>
              <w:t>22-22</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PLS-SVD</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0.742938 (0.0222)</w:t>
            </w:r>
          </w:p>
        </w:tc>
        <w:tc>
          <w:tcPr>
            <w:tcW w:type="dxa" w:w="1094"/>
            <w:vAlign w:val="center"/>
          </w:tcPr>
          <w:p>
            <w:pPr>
              <w:spacing w:before="0" w:after="0" w:line="240" w:lineRule="auto"/>
              <w:jc w:val="center"/>
            </w:pPr>
            <w:r>
              <w:rPr>
                <w:b w:val="0"/>
                <w:sz w:val="11"/>
              </w:rPr>
              <w:t>0.713136-0.77274</w:t>
            </w:r>
          </w:p>
        </w:tc>
        <w:tc>
          <w:tcPr>
            <w:tcW w:type="dxa" w:w="1094"/>
            <w:vAlign w:val="center"/>
          </w:tcPr>
          <w:p>
            <w:pPr>
              <w:spacing w:before="0" w:after="0" w:line="240" w:lineRule="auto"/>
              <w:jc w:val="center"/>
            </w:pPr>
            <w:r>
              <w:rPr>
                <w:b w:val="0"/>
                <w:sz w:val="11"/>
              </w:rPr>
              <w:t>20-21</w:t>
            </w:r>
          </w:p>
        </w:tc>
        <w:tc>
          <w:tcPr>
            <w:tcW w:type="dxa" w:w="1094"/>
            <w:vAlign w:val="center"/>
          </w:tcPr>
          <w:p>
            <w:pPr>
              <w:spacing w:before="0" w:after="0" w:line="240" w:lineRule="auto"/>
              <w:jc w:val="center"/>
            </w:pPr>
            <w:r>
              <w:rPr>
                <w:b w:val="0"/>
                <w:sz w:val="11"/>
              </w:rPr>
              <w:t>0.80</w:t>
            </w:r>
          </w:p>
        </w:tc>
        <w:tc>
          <w:tcPr>
            <w:tcW w:type="dxa" w:w="1098"/>
            <w:vAlign w:val="center"/>
          </w:tcPr>
          <w:p>
            <w:pPr>
              <w:spacing w:before="0" w:after="0" w:line="240" w:lineRule="auto"/>
              <w:jc w:val="center"/>
            </w:pPr>
            <w:r>
              <w:rPr>
                <w:b w:val="0"/>
                <w:sz w:val="11"/>
              </w:rPr>
              <w:t>rank constrained</w:t>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PLS-SVD</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0.821469 (0.0269)</w:t>
            </w:r>
          </w:p>
        </w:tc>
        <w:tc>
          <w:tcPr>
            <w:tcW w:type="dxa" w:w="1094"/>
            <w:vAlign w:val="center"/>
          </w:tcPr>
          <w:p>
            <w:pPr>
              <w:spacing w:before="0" w:after="0" w:line="240" w:lineRule="auto"/>
              <w:jc w:val="center"/>
            </w:pPr>
            <w:r>
              <w:rPr>
                <w:b w:val="0"/>
                <w:sz w:val="11"/>
              </w:rPr>
              <w:t>0.76596-0.846186</w:t>
            </w:r>
          </w:p>
        </w:tc>
        <w:tc>
          <w:tcPr>
            <w:tcW w:type="dxa" w:w="1094"/>
            <w:vAlign w:val="center"/>
          </w:tcPr>
          <w:p>
            <w:pPr>
              <w:spacing w:before="0" w:after="0" w:line="240" w:lineRule="auto"/>
              <w:jc w:val="center"/>
            </w:pPr>
            <w:r>
              <w:rPr>
                <w:b w:val="0"/>
                <w:sz w:val="11"/>
              </w:rPr>
              <w:t>21-21</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t>rank constrained</w:t>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SIMPLS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0.748023 (0.0269)</w:t>
            </w:r>
          </w:p>
        </w:tc>
        <w:tc>
          <w:tcPr>
            <w:tcW w:type="dxa" w:w="1094"/>
            <w:vAlign w:val="center"/>
          </w:tcPr>
          <w:p>
            <w:pPr>
              <w:spacing w:before="0" w:after="0" w:line="240" w:lineRule="auto"/>
              <w:jc w:val="center"/>
            </w:pPr>
            <w:r>
              <w:rPr>
                <w:b w:val="0"/>
                <w:sz w:val="11"/>
              </w:rPr>
              <w:t>0.706921-0.789689</w:t>
            </w:r>
          </w:p>
        </w:tc>
        <w:tc>
          <w:tcPr>
            <w:tcW w:type="dxa" w:w="1094"/>
            <w:vAlign w:val="center"/>
          </w:tcPr>
          <w:p>
            <w:pPr>
              <w:spacing w:before="0" w:after="0" w:line="240" w:lineRule="auto"/>
              <w:jc w:val="center"/>
            </w:pPr>
            <w:r>
              <w:rPr>
                <w:b w:val="0"/>
                <w:sz w:val="11"/>
              </w:rPr>
              <w:t>22-22</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metref</w:t>
            </w:r>
          </w:p>
        </w:tc>
        <w:tc>
          <w:tcPr>
            <w:tcW w:type="dxa" w:w="1094"/>
            <w:vAlign w:val="center"/>
          </w:tcPr>
          <w:p>
            <w:pPr>
              <w:spacing w:before="0" w:after="0" w:line="240" w:lineRule="auto"/>
              <w:jc w:val="center"/>
            </w:pPr>
            <w:r>
              <w:rPr>
                <w:b w:val="0"/>
                <w:sz w:val="11"/>
              </w:rPr>
              <w:t>SIMPLS</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0.858757 (0.0341)</w:t>
            </w:r>
          </w:p>
        </w:tc>
        <w:tc>
          <w:tcPr>
            <w:tcW w:type="dxa" w:w="1094"/>
            <w:vAlign w:val="center"/>
          </w:tcPr>
          <w:p>
            <w:pPr>
              <w:spacing w:before="0" w:after="0" w:line="240" w:lineRule="auto"/>
              <w:jc w:val="center"/>
            </w:pPr>
            <w:r>
              <w:rPr>
                <w:b w:val="0"/>
                <w:sz w:val="11"/>
              </w:rPr>
              <w:t>0.792938-0.900141</w:t>
            </w:r>
          </w:p>
        </w:tc>
        <w:tc>
          <w:tcPr>
            <w:tcW w:type="dxa" w:w="1094"/>
            <w:vAlign w:val="center"/>
          </w:tcPr>
          <w:p>
            <w:pPr>
              <w:spacing w:before="0" w:after="0" w:line="240" w:lineRule="auto"/>
              <w:jc w:val="center"/>
            </w:pPr>
            <w:r>
              <w:rPr>
                <w:b w:val="0"/>
                <w:sz w:val="11"/>
              </w:rPr>
              <w:t>22-22</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nmr</w:t>
            </w:r>
          </w:p>
        </w:tc>
        <w:tc>
          <w:tcPr>
            <w:tcW w:type="dxa" w:w="1094"/>
            <w:vAlign w:val="center"/>
          </w:tcPr>
          <w:p>
            <w:pPr>
              <w:spacing w:before="0" w:after="0" w:line="240" w:lineRule="auto"/>
              <w:jc w:val="center"/>
            </w:pPr>
            <w:r>
              <w:rPr>
                <w:b w:val="0"/>
                <w:sz w:val="11"/>
              </w:rPr>
              <w:t>PLS-SVD</w:t>
            </w:r>
          </w:p>
        </w:tc>
        <w:tc>
          <w:tcPr>
            <w:tcW w:type="dxa" w:w="1094"/>
            <w:vAlign w:val="center"/>
          </w:tcPr>
          <w:p>
            <w:pPr>
              <w:spacing w:before="0" w:after="0" w:line="240" w:lineRule="auto"/>
              <w:jc w:val="center"/>
            </w:pPr>
            <w:r>
              <w:rPr>
                <w:b w:val="0"/>
                <w:sz w:val="11"/>
              </w:rPr>
              <w:t>regression</w:t>
            </w:r>
          </w:p>
        </w:tc>
        <w:tc>
          <w:tcPr>
            <w:tcW w:type="dxa" w:w="1094"/>
            <w:vAlign w:val="center"/>
          </w:tcPr>
          <w:p>
            <w:pPr>
              <w:spacing w:before="0" w:after="0" w:line="240" w:lineRule="auto"/>
              <w:jc w:val="center"/>
            </w:pPr>
            <w:r>
              <w:rPr>
                <w:b w:val="0"/>
                <w:sz w:val="11"/>
              </w:rPr>
              <w:t>5</w:t>
            </w:r>
          </w:p>
        </w:tc>
        <w:tc>
          <w:tcPr>
            <w:tcW w:type="dxa" w:w="1094"/>
            <w:vAlign w:val="center"/>
          </w:tcPr>
          <w:p>
            <w:pPr>
              <w:spacing w:before="0" w:after="0" w:line="240" w:lineRule="auto"/>
              <w:jc w:val="center"/>
            </w:pPr>
            <w:r>
              <w:rPr>
                <w:b w:val="0"/>
                <w:sz w:val="11"/>
              </w:rPr>
              <w:t>RMSD</w:t>
            </w:r>
          </w:p>
        </w:tc>
        <w:tc>
          <w:tcPr>
            <w:tcW w:type="dxa" w:w="1094"/>
            <w:vAlign w:val="center"/>
          </w:tcPr>
          <w:p>
            <w:pPr>
              <w:spacing w:before="0" w:after="0" w:line="240" w:lineRule="auto"/>
              <w:jc w:val="center"/>
            </w:pPr>
            <w:r>
              <w:rPr>
                <w:b w:val="0"/>
                <w:sz w:val="11"/>
              </w:rPr>
              <w:t>0.000798261 (7.43e-05)</w:t>
            </w:r>
          </w:p>
        </w:tc>
        <w:tc>
          <w:tcPr>
            <w:tcW w:type="dxa" w:w="1094"/>
            <w:vAlign w:val="center"/>
          </w:tcPr>
          <w:p>
            <w:pPr>
              <w:spacing w:before="0" w:after="0" w:line="240" w:lineRule="auto"/>
              <w:jc w:val="center"/>
            </w:pPr>
            <w:r>
              <w:rPr>
                <w:b w:val="0"/>
                <w:sz w:val="11"/>
              </w:rPr>
              <w:t>0.000711782-0.0008999</w:t>
            </w:r>
          </w:p>
        </w:tc>
        <w:tc>
          <w:tcPr>
            <w:tcW w:type="dxa" w:w="1094"/>
            <w:vAlign w:val="center"/>
          </w:tcPr>
          <w:p>
            <w:pPr>
              <w:spacing w:before="0" w:after="0" w:line="240" w:lineRule="auto"/>
              <w:jc w:val="center"/>
            </w:pPr>
            <w:r>
              <w:rPr>
                <w:b w:val="0"/>
                <w:sz w:val="11"/>
              </w:rPr>
              <w:t>50-100</w:t>
            </w:r>
          </w:p>
        </w:tc>
        <w:tc>
          <w:tcPr>
            <w:tcW w:type="dxa" w:w="1094"/>
            <w:vAlign w:val="center"/>
          </w:tcPr>
          <w:p>
            <w:pPr>
              <w:spacing w:before="0" w:after="0" w:line="240" w:lineRule="auto"/>
              <w:jc w:val="center"/>
            </w:pPr>
            <w:r>
              <w:rPr>
                <w:b w:val="0"/>
                <w:sz w:val="11"/>
              </w:rPr>
              <w:t>0.20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nmr</w:t>
            </w:r>
          </w:p>
        </w:tc>
        <w:tc>
          <w:tcPr>
            <w:tcW w:type="dxa" w:w="1094"/>
            <w:vAlign w:val="center"/>
          </w:tcPr>
          <w:p>
            <w:pPr>
              <w:spacing w:before="0" w:after="0" w:line="240" w:lineRule="auto"/>
              <w:jc w:val="center"/>
            </w:pPr>
            <w:r>
              <w:rPr>
                <w:b w:val="0"/>
                <w:sz w:val="11"/>
              </w:rPr>
              <w:t>SIMPLS</w:t>
            </w:r>
          </w:p>
        </w:tc>
        <w:tc>
          <w:tcPr>
            <w:tcW w:type="dxa" w:w="1094"/>
            <w:vAlign w:val="center"/>
          </w:tcPr>
          <w:p>
            <w:pPr>
              <w:spacing w:before="0" w:after="0" w:line="240" w:lineRule="auto"/>
              <w:jc w:val="center"/>
            </w:pPr>
            <w:r>
              <w:rPr>
                <w:b w:val="0"/>
                <w:sz w:val="11"/>
              </w:rPr>
              <w:t>regression</w:t>
            </w:r>
          </w:p>
        </w:tc>
        <w:tc>
          <w:tcPr>
            <w:tcW w:type="dxa" w:w="1094"/>
            <w:vAlign w:val="center"/>
          </w:tcPr>
          <w:p>
            <w:pPr>
              <w:spacing w:before="0" w:after="0" w:line="240" w:lineRule="auto"/>
              <w:jc w:val="center"/>
            </w:pPr>
            <w:r>
              <w:rPr>
                <w:b w:val="0"/>
                <w:sz w:val="11"/>
              </w:rPr>
              <w:t>5</w:t>
            </w:r>
          </w:p>
        </w:tc>
        <w:tc>
          <w:tcPr>
            <w:tcW w:type="dxa" w:w="1094"/>
            <w:vAlign w:val="center"/>
          </w:tcPr>
          <w:p>
            <w:pPr>
              <w:spacing w:before="0" w:after="0" w:line="240" w:lineRule="auto"/>
              <w:jc w:val="center"/>
            </w:pPr>
            <w:r>
              <w:rPr>
                <w:b w:val="0"/>
                <w:sz w:val="11"/>
              </w:rPr>
              <w:t>RMSD</w:t>
            </w:r>
          </w:p>
        </w:tc>
        <w:tc>
          <w:tcPr>
            <w:tcW w:type="dxa" w:w="1094"/>
            <w:vAlign w:val="center"/>
          </w:tcPr>
          <w:p>
            <w:pPr>
              <w:spacing w:before="0" w:after="0" w:line="240" w:lineRule="auto"/>
              <w:jc w:val="center"/>
            </w:pPr>
            <w:r>
              <w:rPr>
                <w:b w:val="0"/>
                <w:sz w:val="11"/>
              </w:rPr>
              <w:t>0.000773708 (5.63e-05)</w:t>
            </w:r>
          </w:p>
        </w:tc>
        <w:tc>
          <w:tcPr>
            <w:tcW w:type="dxa" w:w="1094"/>
            <w:vAlign w:val="center"/>
          </w:tcPr>
          <w:p>
            <w:pPr>
              <w:spacing w:before="0" w:after="0" w:line="240" w:lineRule="auto"/>
              <w:jc w:val="center"/>
            </w:pPr>
            <w:r>
              <w:rPr>
                <w:b w:val="0"/>
                <w:sz w:val="11"/>
              </w:rPr>
              <w:t>0.000701997-0.000845392</w:t>
            </w:r>
          </w:p>
        </w:tc>
        <w:tc>
          <w:tcPr>
            <w:tcW w:type="dxa" w:w="1094"/>
            <w:vAlign w:val="center"/>
          </w:tcPr>
          <w:p>
            <w:pPr>
              <w:spacing w:before="0" w:after="0" w:line="240" w:lineRule="auto"/>
              <w:jc w:val="center"/>
            </w:pPr>
            <w:r>
              <w:rPr>
                <w:b w:val="0"/>
                <w:sz w:val="11"/>
              </w:rPr>
              <w:t>50-50</w:t>
            </w:r>
          </w:p>
        </w:tc>
        <w:tc>
          <w:tcPr>
            <w:tcW w:type="dxa" w:w="1094"/>
            <w:vAlign w:val="center"/>
          </w:tcPr>
          <w:p>
            <w:pPr>
              <w:spacing w:before="0" w:after="0" w:line="240" w:lineRule="auto"/>
              <w:jc w:val="center"/>
            </w:pPr>
            <w:r>
              <w:rPr>
                <w:b w:val="0"/>
                <w:sz w:val="11"/>
              </w:rPr>
              <w:t>0.00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kernel 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0.96799 (0.00151)</w:t>
            </w:r>
          </w:p>
        </w:tc>
        <w:tc>
          <w:tcPr>
            <w:tcW w:type="dxa" w:w="1094"/>
            <w:vAlign w:val="center"/>
          </w:tcPr>
          <w:p>
            <w:pPr>
              <w:spacing w:before="0" w:after="0" w:line="240" w:lineRule="auto"/>
              <w:jc w:val="center"/>
            </w:pPr>
            <w:r>
              <w:rPr>
                <w:b w:val="0"/>
                <w:sz w:val="11"/>
              </w:rPr>
              <w:t>0.965369-0.970341</w:t>
            </w:r>
          </w:p>
        </w:tc>
        <w:tc>
          <w:tcPr>
            <w:tcW w:type="dxa" w:w="1094"/>
            <w:vAlign w:val="center"/>
          </w:tcPr>
          <w:p>
            <w:pPr>
              <w:spacing w:before="0" w:after="0" w:line="240" w:lineRule="auto"/>
              <w:jc w:val="center"/>
            </w:pPr>
            <w:r>
              <w:rPr>
                <w:b w:val="0"/>
                <w:sz w:val="11"/>
              </w:rPr>
              <w:t>20-50</w:t>
            </w:r>
          </w:p>
        </w:tc>
        <w:tc>
          <w:tcPr>
            <w:tcW w:type="dxa" w:w="1094"/>
            <w:vAlign w:val="center"/>
          </w:tcPr>
          <w:p>
            <w:pPr>
              <w:spacing w:before="0" w:after="0" w:line="240" w:lineRule="auto"/>
              <w:jc w:val="center"/>
            </w:pPr>
            <w:r>
              <w:rPr>
                <w:b w:val="0"/>
                <w:sz w:val="11"/>
              </w:rPr>
              <w:t>0.10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kernel PLS</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0.968737 (0.00152)</w:t>
            </w:r>
          </w:p>
        </w:tc>
        <w:tc>
          <w:tcPr>
            <w:tcW w:type="dxa" w:w="1094"/>
            <w:vAlign w:val="center"/>
          </w:tcPr>
          <w:p>
            <w:pPr>
              <w:spacing w:before="0" w:after="0" w:line="240" w:lineRule="auto"/>
              <w:jc w:val="center"/>
            </w:pPr>
            <w:r>
              <w:rPr>
                <w:b w:val="0"/>
                <w:sz w:val="11"/>
              </w:rPr>
              <w:t>0.965966-0.970937</w:t>
            </w:r>
          </w:p>
        </w:tc>
        <w:tc>
          <w:tcPr>
            <w:tcW w:type="dxa" w:w="1094"/>
            <w:vAlign w:val="center"/>
          </w:tcPr>
          <w:p>
            <w:pPr>
              <w:spacing w:before="0" w:after="0" w:line="240" w:lineRule="auto"/>
              <w:jc w:val="center"/>
            </w:pPr>
            <w:r>
              <w:rPr>
                <w:b w:val="0"/>
                <w:sz w:val="11"/>
              </w:rPr>
              <w:t>20-50</w:t>
            </w:r>
          </w:p>
        </w:tc>
        <w:tc>
          <w:tcPr>
            <w:tcW w:type="dxa" w:w="1094"/>
            <w:vAlign w:val="center"/>
          </w:tcPr>
          <w:p>
            <w:pPr>
              <w:spacing w:before="0" w:after="0" w:line="240" w:lineRule="auto"/>
              <w:jc w:val="center"/>
            </w:pPr>
            <w:r>
              <w:rPr>
                <w:b w:val="0"/>
                <w:sz w:val="11"/>
              </w:rPr>
              <w:t>0.10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OPLS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0.951283 (0.00211)</w:t>
            </w:r>
          </w:p>
        </w:tc>
        <w:tc>
          <w:tcPr>
            <w:tcW w:type="dxa" w:w="1094"/>
            <w:vAlign w:val="center"/>
          </w:tcPr>
          <w:p>
            <w:pPr>
              <w:spacing w:before="0" w:after="0" w:line="240" w:lineRule="auto"/>
              <w:jc w:val="center"/>
            </w:pPr>
            <w:r>
              <w:rPr>
                <w:b w:val="0"/>
                <w:sz w:val="11"/>
              </w:rPr>
              <w:t>0.947217-0.953131</w:t>
            </w:r>
          </w:p>
        </w:tc>
        <w:tc>
          <w:tcPr>
            <w:tcW w:type="dxa" w:w="1094"/>
            <w:vAlign w:val="center"/>
          </w:tcPr>
          <w:p>
            <w:pPr>
              <w:spacing w:before="0" w:after="0" w:line="240" w:lineRule="auto"/>
              <w:jc w:val="center"/>
            </w:pPr>
            <w:r>
              <w:rPr>
                <w:b w:val="0"/>
                <w:sz w:val="11"/>
              </w:rPr>
              <w:t>30-40</w:t>
            </w:r>
          </w:p>
        </w:tc>
        <w:tc>
          <w:tcPr>
            <w:tcW w:type="dxa" w:w="1094"/>
            <w:vAlign w:val="center"/>
          </w:tcPr>
          <w:p>
            <w:pPr>
              <w:spacing w:before="0" w:after="0" w:line="240" w:lineRule="auto"/>
              <w:jc w:val="center"/>
            </w:pPr>
            <w:r>
              <w:rPr>
                <w:b w:val="0"/>
                <w:sz w:val="11"/>
              </w:rPr>
              <w:t>0.00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OPLS</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0.967143 (0.00152)</w:t>
            </w:r>
          </w:p>
        </w:tc>
        <w:tc>
          <w:tcPr>
            <w:tcW w:type="dxa" w:w="1094"/>
            <w:vAlign w:val="center"/>
          </w:tcPr>
          <w:p>
            <w:pPr>
              <w:spacing w:before="0" w:after="0" w:line="240" w:lineRule="auto"/>
              <w:jc w:val="center"/>
            </w:pPr>
            <w:r>
              <w:rPr>
                <w:b w:val="0"/>
                <w:sz w:val="11"/>
              </w:rPr>
              <w:t>0.964131-0.96898</w:t>
            </w:r>
          </w:p>
        </w:tc>
        <w:tc>
          <w:tcPr>
            <w:tcW w:type="dxa" w:w="1094"/>
            <w:vAlign w:val="center"/>
          </w:tcPr>
          <w:p>
            <w:pPr>
              <w:spacing w:before="0" w:after="0" w:line="240" w:lineRule="auto"/>
              <w:jc w:val="center"/>
            </w:pPr>
            <w:r>
              <w:rPr>
                <w:b w:val="0"/>
                <w:sz w:val="11"/>
              </w:rPr>
              <w:t>30-50</w:t>
            </w:r>
          </w:p>
        </w:tc>
        <w:tc>
          <w:tcPr>
            <w:tcW w:type="dxa" w:w="1094"/>
            <w:vAlign w:val="center"/>
          </w:tcPr>
          <w:p>
            <w:pPr>
              <w:spacing w:before="0" w:after="0" w:line="240" w:lineRule="auto"/>
              <w:jc w:val="center"/>
            </w:pPr>
            <w:r>
              <w:rPr>
                <w:b w:val="0"/>
                <w:sz w:val="11"/>
              </w:rPr>
              <w:t>0.10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PLS-SVD</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0.926266 (0.0022)</w:t>
            </w:r>
          </w:p>
        </w:tc>
        <w:tc>
          <w:tcPr>
            <w:tcW w:type="dxa" w:w="1094"/>
            <w:vAlign w:val="center"/>
          </w:tcPr>
          <w:p>
            <w:pPr>
              <w:spacing w:before="0" w:after="0" w:line="240" w:lineRule="auto"/>
              <w:jc w:val="center"/>
            </w:pPr>
            <w:r>
              <w:rPr>
                <w:b w:val="0"/>
                <w:sz w:val="11"/>
              </w:rPr>
              <w:t>0.923146-0.930036</w:t>
            </w:r>
          </w:p>
        </w:tc>
        <w:tc>
          <w:tcPr>
            <w:tcW w:type="dxa" w:w="1094"/>
            <w:vAlign w:val="center"/>
          </w:tcPr>
          <w:p>
            <w:pPr>
              <w:spacing w:before="0" w:after="0" w:line="240" w:lineRule="auto"/>
              <w:jc w:val="center"/>
            </w:pPr>
            <w:r>
              <w:rPr>
                <w:b w:val="0"/>
                <w:sz w:val="11"/>
              </w:rPr>
              <w:t>11-11</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t>rank constrained</w:t>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PLS-SVD</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0.947457 (0.00204)</w:t>
            </w:r>
          </w:p>
        </w:tc>
        <w:tc>
          <w:tcPr>
            <w:tcW w:type="dxa" w:w="1094"/>
            <w:vAlign w:val="center"/>
          </w:tcPr>
          <w:p>
            <w:pPr>
              <w:spacing w:before="0" w:after="0" w:line="240" w:lineRule="auto"/>
              <w:jc w:val="center"/>
            </w:pPr>
            <w:r>
              <w:rPr>
                <w:b w:val="0"/>
                <w:sz w:val="11"/>
              </w:rPr>
              <w:t>0.944398-0.950206</w:t>
            </w:r>
          </w:p>
        </w:tc>
        <w:tc>
          <w:tcPr>
            <w:tcW w:type="dxa" w:w="1094"/>
            <w:vAlign w:val="center"/>
          </w:tcPr>
          <w:p>
            <w:pPr>
              <w:spacing w:before="0" w:after="0" w:line="240" w:lineRule="auto"/>
              <w:jc w:val="center"/>
            </w:pPr>
            <w:r>
              <w:rPr>
                <w:b w:val="0"/>
                <w:sz w:val="11"/>
              </w:rPr>
              <w:t>11-11</w:t>
            </w:r>
          </w:p>
        </w:tc>
        <w:tc>
          <w:tcPr>
            <w:tcW w:type="dxa" w:w="1094"/>
            <w:vAlign w:val="center"/>
          </w:tcPr>
          <w:p>
            <w:pPr>
              <w:spacing w:before="0" w:after="0" w:line="240" w:lineRule="auto"/>
              <w:jc w:val="center"/>
            </w:pPr>
            <w:r>
              <w:rPr>
                <w:b w:val="0"/>
                <w:sz w:val="11"/>
              </w:rPr>
              <w:t>1.00</w:t>
            </w:r>
          </w:p>
        </w:tc>
        <w:tc>
          <w:tcPr>
            <w:tcW w:type="dxa" w:w="1098"/>
            <w:vAlign w:val="center"/>
          </w:tcPr>
          <w:p>
            <w:pPr>
              <w:spacing w:before="0" w:after="0" w:line="240" w:lineRule="auto"/>
              <w:jc w:val="center"/>
            </w:pPr>
            <w:r>
              <w:rPr>
                <w:b w:val="0"/>
                <w:sz w:val="11"/>
              </w:rPr>
              <w:t>rank constrained</w:t>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SIMPLS</w:t>
            </w:r>
          </w:p>
        </w:tc>
        <w:tc>
          <w:tcPr>
            <w:tcW w:type="dxa" w:w="1094"/>
            <w:vAlign w:val="center"/>
          </w:tcPr>
          <w:p>
            <w:pPr>
              <w:spacing w:before="0" w:after="0" w:line="240" w:lineRule="auto"/>
              <w:jc w:val="center"/>
            </w:pPr>
            <w:r>
              <w:rPr>
                <w:b w:val="0"/>
                <w:sz w:val="11"/>
              </w:rPr>
              <w:t>argmax</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0.96799 (0.00151)</w:t>
            </w:r>
          </w:p>
        </w:tc>
        <w:tc>
          <w:tcPr>
            <w:tcW w:type="dxa" w:w="1094"/>
            <w:vAlign w:val="center"/>
          </w:tcPr>
          <w:p>
            <w:pPr>
              <w:spacing w:before="0" w:after="0" w:line="240" w:lineRule="auto"/>
              <w:jc w:val="center"/>
            </w:pPr>
            <w:r>
              <w:rPr>
                <w:b w:val="0"/>
                <w:sz w:val="11"/>
              </w:rPr>
              <w:t>0.965369-0.970341</w:t>
            </w:r>
          </w:p>
        </w:tc>
        <w:tc>
          <w:tcPr>
            <w:tcW w:type="dxa" w:w="1094"/>
            <w:vAlign w:val="center"/>
          </w:tcPr>
          <w:p>
            <w:pPr>
              <w:spacing w:before="0" w:after="0" w:line="240" w:lineRule="auto"/>
              <w:jc w:val="center"/>
            </w:pPr>
            <w:r>
              <w:rPr>
                <w:b w:val="0"/>
                <w:sz w:val="11"/>
              </w:rPr>
              <w:t>20-50</w:t>
            </w:r>
          </w:p>
        </w:tc>
        <w:tc>
          <w:tcPr>
            <w:tcW w:type="dxa" w:w="1094"/>
            <w:vAlign w:val="center"/>
          </w:tcPr>
          <w:p>
            <w:pPr>
              <w:spacing w:before="0" w:after="0" w:line="240" w:lineRule="auto"/>
              <w:jc w:val="center"/>
            </w:pPr>
            <w:r>
              <w:rPr>
                <w:b w:val="0"/>
                <w:sz w:val="11"/>
              </w:rPr>
              <w:t>0.10</w:t>
            </w:r>
          </w:p>
        </w:tc>
        <w:tc>
          <w:tcPr>
            <w:tcW w:type="dxa" w:w="1098"/>
            <w:vAlign w:val="center"/>
          </w:tcPr>
          <w:p>
            <w:pPr>
              <w:spacing w:before="0" w:after="0" w:line="240" w:lineRule="auto"/>
              <w:jc w:val="center"/>
            </w:pPr>
            <w:r>
              <w:rPr>
                <w:b w:val="0"/>
                <w:sz w:val="11"/>
              </w:rPr>
            </w:r>
          </w:p>
        </w:tc>
      </w:tr>
      <w:tr>
        <w:trPr>
          <w:cantSplit/>
        </w:trPr>
        <w:tc>
          <w:tcPr>
            <w:tcW w:type="dxa" w:w="1094"/>
            <w:vAlign w:val="center"/>
          </w:tcPr>
          <w:p>
            <w:pPr>
              <w:spacing w:before="0" w:after="0" w:line="240" w:lineRule="auto"/>
              <w:jc w:val="left"/>
            </w:pPr>
            <w:r>
              <w:rPr>
                <w:b w:val="0"/>
                <w:sz w:val="11"/>
              </w:rPr>
              <w:t>retina</w:t>
            </w:r>
          </w:p>
        </w:tc>
        <w:tc>
          <w:tcPr>
            <w:tcW w:type="dxa" w:w="1094"/>
            <w:vAlign w:val="center"/>
          </w:tcPr>
          <w:p>
            <w:pPr>
              <w:spacing w:before="0" w:after="0" w:line="240" w:lineRule="auto"/>
              <w:jc w:val="center"/>
            </w:pPr>
            <w:r>
              <w:rPr>
                <w:b w:val="0"/>
                <w:sz w:val="11"/>
              </w:rPr>
              <w:t>SIMPLS</w:t>
            </w:r>
          </w:p>
        </w:tc>
        <w:tc>
          <w:tcPr>
            <w:tcW w:type="dxa" w:w="1094"/>
            <w:vAlign w:val="center"/>
          </w:tcPr>
          <w:p>
            <w:pPr>
              <w:spacing w:before="0" w:after="0" w:line="240" w:lineRule="auto"/>
              <w:jc w:val="center"/>
            </w:pPr>
            <w:r>
              <w:rPr>
                <w:b w:val="0"/>
                <w:sz w:val="11"/>
              </w:rPr>
              <w:t>lda</w:t>
            </w:r>
          </w:p>
        </w:tc>
        <w:tc>
          <w:tcPr>
            <w:tcW w:type="dxa" w:w="1094"/>
            <w:vAlign w:val="center"/>
          </w:tcPr>
          <w:p>
            <w:pPr>
              <w:spacing w:before="0" w:after="0" w:line="240" w:lineRule="auto"/>
              <w:jc w:val="center"/>
            </w:pPr>
            <w:r>
              <w:rPr>
                <w:b w:val="0"/>
                <w:sz w:val="11"/>
              </w:rPr>
              <w:t>10</w:t>
            </w:r>
          </w:p>
        </w:tc>
        <w:tc>
          <w:tcPr>
            <w:tcW w:type="dxa" w:w="1094"/>
            <w:vAlign w:val="center"/>
          </w:tcPr>
          <w:p>
            <w:pPr>
              <w:spacing w:before="0" w:after="0" w:line="240" w:lineRule="auto"/>
              <w:jc w:val="center"/>
            </w:pPr>
            <w:r>
              <w:rPr>
                <w:b w:val="0"/>
                <w:sz w:val="11"/>
              </w:rPr>
              <w:t>accuracy</w:t>
            </w:r>
          </w:p>
        </w:tc>
        <w:tc>
          <w:tcPr>
            <w:tcW w:type="dxa" w:w="1094"/>
            <w:vAlign w:val="center"/>
          </w:tcPr>
          <w:p>
            <w:pPr>
              <w:spacing w:before="0" w:after="0" w:line="240" w:lineRule="auto"/>
              <w:jc w:val="center"/>
            </w:pPr>
            <w:r>
              <w:rPr>
                <w:b w:val="0"/>
                <w:sz w:val="11"/>
              </w:rPr>
              <w:t>0.968737 (0.00152)</w:t>
            </w:r>
          </w:p>
        </w:tc>
        <w:tc>
          <w:tcPr>
            <w:tcW w:type="dxa" w:w="1094"/>
            <w:vAlign w:val="center"/>
          </w:tcPr>
          <w:p>
            <w:pPr>
              <w:spacing w:before="0" w:after="0" w:line="240" w:lineRule="auto"/>
              <w:jc w:val="center"/>
            </w:pPr>
            <w:r>
              <w:rPr>
                <w:b w:val="0"/>
                <w:sz w:val="11"/>
              </w:rPr>
              <w:t>0.965966-0.970937</w:t>
            </w:r>
          </w:p>
        </w:tc>
        <w:tc>
          <w:tcPr>
            <w:tcW w:type="dxa" w:w="1094"/>
            <w:vAlign w:val="center"/>
          </w:tcPr>
          <w:p>
            <w:pPr>
              <w:spacing w:before="0" w:after="0" w:line="240" w:lineRule="auto"/>
              <w:jc w:val="center"/>
            </w:pPr>
            <w:r>
              <w:rPr>
                <w:b w:val="0"/>
                <w:sz w:val="11"/>
              </w:rPr>
              <w:t>20-50</w:t>
            </w:r>
          </w:p>
        </w:tc>
        <w:tc>
          <w:tcPr>
            <w:tcW w:type="dxa" w:w="1094"/>
            <w:vAlign w:val="center"/>
          </w:tcPr>
          <w:p>
            <w:pPr>
              <w:spacing w:before="0" w:after="0" w:line="240" w:lineRule="auto"/>
              <w:jc w:val="center"/>
            </w:pPr>
            <w:r>
              <w:rPr>
                <w:b w:val="0"/>
                <w:sz w:val="11"/>
              </w:rPr>
              <w:t>0.10</w:t>
            </w:r>
          </w:p>
        </w:tc>
        <w:tc>
          <w:tcPr>
            <w:tcW w:type="dxa" w:w="1098"/>
            <w:vAlign w:val="center"/>
          </w:tcPr>
          <w:p>
            <w:pPr>
              <w:spacing w:before="0" w:after="0" w:line="240" w:lineRule="auto"/>
              <w:jc w:val="center"/>
            </w:pPr>
            <w:r>
              <w:rPr>
                <w:b w:val="0"/>
                <w:sz w:val="11"/>
              </w:rPr>
            </w:r>
          </w:p>
        </w:tc>
      </w:tr>
    </w:tbl>
    <w:p>
      <w:pPr>
        <w:pStyle w:val="Heading1"/>
      </w:pPr>
      <w:r>
        <w:t>S20. Analysis provenance</w:t>
      </w:r>
    </w:p>
    <w:p>
      <w:pPr/>
      <w:r>
        <w:t>All central rows resolve to archived fastPLS 0.99.25, Git commit 7887401b09e25f54a546a253c255741cb1ab48e5, and source archive SHA-256 604f74d72f5e9540f7378efd37f2ca6ed87ccb9e73b912211331a8cd97233481. The machine-readable ledger contains SHA-256 values for 185 evidence files. The deposited 165-component NMR workflow is the sole historical context row in the central ledger.</w:t>
      </w:r>
    </w:p>
    <w:p>
      <w:pPr>
        <w:pStyle w:val="Caption"/>
      </w:pPr>
      <w:r>
        <w:t>Table S15. Archived-release central analysis provenance. Archive paths are relative to the repository root; full per-file checksums are in provenance/frozen_evidence_file_ledger.csv.</w:t>
      </w:r>
    </w:p>
    <w:tbl>
      <w:tblPr>
        <w:tblW w:type="dxa" w:w="10944"/>
        <w:tblLayout w:type="fixed"/>
        <w:tblLook w:firstColumn="1" w:firstRow="1" w:lastColumn="0" w:lastRow="0" w:noHBand="0" w:noVBand="1" w:val="04A0"/>
        <w:tblCellMar>
          <w:top w:w="45" w:type="dxa"/>
          <w:start w:w="45" w:type="dxa"/>
          <w:bottom w:w="45" w:type="dxa"/>
          <w:end w:w="45" w:type="dxa"/>
        </w:tblCellMar>
      </w:tblPr>
      <w:tblGrid>
        <w:gridCol w:w="1563"/>
        <w:gridCol w:w="1563"/>
        <w:gridCol w:w="1563"/>
        <w:gridCol w:w="1563"/>
        <w:gridCol w:w="1563"/>
        <w:gridCol w:w="1563"/>
        <w:gridCol w:w="1566"/>
      </w:tblGrid>
      <w:tr>
        <w:trPr>
          <w:tblHeader w:val="true"/>
          <w:cantSplit/>
          <w:tblHeader/>
          <w:tblHeader w:val="true"/>
        </w:trPr>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ID</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Authoritative output</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Result archive</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Version</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Source status</w:t>
            </w:r>
          </w:p>
        </w:tc>
        <w:tc>
          <w:tcPr>
            <w:tcW w:type="dxa" w:w="1563"/>
            <w:vAlign w:val="center"/>
            <w:tcMar>
              <w:top w:w="45" w:type="dxa"/>
              <w:start w:w="55" w:type="dxa"/>
              <w:bottom w:w="45" w:type="dxa"/>
              <w:end w:w="55" w:type="dxa"/>
            </w:tcMar>
          </w:tcPr>
          <w:p>
            <w:pPr>
              <w:spacing w:before="0" w:after="0" w:line="240" w:lineRule="auto"/>
              <w:jc w:val="center"/>
            </w:pPr>
            <w:r>
              <w:rPr>
                <w:rFonts w:ascii="Arial" w:hAnsi="Arial"/>
                <w:b/>
                <w:sz w:val="11"/>
              </w:rPr>
              <w:t>Generating script</w:t>
            </w:r>
          </w:p>
        </w:tc>
        <w:tc>
          <w:tcPr>
            <w:tcW w:type="dxa" w:w="1566"/>
            <w:vAlign w:val="center"/>
            <w:tcMar>
              <w:top w:w="45" w:type="dxa"/>
              <w:start w:w="55" w:type="dxa"/>
              <w:bottom w:w="45" w:type="dxa"/>
              <w:end w:w="55" w:type="dxa"/>
            </w:tcMar>
          </w:tcPr>
          <w:p>
            <w:pPr>
              <w:spacing w:before="0" w:after="0" w:line="240" w:lineRule="auto"/>
              <w:jc w:val="center"/>
            </w:pPr>
            <w:r>
              <w:rPr>
                <w:rFonts w:ascii="Arial" w:hAnsi="Arial"/>
                <w:b/>
                <w:sz w:val="11"/>
              </w:rPr>
              <w:t>SHA-256 prefix</w:t>
            </w:r>
          </w:p>
        </w:tc>
      </w:tr>
      <w:tr>
        <w:tc>
          <w:tcPr>
            <w:tcW w:type="dxa" w:w="1563"/>
            <w:vAlign w:val="center"/>
            <w:tcMar>
              <w:top w:w="45" w:type="dxa"/>
              <w:start w:w="55" w:type="dxa"/>
              <w:bottom w:w="45" w:type="dxa"/>
              <w:end w:w="55" w:type="dxa"/>
            </w:tcMar>
          </w:tcPr>
          <w:p>
            <w:pPr>
              <w:spacing w:after="0" w:before="0" w:line="240" w:lineRule="auto"/>
            </w:pPr>
            <w:r>
              <w:rPr>
                <w:sz w:val="11"/>
              </w:rPr>
              <w:t>F01</w:t>
            </w:r>
          </w:p>
        </w:tc>
        <w:tc>
          <w:tcPr>
            <w:tcW w:type="dxa" w:w="1563"/>
            <w:vAlign w:val="center"/>
            <w:tcMar>
              <w:top w:w="45" w:type="dxa"/>
              <w:start w:w="55" w:type="dxa"/>
              <w:bottom w:w="45" w:type="dxa"/>
              <w:end w:w="55" w:type="dxa"/>
            </w:tcMar>
          </w:tcPr>
          <w:p>
            <w:pPr>
              <w:spacing w:after="0" w:before="0" w:line="240" w:lineRule="auto"/>
            </w:pPr>
            <w:r>
              <w:rPr>
                <w:sz w:val="11"/>
              </w:rPr>
              <w:t>Execution archive</w:t>
            </w:r>
          </w:p>
        </w:tc>
        <w:tc>
          <w:tcPr>
            <w:tcW w:type="dxa" w:w="1563"/>
            <w:vAlign w:val="center"/>
            <w:tcMar>
              <w:top w:w="45" w:type="dxa"/>
              <w:start w:w="55" w:type="dxa"/>
              <w:bottom w:w="45" w:type="dxa"/>
              <w:end w:w="55" w:type="dxa"/>
            </w:tcMar>
          </w:tcPr>
          <w:p>
            <w:pPr>
              <w:spacing w:after="0" w:before="0" w:line="240" w:lineRule="auto"/>
            </w:pPr>
            <w:r>
              <w:rPr>
                <w:sz w:val="11"/>
              </w:rPr>
              <w:t>publication_release_0.99.25/</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frozen_release_manifest.tsv</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F02</w:t>
            </w:r>
          </w:p>
        </w:tc>
        <w:tc>
          <w:tcPr>
            <w:tcW w:type="dxa" w:w="1563"/>
            <w:vAlign w:val="center"/>
            <w:tcMar>
              <w:top w:w="45" w:type="dxa"/>
              <w:start w:w="55" w:type="dxa"/>
              <w:bottom w:w="45" w:type="dxa"/>
              <w:end w:w="55" w:type="dxa"/>
            </w:tcMar>
          </w:tcPr>
          <w:p>
            <w:pPr>
              <w:spacing w:after="0" w:before="0" w:line="240" w:lineRule="auto"/>
            </w:pPr>
            <w:r>
              <w:rPr>
                <w:sz w:val="11"/>
              </w:rPr>
              <w:t>Regression contracts</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benchmark_results/frozen_release_0.99.25/regression_contract_*</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run_release_regression_contract.R</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F03</w:t>
            </w:r>
          </w:p>
        </w:tc>
        <w:tc>
          <w:tcPr>
            <w:tcW w:type="dxa" w:w="1563"/>
            <w:vAlign w:val="center"/>
            <w:tcMar>
              <w:top w:w="45" w:type="dxa"/>
              <w:start w:w="55" w:type="dxa"/>
              <w:bottom w:w="45" w:type="dxa"/>
              <w:end w:w="55" w:type="dxa"/>
            </w:tcMar>
          </w:tcPr>
          <w:p>
            <w:pPr>
              <w:spacing w:after="0" w:before="0" w:line="240" w:lineRule="auto"/>
            </w:pPr>
            <w:r>
              <w:rPr>
                <w:sz w:val="11"/>
              </w:rPr>
              <w:t>SIMPLS estimator validation</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benchmark_results/frozen_release_0.99.25/simpls_estimator_preservation</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run_simpls_estimator_preservation.R</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F04</w:t>
            </w:r>
          </w:p>
        </w:tc>
        <w:tc>
          <w:tcPr>
            <w:tcW w:type="dxa" w:w="1563"/>
            <w:vAlign w:val="center"/>
            <w:tcMar>
              <w:top w:w="45" w:type="dxa"/>
              <w:start w:w="55" w:type="dxa"/>
              <w:bottom w:w="45" w:type="dxa"/>
              <w:end w:w="55" w:type="dxa"/>
            </w:tcMar>
          </w:tcPr>
          <w:p>
            <w:pPr>
              <w:spacing w:after="0" w:before="0" w:line="240" w:lineRule="auto"/>
            </w:pPr>
            <w:r>
              <w:rPr>
                <w:sz w:val="11"/>
              </w:rPr>
              <w:t>Controlled scaling</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benchmark_results/frozen_release_0.99.25/controlled_scaling</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controlled_scaling/run_grid.R</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F05</w:t>
            </w:r>
          </w:p>
        </w:tc>
        <w:tc>
          <w:tcPr>
            <w:tcW w:type="dxa" w:w="1563"/>
            <w:vAlign w:val="center"/>
            <w:tcMar>
              <w:top w:w="45" w:type="dxa"/>
              <w:start w:w="55" w:type="dxa"/>
              <w:bottom w:w="45" w:type="dxa"/>
              <w:end w:w="55" w:type="dxa"/>
            </w:tcMar>
          </w:tcPr>
          <w:p>
            <w:pPr>
              <w:spacing w:after="0" w:before="0" w:line="240" w:lineRule="auto"/>
            </w:pPr>
            <w:r>
              <w:rPr>
                <w:sz w:val="11"/>
              </w:rPr>
              <w:t>External SIMPLS comparison</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benchmark_results/frozen_release_0.99.25/external_simpls</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external_simpls_timing/run_benchmark.R</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F06</w:t>
            </w:r>
          </w:p>
        </w:tc>
        <w:tc>
          <w:tcPr>
            <w:tcW w:type="dxa" w:w="1563"/>
            <w:vAlign w:val="center"/>
            <w:tcMar>
              <w:top w:w="45" w:type="dxa"/>
              <w:start w:w="55" w:type="dxa"/>
              <w:bottom w:w="45" w:type="dxa"/>
              <w:end w:w="55" w:type="dxa"/>
            </w:tcMar>
          </w:tcPr>
          <w:p>
            <w:pPr>
              <w:spacing w:after="0" w:before="0" w:line="240" w:lineRule="auto"/>
            </w:pPr>
            <w:r>
              <w:rPr>
                <w:sz w:val="11"/>
              </w:rPr>
              <w:t>IKPLS CPU comparison</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benchmark_results/frozen_release_0.99.25/ikpls_cross_language_cpu</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ikpls_cross_language/run_benchmark.py</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F07</w:t>
            </w:r>
          </w:p>
        </w:tc>
        <w:tc>
          <w:tcPr>
            <w:tcW w:type="dxa" w:w="1563"/>
            <w:vAlign w:val="center"/>
            <w:tcMar>
              <w:top w:w="45" w:type="dxa"/>
              <w:start w:w="55" w:type="dxa"/>
              <w:bottom w:w="45" w:type="dxa"/>
              <w:end w:w="55" w:type="dxa"/>
            </w:tcMar>
          </w:tcPr>
          <w:p>
            <w:pPr>
              <w:spacing w:after="0" w:before="0" w:line="240" w:lineRule="auto"/>
            </w:pPr>
            <w:r>
              <w:rPr>
                <w:sz w:val="11"/>
              </w:rPr>
              <w:t>Selected CPU/CUDA</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benchmark_results/frozen_release_0.99.25/selected_backend</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run_selected_backend.R</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F08</w:t>
            </w:r>
          </w:p>
        </w:tc>
        <w:tc>
          <w:tcPr>
            <w:tcW w:type="dxa" w:w="1563"/>
            <w:vAlign w:val="center"/>
            <w:tcMar>
              <w:top w:w="45" w:type="dxa"/>
              <w:start w:w="55" w:type="dxa"/>
              <w:bottom w:w="45" w:type="dxa"/>
              <w:end w:w="55" w:type="dxa"/>
            </w:tcMar>
          </w:tcPr>
          <w:p>
            <w:pPr>
              <w:spacing w:after="0" w:before="0" w:line="240" w:lineRule="auto"/>
            </w:pPr>
            <w:r>
              <w:rPr>
                <w:sz w:val="11"/>
              </w:rPr>
              <w:t>NMR</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benchmark_results/frozen_release_0.99.25/nmr</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w:t>
            </w:r>
          </w:p>
        </w:tc>
        <w:tc>
          <w:tcPr>
            <w:tcW w:type="dxa" w:w="1563"/>
            <w:vAlign w:val="center"/>
            <w:tcMar>
              <w:top w:w="45" w:type="dxa"/>
              <w:start w:w="55" w:type="dxa"/>
              <w:bottom w:w="45" w:type="dxa"/>
              <w:end w:w="55" w:type="dxa"/>
            </w:tcMar>
          </w:tcPr>
          <w:p>
            <w:pPr>
              <w:spacing w:after="0" w:before="0" w:line="240" w:lineRule="auto"/>
            </w:pPr>
            <w:r>
              <w:rPr>
                <w:sz w:val="11"/>
              </w:rPr>
              <w:t>run_nmr_frozen.R</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F09</w:t>
            </w:r>
          </w:p>
        </w:tc>
        <w:tc>
          <w:tcPr>
            <w:tcW w:type="dxa" w:w="1563"/>
            <w:vAlign w:val="center"/>
            <w:tcMar>
              <w:top w:w="45" w:type="dxa"/>
              <w:start w:w="55" w:type="dxa"/>
              <w:bottom w:w="45" w:type="dxa"/>
              <w:end w:w="55" w:type="dxa"/>
            </w:tcMar>
          </w:tcPr>
          <w:p>
            <w:pPr>
              <w:spacing w:after="0" w:before="0" w:line="240" w:lineRule="auto"/>
            </w:pPr>
            <w:r>
              <w:rPr>
                <w:sz w:val="11"/>
              </w:rPr>
              <w:t>ImageNet downstream PLS fitting and prediction</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benchmark_results/frozen_release_0.99.25/imagenet</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7887401b09e2 downstream rerun; historical embedding extraction incomplete</w:t>
            </w:r>
          </w:p>
        </w:tc>
        <w:tc>
          <w:tcPr>
            <w:tcW w:type="dxa" w:w="1563"/>
            <w:vAlign w:val="center"/>
            <w:tcMar>
              <w:top w:w="45" w:type="dxa"/>
              <w:start w:w="55" w:type="dxa"/>
              <w:bottom w:w="45" w:type="dxa"/>
              <w:end w:w="55" w:type="dxa"/>
            </w:tcMar>
          </w:tcPr>
          <w:p>
            <w:pPr>
              <w:spacing w:after="0" w:before="0" w:line="240" w:lineRule="auto"/>
            </w:pPr>
            <w:r>
              <w:rPr>
                <w:sz w:val="11"/>
              </w:rPr>
              <w:t>benchmark_imagenet_qualified_top5_path.R</w:t>
            </w:r>
          </w:p>
        </w:tc>
        <w:tc>
          <w:tcPr>
            <w:tcW w:type="dxa" w:w="1566"/>
            <w:vAlign w:val="center"/>
            <w:tcMar>
              <w:top w:w="45" w:type="dxa"/>
              <w:start w:w="55" w:type="dxa"/>
              <w:bottom w:w="45" w:type="dxa"/>
              <w:end w:w="55" w:type="dxa"/>
            </w:tcMar>
          </w:tcPr>
          <w:p>
            <w:pPr>
              <w:spacing w:after="0" w:before="0" w:line="240" w:lineRule="auto"/>
            </w:pPr>
            <w:r>
              <w:rPr>
                <w:sz w:val="11"/>
              </w:rPr>
              <w:t>604f74d72f5e</w:t>
            </w:r>
          </w:p>
        </w:tc>
      </w:tr>
      <w:tr>
        <w:tc>
          <w:tcPr>
            <w:tcW w:type="dxa" w:w="1563"/>
            <w:vAlign w:val="center"/>
            <w:tcMar>
              <w:top w:w="45" w:type="dxa"/>
              <w:start w:w="55" w:type="dxa"/>
              <w:bottom w:w="45" w:type="dxa"/>
              <w:end w:w="55" w:type="dxa"/>
            </w:tcMar>
          </w:tcPr>
          <w:p>
            <w:pPr>
              <w:spacing w:after="0" w:before="0" w:line="240" w:lineRule="auto"/>
            </w:pPr>
            <w:r>
              <w:rPr>
                <w:sz w:val="11"/>
              </w:rPr>
              <w:t>H01</w:t>
            </w:r>
          </w:p>
        </w:tc>
        <w:tc>
          <w:tcPr>
            <w:tcW w:type="dxa" w:w="1563"/>
            <w:vAlign w:val="center"/>
            <w:tcMar>
              <w:top w:w="45" w:type="dxa"/>
              <w:start w:w="55" w:type="dxa"/>
              <w:bottom w:w="45" w:type="dxa"/>
              <w:end w:w="55" w:type="dxa"/>
            </w:tcMar>
          </w:tcPr>
          <w:p>
            <w:pPr>
              <w:spacing w:after="0" w:before="0" w:line="240" w:lineRule="auto"/>
            </w:pPr>
            <w:r>
              <w:rPr>
                <w:sz w:val="11"/>
              </w:rPr>
              <w:t>Deposited NMR workflow</w:t>
            </w:r>
          </w:p>
        </w:tc>
        <w:tc>
          <w:tcPr>
            <w:tcW w:type="dxa" w:w="1563"/>
            <w:vAlign w:val="center"/>
            <w:tcMar>
              <w:top w:w="45" w:type="dxa"/>
              <w:start w:w="55" w:type="dxa"/>
              <w:bottom w:w="45" w:type="dxa"/>
              <w:end w:w="55" w:type="dxa"/>
            </w:tcMar>
          </w:tcPr>
          <w:p>
            <w:pPr>
              <w:spacing w:after="0" w:before="0" w:line="240" w:lineRule="auto"/>
            </w:pPr>
            <w:r>
              <w:rPr>
                <w:sz w:val="11"/>
              </w:rPr>
              <w:t>benchmark_results/manuscript_revision_cycle64_20260726</w:t>
            </w:r>
          </w:p>
        </w:tc>
        <w:tc>
          <w:tcPr>
            <w:tcW w:type="dxa" w:w="1563"/>
            <w:vAlign w:val="center"/>
            <w:tcMar>
              <w:top w:w="45" w:type="dxa"/>
              <w:start w:w="55" w:type="dxa"/>
              <w:bottom w:w="45" w:type="dxa"/>
              <w:end w:w="55" w:type="dxa"/>
            </w:tcMar>
          </w:tcPr>
          <w:p>
            <w:pPr>
              <w:spacing w:after="0" w:before="0" w:line="240" w:lineRule="auto"/>
            </w:pPr>
            <w:r>
              <w:rPr>
                <w:sz w:val="11"/>
              </w:rPr>
              <w:t>historical</w:t>
            </w:r>
          </w:p>
        </w:tc>
        <w:tc>
          <w:tcPr>
            <w:tcW w:type="dxa" w:w="1563"/>
            <w:vAlign w:val="center"/>
            <w:tcMar>
              <w:top w:w="45" w:type="dxa"/>
              <w:start w:w="55" w:type="dxa"/>
              <w:bottom w:w="45" w:type="dxa"/>
              <w:end w:w="55" w:type="dxa"/>
            </w:tcMar>
          </w:tcPr>
          <w:p>
            <w:pPr>
              <w:spacing w:after="0" w:before="0" w:line="240" w:lineRule="auto"/>
            </w:pPr>
            <w:r>
              <w:rPr>
                <w:sz w:val="11"/>
              </w:rPr>
              <w:t>deposited source</w:t>
            </w:r>
          </w:p>
        </w:tc>
        <w:tc>
          <w:tcPr>
            <w:tcW w:type="dxa" w:w="1563"/>
            <w:vAlign w:val="center"/>
            <w:tcMar>
              <w:top w:w="45" w:type="dxa"/>
              <w:start w:w="55" w:type="dxa"/>
              <w:bottom w:w="45" w:type="dxa"/>
              <w:end w:w="55" w:type="dxa"/>
            </w:tcMar>
          </w:tcPr>
          <w:p>
            <w:pPr>
              <w:spacing w:after="0" w:before="0" w:line="240" w:lineRule="auto"/>
            </w:pPr>
            <w:r>
              <w:rPr>
                <w:sz w:val="11"/>
              </w:rPr>
              <w:t>FastPLS (1).R</w:t>
            </w:r>
          </w:p>
        </w:tc>
        <w:tc>
          <w:tcPr>
            <w:tcW w:type="dxa" w:w="1566"/>
            <w:vAlign w:val="center"/>
            <w:tcMar>
              <w:top w:w="45" w:type="dxa"/>
              <w:start w:w="55" w:type="dxa"/>
              <w:bottom w:w="45" w:type="dxa"/>
              <w:end w:w="55" w:type="dxa"/>
            </w:tcMar>
          </w:tcPr>
          <w:p>
            <w:pPr>
              <w:spacing w:after="0" w:before="0" w:line="240" w:lineRule="auto"/>
            </w:pPr>
            <w:r>
              <w:rPr>
                <w:sz w:val="11"/>
              </w:rPr>
              <w:t>historical</w:t>
            </w:r>
          </w:p>
        </w:tc>
      </w:tr>
      <w:tr>
        <w:tc>
          <w:tcPr>
            <w:tcW w:type="dxa" w:w="1563"/>
            <w:vAlign w:val="center"/>
            <w:tcMar>
              <w:top w:w="45" w:type="dxa"/>
              <w:start w:w="55" w:type="dxa"/>
              <w:bottom w:w="45" w:type="dxa"/>
              <w:end w:w="55" w:type="dxa"/>
            </w:tcMar>
          </w:tcPr>
          <w:p>
            <w:pPr>
              <w:spacing w:after="0" w:before="0" w:line="240" w:lineRule="auto"/>
            </w:pPr>
            <w:r>
              <w:rPr>
                <w:sz w:val="11"/>
              </w:rPr>
              <w:t>F10</w:t>
            </w:r>
          </w:p>
        </w:tc>
        <w:tc>
          <w:tcPr>
            <w:tcW w:type="dxa" w:w="1563"/>
            <w:vAlign w:val="center"/>
            <w:tcMar>
              <w:top w:w="45" w:type="dxa"/>
              <w:start w:w="55" w:type="dxa"/>
              <w:bottom w:w="45" w:type="dxa"/>
              <w:end w:w="55" w:type="dxa"/>
            </w:tcMar>
          </w:tcPr>
          <w:p>
            <w:pPr>
              <w:spacing w:after="0" w:before="0" w:line="240" w:lineRule="auto"/>
            </w:pPr>
            <w:r>
              <w:rPr>
                <w:sz w:val="11"/>
              </w:rPr>
              <w:t>Exact dense SIMPLS reference</w:t>
            </w:r>
          </w:p>
        </w:tc>
        <w:tc>
          <w:tcPr>
            <w:tcW w:type="dxa" w:w="1563"/>
            <w:vAlign w:val="center"/>
            <w:tcMar>
              <w:top w:w="45" w:type="dxa"/>
              <w:start w:w="55" w:type="dxa"/>
              <w:bottom w:w="45" w:type="dxa"/>
              <w:end w:w="55" w:type="dxa"/>
            </w:tcMar>
          </w:tcPr>
          <w:p>
            <w:pPr>
              <w:spacing w:after="0" w:before="0" w:line="240" w:lineRule="auto"/>
            </w:pPr>
            <w:r>
              <w:rPr>
                <w:sz w:val="11"/>
              </w:rPr>
              <w:t>benchmark_results/frozen_release_0.99.25/simpls_exact_reference</w:t>
            </w:r>
          </w:p>
        </w:tc>
        <w:tc>
          <w:tcPr>
            <w:tcW w:type="dxa" w:w="1563"/>
            <w:vAlign w:val="center"/>
            <w:tcMar>
              <w:top w:w="45" w:type="dxa"/>
              <w:start w:w="55" w:type="dxa"/>
              <w:bottom w:w="45" w:type="dxa"/>
              <w:end w:w="55" w:type="dxa"/>
            </w:tcMar>
          </w:tcPr>
          <w:p>
            <w:pPr>
              <w:spacing w:after="0" w:before="0" w:line="240" w:lineRule="auto"/>
            </w:pPr>
            <w:r>
              <w:rPr>
                <w:sz w:val="11"/>
              </w:rPr>
              <w:t>0.99.25</w:t>
            </w:r>
          </w:p>
        </w:tc>
        <w:tc>
          <w:tcPr>
            <w:tcW w:type="dxa" w:w="1563"/>
            <w:vAlign w:val="center"/>
            <w:tcMar>
              <w:top w:w="45" w:type="dxa"/>
              <w:start w:w="55" w:type="dxa"/>
              <w:bottom w:w="45" w:type="dxa"/>
              <w:end w:w="55" w:type="dxa"/>
            </w:tcMar>
          </w:tcPr>
          <w:p>
            <w:pPr>
              <w:spacing w:after="0" w:before="0" w:line="240" w:lineRule="auto"/>
            </w:pPr>
            <w:r>
              <w:rPr>
                <w:sz w:val="11"/>
              </w:rPr>
              <w:t>Frozen package; post-freeze audit script 0ef55efdf44d</w:t>
            </w:r>
          </w:p>
        </w:tc>
        <w:tc>
          <w:tcPr>
            <w:tcW w:type="dxa" w:w="1563"/>
            <w:vAlign w:val="center"/>
            <w:tcMar>
              <w:top w:w="45" w:type="dxa"/>
              <w:start w:w="55" w:type="dxa"/>
              <w:bottom w:w="45" w:type="dxa"/>
              <w:end w:w="55" w:type="dxa"/>
            </w:tcMar>
          </w:tcPr>
          <w:p>
            <w:pPr>
              <w:spacing w:after="0" w:before="0" w:line="240" w:lineRule="auto"/>
            </w:pPr>
            <w:r>
              <w:rPr>
                <w:sz w:val="11"/>
              </w:rPr>
              <w:t>benchmark_simpls_exact_reference.R</w:t>
            </w:r>
          </w:p>
        </w:tc>
        <w:tc>
          <w:tcPr>
            <w:tcW w:type="dxa" w:w="1566"/>
            <w:vAlign w:val="center"/>
            <w:tcMar>
              <w:top w:w="45" w:type="dxa"/>
              <w:start w:w="55" w:type="dxa"/>
              <w:bottom w:w="45" w:type="dxa"/>
              <w:end w:w="55" w:type="dxa"/>
            </w:tcMar>
          </w:tcPr>
          <w:p>
            <w:pPr>
              <w:spacing w:after="0" w:before="0" w:line="240" w:lineRule="auto"/>
            </w:pPr>
            <w:r>
              <w:rPr>
                <w:sz w:val="11"/>
              </w:rPr>
              <w:t>0b38a7690db6</w:t>
            </w:r>
          </w:p>
        </w:tc>
      </w:tr>
    </w:tbl>
    <w:p>
      <w:pPr>
        <w:pStyle w:val="Heading1"/>
      </w:pPr>
      <w:r>
        <w:t>S21. Unrestricted synthetic end-to-end reproduction</w:t>
      </w:r>
    </w:p>
    <w:p>
      <w:pPr>
        <w:pStyle w:val="BodyText"/>
      </w:pPr>
      <w:r>
        <w:t>benchmark/synthetic_end_to_end_example.R reproduces the complete unrestricted workflow. The minimal user example below shows deterministic fitting, the primary rSVD route, prediction, diagnostic inspection, CUDA dispatch, and informative handling of an unavailable backend.</w:t>
      </w:r>
    </w:p>
    <w:p>
      <w:pPr>
        <w:spacing w:before="60" w:after="100"/>
        <w:ind w:left="259" w:right="259"/>
        <w:shd w:fill="F2F2F2"/>
      </w:pPr>
      <w:r>
        <w:rPr>
          <w:rFonts w:ascii="Courier New" w:hAnsi="Courier New"/>
          <w:color w:val="232323"/>
          <w:sz w:val="15"/>
        </w:rPr>
        <w:t>remotes::install_github("tkcaccia/fastPLS", ref = "7887401b09e25f54a546a253c255741cb1ab48e5")</w:t>
        <w:br/>
        <w:t>library(fastPLS)</w:t>
        <w:br/>
        <w:t>data(breast)</w:t>
        <w:br/>
        <w:br/>
        <w:t>fit_det &lt;- pls(breast$X_train, breast$y_train, ncomp = 1:5,</w:t>
        <w:br/>
        <w:t xml:space="preserve">               method = "simpls", svd.method = "irlba", backend = "cpu")</w:t>
        <w:br/>
        <w:t>fit_rsvd &lt;- pls(breast$X_train, breast$y_train, ncomp = 1:5,</w:t>
        <w:br/>
        <w:t xml:space="preserve">                method = "simpls", svd.method = "rsvd", backend = "cpu",</w:t>
        <w:br/>
        <w:t xml:space="preserve">                oversample = 20, power = 2, seed = 123)</w:t>
        <w:br/>
        <w:t>fit_rsvd$diagnostics[c("solver", "status", "approximation_audited")]</w:t>
        <w:br/>
        <w:t>fit_rsvd$diagnostics$rsvd[c("oversample", "power", "case_audit")]</w:t>
        <w:br/>
        <w:t>pred &lt;- predict(fit_rsvd, breast$X_test)</w:t>
        <w:br/>
        <w:t>pred_5 &lt;- pred$Ypred[["ncomp=5"]]</w:t>
        <w:br/>
        <w:t>evaluate(predicted = pred_5, observed = breast$y_test)</w:t>
        <w:br/>
        <w:br/>
        <w:t>if (has_cuda()) {</w:t>
        <w:br/>
        <w:t xml:space="preserve">  fit_cuda &lt;- pls(breast$X_train, breast$y_train, ncomp = 1:5,</w:t>
        <w:br/>
        <w:t xml:space="preserve">                  method = "simpls", svd.method = "rsvd", backend = "cuda")</w:t>
        <w:br/>
        <w:t xml:space="preserve">  list(residency = fit_cuda$gpu_resident, diagnostics = fit_cuda$diagnostics)</w:t>
        <w:br/>
        <w:t>} else {</w:t>
        <w:br/>
        <w:t xml:space="preserve">  try(pls(breast$X_train, breast$y_train, backend = "cuda"))</w:t>
        <w:br/>
        <w:t>}</w:t>
      </w:r>
    </w:p>
    <w:p>
      <w:pPr>
        <w:pStyle w:val="Heading1"/>
      </w:pPr>
      <w:r>
        <w:t>S22. Repository-only detailed material</w:t>
      </w:r>
    </w:p>
    <w:p>
      <w:r>
        <w:t>Full component paths, raw run rows, sensitivity analyses, and machine-level diagnostics are indexed in benchmark/MANUSCRIPT_EVIDENCE_ARCHIVE.md. Their CSV, RDS, PDF, PNG, log, and session-information files remain available for reproducibility without duplicating the primary tables in this supplement.</w:t>
      </w:r>
    </w:p>
    <w:p>
      <w:pPr>
        <w:pStyle w:val="Heading1"/>
      </w:pPr>
      <w:r>
        <w:t>S23. Continuous-integration and platform-test status</w:t>
      </w:r>
    </w:p>
    <w:p>
      <w:pPr>
        <w:pStyle w:val="BodyText"/>
      </w:pPr>
      <w:r>
        <w:t>The public BiocStaging build for fastPLS 0.99.25 used commit 7887401b09e25f54a546a253c255741cb1ab48e5 and completed successfully (https://github.com/r-universe/biocstaging/actions/runs/32822192644). Hosted macOS jobs establish compilation and CPU fallback, not Metal runtime execution. Linux CUDA and macOS Metal runtime validation therefore remains tied to dedicated hardware reports. Unit tests verify informative failure before model allocation for unavailable backend/solver combinations. Public package metadata: https://biocstaging.r-universe.dev/fastPLS.</w:t>
      </w:r>
    </w:p>
    <w:p>
      <w:pPr>
        <w:pStyle w:val="Heading1"/>
      </w:pPr>
      <w:r>
        <w:t>Supplementary references</w:t>
      </w:r>
    </w:p>
    <w:p>
      <w:r>
        <w:t>References are numbered as in the main manuscript. The final mapping is Retina [25], Tabula Muris [26], PRISM [27], ImageNet [28], DINOv2 [29], CIFAR-100 [30], UNI [31], Prov-GigaPath [32], Improved Kernel PLS [33], IKPLS [34], fast cross-product validation [35], and FAISS [36].</w:t>
      </w:r>
    </w:p>
    <w:sectPr>
      <w:pgSz w:w="12240" w:h="15840"/>
      <w:pgMar w:top="648" w:bottom="648" w:left="648" w:right="648"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480" w:lineRule="auto"/>
      <w:jc w:val="left"/>
    </w:pPr>
    <w:rPr>
      <w:rFonts w:ascii="Times New Roman" w:hAnsi="Times New Roman" w:eastAsia="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40" w:lineRule="auto"/>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ManuscriptTitle">
    <w:name w:val="Manuscript Title"/>
    <w:pPr>
      <w:keepNext/>
      <w:spacing w:before="0" w:after="240" w:line="240" w:lineRule="auto"/>
      <w:jc w:val="center"/>
    </w:pPr>
    <w:rPr>
      <w:rFonts w:ascii="Times New Roman" w:hAnsi="Times New Roman" w:eastAsia="Times New Roman"/>
      <w:b/>
      <w:color w:val="00000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47" Type="http://schemas.openxmlformats.org/officeDocument/2006/relationships/image" Target="media/image38.png"/><Relationship Id="rId48" Type="http://schemas.openxmlformats.org/officeDocument/2006/relationships/image" Target="media/image39.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fastPLS compact supplementary information - authoritative evidence</dc:title>
  <dc:creator>Dupe Ojo; Alessia Vignoli; Stefano Cacciatore; Leonardo Tenori</dc:creator>
  <cp:keywords>PLS; SIMPLS; rSVD; CUDA; Metal; biomedical data</cp:keywords>
  <dcterms:created xsi:type="dcterms:W3CDTF">2026-07-21T20:38:10Z</dcterms:created>
  <dcterms:modified xsi:type="dcterms:W3CDTF">2026-07-21T20:38:10Z</dcterms:modified>
  <dc:subject>Computer Methods and Programs in Biomedicine submission draft</dc:subject>
</cp:coreProperties>
</file>

<file path=docProps/custom.xml><?xml version="1.0" encoding="utf-8"?>
<Properties xmlns="http://schemas.openxmlformats.org/officeDocument/2006/custom-properties" xmlns:vt="http://schemas.openxmlformats.org/officeDocument/2006/docPropsVTypes"/>
</file>