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upplementary-material"/>
    <w:p>
      <w:pPr>
        <w:pStyle w:val="ManuscriptTitle"/>
      </w:pPr>
      <w:r>
        <w:rPr>
          <w:rFonts w:ascii="Times New Roman" w:hAnsi="Times New Roman" w:eastAsia="Times New Roman"/>
        </w:rPr>
        <w:t>Supplementary material</w:t>
      </w:r>
    </w:p>
    <w:bookmarkStart w:id="20" w:name="Xc6f377fa90623b8af8211afedac1e6d9a5d526d"/>
    <w:p>
      <w:pPr>
        <w:pStyle w:val="Heading2"/>
      </w:pPr>
      <w:r>
        <w:t>fastPLS: accelerated SIMPLS for high-dimensional biomedical data with compiled CPU and accelerator backends</w:t>
      </w:r>
    </w:p>
    <w:p>
      <w:pPr>
        <w:pStyle w:val="FirstParagraph"/>
      </w:pPr>
      <w:r>
        <w:rPr>
          <w:rFonts w:ascii="Times New Roman" w:hAnsi="Times New Roman"/>
          <w:sz w:val="24"/>
        </w:rPr>
        <w:t>Dupe Ojo</w:t>
      </w:r>
      <w:r>
        <w:rPr>
          <w:rFonts w:ascii="Times New Roman" w:hAnsi="Times New Roman"/>
          <w:sz w:val="24"/>
          <w:vertAlign w:val="superscript"/>
        </w:rPr>
        <w:t>†</w:t>
      </w:r>
      <w:r>
        <w:rPr>
          <w:rFonts w:ascii="Times New Roman" w:hAnsi="Times New Roman"/>
          <w:sz w:val="24"/>
        </w:rPr>
        <w:t>, Alessia Vignoli</w:t>
      </w:r>
      <w:r>
        <w:rPr>
          <w:rFonts w:ascii="Times New Roman" w:hAnsi="Times New Roman"/>
          <w:sz w:val="24"/>
          <w:vertAlign w:val="superscript"/>
        </w:rPr>
        <w:t>†</w:t>
      </w:r>
      <w:r>
        <w:rPr>
          <w:rFonts w:ascii="Times New Roman" w:hAnsi="Times New Roman"/>
          <w:sz w:val="24"/>
        </w:rPr>
        <w:t>, Stefano Cacciatore</w:t>
      </w:r>
      <w:r>
        <w:rPr>
          <w:rFonts w:ascii="Times New Roman" w:hAnsi="Times New Roman"/>
          <w:sz w:val="24"/>
          <w:vertAlign w:val="superscript"/>
        </w:rPr>
        <w:t>*</w:t>
      </w:r>
      <w:r>
        <w:rPr>
          <w:rFonts w:ascii="Times New Roman" w:hAnsi="Times New Roman"/>
          <w:sz w:val="24"/>
        </w:rPr>
        <w:t>, Leonardo Tenori</w:t>
      </w:r>
      <w:r>
        <w:rPr>
          <w:rFonts w:ascii="Times New Roman" w:hAnsi="Times New Roman"/>
          <w:sz w:val="24"/>
          <w:vertAlign w:val="superscript"/>
        </w:rPr>
        <w:t>*</w:t>
      </w:r>
    </w:p>
    <w:p>
      <w:pPr>
        <w:pStyle w:val="FirstParagraph"/>
      </w:pPr>
      <w:r>
        <w:rPr>
          <w:rFonts w:ascii="Times New Roman" w:hAnsi="Times New Roman"/>
          <w:sz w:val="24"/>
        </w:rPr>
        <w:t>†These authors contributed equally and share first authorship.</w:t>
      </w:r>
    </w:p>
    <w:p>
      <w:pPr>
        <w:pStyle w:val="FirstParagraph"/>
      </w:pPr>
      <w:r>
        <w:rPr>
          <w:rFonts w:ascii="Times New Roman" w:hAnsi="Times New Roman"/>
          <w:sz w:val="24"/>
        </w:rPr>
        <w:t>*Co-corresponding authors: Stefano Cacciatore, stefano.cacciatore@icgeb.org; Leonardo Tenori, tenori@cerm.unifi.it.</w:t>
      </w:r>
    </w:p>
    <w:p>
      <w:pPr>
        <w:pStyle w:val="BodyText"/>
      </w:pPr>
      <w:r>
        <w:t>This supplement distinguishes the current audited fastPLS 0.99.10 interface from the 0.99.6 source archive used for the quantitative benchmarks. Table S15 maps each analysis to its result archive and records an exact package commit only when run metadata captured it. A later package version, result date, or manuscript commit is never treated as evidence of a historical computational SHA.</w:t>
      </w:r>
    </w:p>
    <w:p>
      <w:pPr>
        <w:pStyle w:val="BodyText"/>
      </w:pPr>
      <w:r>
        <w:t>Route-level evidence is consolidated here rather than repeated in the main text. Table S1 defines stage residency; Tables S7-S7b separate deterministic estimator validation, same-code execution ablation, and the direct PLS-SVD/SIMPLS shape comparison; Table S8 and Figure S1 give rSVD controls, qualification, and quarantined workflow speed; Table S9 is the authoritative float32 capability matrix; Table S11 reports paired CPU/CUDA/Metal performance and concordance; and Table S15 maps each analysis to its source state and archive.</w:t>
      </w:r>
    </w:p>
    <w:bookmarkEnd w:id="20"/>
    <w:bookmarkEnd w:id="21"/>
    <w:bookmarkStart w:id="22" w:name="s1.-current-implementation-scope"/>
    <w:p>
      <w:pPr>
        <w:pStyle w:val="Heading1"/>
      </w:pPr>
      <w:r>
        <w:rPr>
          <w:rFonts w:ascii="Times New Roman" w:hAnsi="Times New Roman" w:eastAsia="Times New Roman"/>
        </w:rPr>
        <w:t>S1. Current implementation scope</w:t>
      </w:r>
    </w:p>
    <w:p>
      <w:pPr>
        <w:pStyle w:val="FirstParagraph"/>
      </w:pPr>
      <w:r>
        <w:t>Table S1. Stage-level CPU, CUDA, and Metal residency. ‘Hybrid’ denotes an accelerated path with one or more host-side operations.</w:t>
      </w:r>
    </w:p>
    <w:tbl>
      <w:tblPr>
        <w:tblStyle w:val="Table"/>
        <w:tblW w:type="dxa" w:w="9360"/>
        <w:jc w:val="center"/>
        <w:tblLayout w:type="fixed"/>
        <w:tblLook w:firstRow="1" w:lastRow="0" w:firstColumn="0" w:lastColumn="0" w:noHBand="0" w:noVBand="0" w:val="0020"/>
        <w:tblInd w:w="120" w:type="dxa"/>
      </w:tblPr>
      <w:tblGrid>
        <w:gridCol w:w="1497"/>
        <w:gridCol w:w="1684"/>
        <w:gridCol w:w="2152"/>
        <w:gridCol w:w="1872"/>
        <w:gridCol w:w="2155"/>
      </w:tblGrid>
      <w:tr>
        <w:trPr>
          <w:tblHeader w:val="on"/>
        </w:trPr>
        <w:tc>
          <w:tcPr>
            <w:tcW w:w="1497" w:type="dxa"/>
            <w:vAlign w:val="center"/>
            <w:tcMar>
              <w:top w:w="80" w:type="dxa"/>
              <w:start w:w="120" w:type="dxa"/>
              <w:bottom w:w="80" w:type="dxa"/>
              <w:end w:w="120" w:type="dxa"/>
            </w:tcMar>
            <w:shd w:fill="E7E6E6"/>
          </w:tcPr>
          <w:p>
            <w:pPr>
              <w:spacing w:after="0" w:before="0" w:line="216" w:lineRule="auto"/>
            </w:pPr>
            <w:r>
              <w:rPr>
                <w:sz w:val="14"/>
              </w:rPr>
              <w:t>Stage</w:t>
            </w:r>
          </w:p>
        </w:tc>
        <w:tc>
          <w:tcPr>
            <w:tcW w:w="1684" w:type="dxa"/>
            <w:vAlign w:val="center"/>
            <w:tcMar>
              <w:top w:w="80" w:type="dxa"/>
              <w:start w:w="120" w:type="dxa"/>
              <w:bottom w:w="80" w:type="dxa"/>
              <w:end w:w="120" w:type="dxa"/>
            </w:tcMar>
            <w:shd w:fill="E7E6E6"/>
          </w:tcPr>
          <w:p>
            <w:pPr>
              <w:spacing w:after="0" w:before="0" w:line="216" w:lineRule="auto"/>
            </w:pPr>
            <w:r>
              <w:rPr>
                <w:sz w:val="14"/>
              </w:rPr>
              <w:t>CPU</w:t>
            </w:r>
          </w:p>
        </w:tc>
        <w:tc>
          <w:tcPr>
            <w:tcW w:w="2152" w:type="dxa"/>
            <w:vAlign w:val="center"/>
            <w:tcMar>
              <w:top w:w="80" w:type="dxa"/>
              <w:start w:w="120" w:type="dxa"/>
              <w:bottom w:w="80" w:type="dxa"/>
              <w:end w:w="120" w:type="dxa"/>
            </w:tcMar>
            <w:shd w:fill="E7E6E6"/>
          </w:tcPr>
          <w:p>
            <w:pPr>
              <w:spacing w:after="0" w:before="0" w:line="216" w:lineRule="auto"/>
            </w:pPr>
            <w:r>
              <w:rPr>
                <w:sz w:val="14"/>
              </w:rPr>
              <w:t>CUDA</w:t>
            </w:r>
          </w:p>
        </w:tc>
        <w:tc>
          <w:tcPr>
            <w:tcW w:w="1872" w:type="dxa"/>
            <w:vAlign w:val="center"/>
            <w:tcMar>
              <w:top w:w="80" w:type="dxa"/>
              <w:start w:w="120" w:type="dxa"/>
              <w:bottom w:w="80" w:type="dxa"/>
              <w:end w:w="120" w:type="dxa"/>
            </w:tcMar>
            <w:shd w:fill="E7E6E6"/>
          </w:tcPr>
          <w:p>
            <w:pPr>
              <w:spacing w:after="0" w:before="0" w:line="216" w:lineRule="auto"/>
            </w:pPr>
            <w:r>
              <w:rPr>
                <w:sz w:val="14"/>
              </w:rPr>
              <w:t>Metal</w:t>
            </w:r>
          </w:p>
        </w:tc>
        <w:tc>
          <w:tcPr>
            <w:tcW w:w="2155" w:type="dxa"/>
            <w:vAlign w:val="center"/>
            <w:tcMar>
              <w:top w:w="80" w:type="dxa"/>
              <w:start w:w="120" w:type="dxa"/>
              <w:bottom w:w="80" w:type="dxa"/>
              <w:end w:w="120" w:type="dxa"/>
            </w:tcMar>
            <w:shd w:fill="E7E6E6"/>
          </w:tcPr>
          <w:p>
            <w:pPr>
              <w:spacing w:after="0" w:before="0" w:line="216" w:lineRule="auto"/>
            </w:pPr>
            <w:r>
              <w:rPr>
                <w:sz w:val="14"/>
              </w:rPr>
              <w:t>Residency / precision note</w:t>
            </w:r>
          </w:p>
        </w:tc>
      </w:tr>
      <w:tr>
        <w:tc>
          <w:tcPr>
            <w:tcW w:w="1497" w:type="dxa"/>
            <w:vAlign w:val="center"/>
            <w:tcMar>
              <w:top w:w="80" w:type="dxa"/>
              <w:start w:w="120" w:type="dxa"/>
              <w:bottom w:w="80" w:type="dxa"/>
              <w:end w:w="120" w:type="dxa"/>
            </w:tcMar>
          </w:tcPr>
          <w:p>
            <w:pPr>
              <w:spacing w:after="0" w:before="0" w:line="216" w:lineRule="auto"/>
            </w:pPr>
            <w:r>
              <w:rPr>
                <w:sz w:val="14"/>
              </w:rPr>
              <w:t>Core PLS fit</w:t>
            </w:r>
          </w:p>
        </w:tc>
        <w:tc>
          <w:tcPr>
            <w:tcW w:w="1684" w:type="dxa"/>
            <w:vAlign w:val="center"/>
            <w:tcMar>
              <w:top w:w="80" w:type="dxa"/>
              <w:start w:w="120" w:type="dxa"/>
              <w:bottom w:w="80" w:type="dxa"/>
              <w:end w:w="120" w:type="dxa"/>
            </w:tcMar>
          </w:tcPr>
          <w:p>
            <w:pPr>
              <w:spacing w:after="0" w:before="0" w:line="216" w:lineRule="auto"/>
            </w:pPr>
            <w:r>
              <w:rPr>
                <w:sz w:val="14"/>
              </w:rPr>
              <w:t>Compiled C++</w:t>
            </w:r>
          </w:p>
        </w:tc>
        <w:tc>
          <w:tcPr>
            <w:tcW w:w="2152" w:type="dxa"/>
            <w:vAlign w:val="center"/>
            <w:tcMar>
              <w:top w:w="80" w:type="dxa"/>
              <w:start w:w="120" w:type="dxa"/>
              <w:bottom w:w="80" w:type="dxa"/>
              <w:end w:w="120" w:type="dxa"/>
            </w:tcMar>
          </w:tcPr>
          <w:p>
            <w:pPr>
              <w:spacing w:after="0" w:before="0" w:line="216" w:lineRule="auto"/>
            </w:pPr>
            <w:r>
              <w:rPr>
                <w:sz w:val="14"/>
              </w:rPr>
              <w:t>GPU products/range; host small solve</w:t>
            </w:r>
          </w:p>
        </w:tc>
        <w:tc>
          <w:tcPr>
            <w:tcW w:w="1872" w:type="dxa"/>
            <w:vAlign w:val="center"/>
            <w:tcMar>
              <w:top w:w="80" w:type="dxa"/>
              <w:start w:w="120" w:type="dxa"/>
              <w:bottom w:w="80" w:type="dxa"/>
              <w:end w:w="120" w:type="dxa"/>
            </w:tcMar>
          </w:tcPr>
          <w:p>
            <w:pPr>
              <w:spacing w:after="0" w:before="0" w:line="216" w:lineRule="auto"/>
            </w:pPr>
            <w:r>
              <w:rPr>
                <w:sz w:val="14"/>
              </w:rPr>
              <w:t>MPS products; host direction update</w:t>
            </w:r>
          </w:p>
        </w:tc>
        <w:tc>
          <w:tcPr>
            <w:tcW w:w="2155" w:type="dxa"/>
            <w:vAlign w:val="center"/>
            <w:tcMar>
              <w:top w:w="80" w:type="dxa"/>
              <w:start w:w="120" w:type="dxa"/>
              <w:bottom w:w="80" w:type="dxa"/>
              <w:end w:w="120" w:type="dxa"/>
            </w:tcMar>
          </w:tcPr>
          <w:p>
            <w:pPr>
              <w:spacing w:after="0" w:before="0" w:line="216" w:lineRule="auto"/>
            </w:pPr>
            <w:r>
              <w:rPr>
                <w:sz w:val="14"/>
              </w:rPr>
              <w:t>CUDA/Metal hybrid; float32 smoke-tested</w:t>
            </w:r>
          </w:p>
        </w:tc>
      </w:tr>
      <w:tr>
        <w:tc>
          <w:tcPr>
            <w:tcW w:w="1497" w:type="dxa"/>
            <w:vAlign w:val="center"/>
            <w:tcMar>
              <w:top w:w="80" w:type="dxa"/>
              <w:start w:w="120" w:type="dxa"/>
              <w:bottom w:w="80" w:type="dxa"/>
              <w:end w:w="120" w:type="dxa"/>
            </w:tcMar>
          </w:tcPr>
          <w:p>
            <w:pPr>
              <w:spacing w:after="0" w:before="0" w:line="216" w:lineRule="auto"/>
            </w:pPr>
            <w:r>
              <w:rPr>
                <w:sz w:val="14"/>
              </w:rPr>
              <w:t>OPLS filter</w:t>
            </w:r>
          </w:p>
        </w:tc>
        <w:tc>
          <w:tcPr>
            <w:tcW w:w="1684" w:type="dxa"/>
            <w:vAlign w:val="center"/>
            <w:tcMar>
              <w:top w:w="80" w:type="dxa"/>
              <w:start w:w="120" w:type="dxa"/>
              <w:bottom w:w="80" w:type="dxa"/>
              <w:end w:w="120" w:type="dxa"/>
            </w:tcMar>
          </w:tcPr>
          <w:p>
            <w:pPr>
              <w:spacing w:after="0" w:before="0" w:line="216" w:lineRule="auto"/>
            </w:pPr>
            <w:r>
              <w:rPr>
                <w:sz w:val="14"/>
              </w:rPr>
              <w:t>Compiled C++</w:t>
            </w:r>
          </w:p>
        </w:tc>
        <w:tc>
          <w:tcPr>
            <w:tcW w:w="2152" w:type="dxa"/>
            <w:vAlign w:val="center"/>
            <w:tcMar>
              <w:top w:w="80" w:type="dxa"/>
              <w:start w:w="120" w:type="dxa"/>
              <w:bottom w:w="80" w:type="dxa"/>
              <w:end w:w="120" w:type="dxa"/>
            </w:tcMar>
          </w:tcPr>
          <w:p>
            <w:pPr>
              <w:spacing w:after="0" w:before="0" w:line="216" w:lineRule="auto"/>
            </w:pPr>
            <w:r>
              <w:rPr>
                <w:sz w:val="14"/>
              </w:rPr>
              <w:t>Host filter + CUDA core</w:t>
            </w:r>
          </w:p>
        </w:tc>
        <w:tc>
          <w:tcPr>
            <w:tcW w:w="1872" w:type="dxa"/>
            <w:vAlign w:val="center"/>
            <w:tcMar>
              <w:top w:w="80" w:type="dxa"/>
              <w:start w:w="120" w:type="dxa"/>
              <w:bottom w:w="80" w:type="dxa"/>
              <w:end w:w="120" w:type="dxa"/>
            </w:tcMar>
          </w:tcPr>
          <w:p>
            <w:pPr>
              <w:spacing w:after="0" w:before="0" w:line="216" w:lineRule="auto"/>
            </w:pPr>
            <w:r>
              <w:rPr>
                <w:sz w:val="14"/>
              </w:rPr>
              <w:t>Host filter + MPS core</w:t>
            </w:r>
          </w:p>
        </w:tc>
        <w:tc>
          <w:tcPr>
            <w:tcW w:w="2155" w:type="dxa"/>
            <w:vAlign w:val="center"/>
            <w:tcMar>
              <w:top w:w="80" w:type="dxa"/>
              <w:start w:w="120" w:type="dxa"/>
              <w:bottom w:w="80" w:type="dxa"/>
              <w:end w:w="120" w:type="dxa"/>
            </w:tcMar>
          </w:tcPr>
          <w:p>
            <w:pPr>
              <w:spacing w:after="0" w:before="0" w:line="216" w:lineRule="auto"/>
            </w:pPr>
            <w:r>
              <w:rPr>
                <w:sz w:val="14"/>
              </w:rPr>
              <w:t>Hybrid; float32 smoke-tested</w:t>
            </w:r>
          </w:p>
        </w:tc>
      </w:tr>
      <w:tr>
        <w:tc>
          <w:tcPr>
            <w:tcW w:w="1497" w:type="dxa"/>
            <w:vAlign w:val="center"/>
            <w:tcMar>
              <w:top w:w="80" w:type="dxa"/>
              <w:start w:w="120" w:type="dxa"/>
              <w:bottom w:w="80" w:type="dxa"/>
              <w:end w:w="120" w:type="dxa"/>
            </w:tcMar>
          </w:tcPr>
          <w:p>
            <w:pPr>
              <w:spacing w:after="0" w:before="0" w:line="216" w:lineRule="auto"/>
            </w:pPr>
            <w:r>
              <w:rPr>
                <w:sz w:val="14"/>
              </w:rPr>
              <w:t>Kernel PLS</w:t>
            </w:r>
          </w:p>
        </w:tc>
        <w:tc>
          <w:tcPr>
            <w:tcW w:w="1684" w:type="dxa"/>
            <w:vAlign w:val="center"/>
            <w:tcMar>
              <w:top w:w="80" w:type="dxa"/>
              <w:start w:w="120" w:type="dxa"/>
              <w:bottom w:w="80" w:type="dxa"/>
              <w:end w:w="120" w:type="dxa"/>
            </w:tcMar>
          </w:tcPr>
          <w:p>
            <w:pPr>
              <w:spacing w:after="0" w:before="0" w:line="216" w:lineRule="auto"/>
            </w:pPr>
            <w:r>
              <w:rPr>
                <w:sz w:val="14"/>
              </w:rPr>
              <w:t>Host kernel + C++ core</w:t>
            </w:r>
          </w:p>
        </w:tc>
        <w:tc>
          <w:tcPr>
            <w:tcW w:w="2152" w:type="dxa"/>
            <w:vAlign w:val="center"/>
            <w:tcMar>
              <w:top w:w="80" w:type="dxa"/>
              <w:start w:w="120" w:type="dxa"/>
              <w:bottom w:w="80" w:type="dxa"/>
              <w:end w:w="120" w:type="dxa"/>
            </w:tcMar>
          </w:tcPr>
          <w:p>
            <w:pPr>
              <w:spacing w:after="0" w:before="0" w:line="216" w:lineRule="auto"/>
            </w:pPr>
            <w:r>
              <w:rPr>
                <w:sz w:val="14"/>
              </w:rPr>
              <w:t>Host nonlinear Gram + CUDA core</w:t>
            </w:r>
          </w:p>
        </w:tc>
        <w:tc>
          <w:tcPr>
            <w:tcW w:w="1872" w:type="dxa"/>
            <w:vAlign w:val="center"/>
            <w:tcMar>
              <w:top w:w="80" w:type="dxa"/>
              <w:start w:w="120" w:type="dxa"/>
              <w:bottom w:w="80" w:type="dxa"/>
              <w:end w:w="120" w:type="dxa"/>
            </w:tcMar>
          </w:tcPr>
          <w:p>
            <w:pPr>
              <w:spacing w:after="0" w:before="0" w:line="216" w:lineRule="auto"/>
            </w:pPr>
            <w:r>
              <w:rPr>
                <w:sz w:val="14"/>
              </w:rPr>
              <w:t>Host nonlinear Gram + MPS core</w:t>
            </w:r>
          </w:p>
        </w:tc>
        <w:tc>
          <w:tcPr>
            <w:tcW w:w="2155" w:type="dxa"/>
            <w:vAlign w:val="center"/>
            <w:tcMar>
              <w:top w:w="80" w:type="dxa"/>
              <w:start w:w="120" w:type="dxa"/>
              <w:bottom w:w="80" w:type="dxa"/>
              <w:end w:w="120" w:type="dxa"/>
            </w:tcMar>
          </w:tcPr>
          <w:p>
            <w:pPr>
              <w:spacing w:after="0" w:before="0" w:line="216" w:lineRule="auto"/>
            </w:pPr>
            <w:r>
              <w:rPr>
                <w:sz w:val="14"/>
              </w:rPr>
              <w:t>Nonlinear K is O(n²); hybrid</w:t>
            </w:r>
          </w:p>
        </w:tc>
      </w:tr>
      <w:tr>
        <w:tc>
          <w:tcPr>
            <w:tcW w:w="1497" w:type="dxa"/>
            <w:vAlign w:val="center"/>
            <w:tcMar>
              <w:top w:w="80" w:type="dxa"/>
              <w:start w:w="120" w:type="dxa"/>
              <w:bottom w:w="80" w:type="dxa"/>
              <w:end w:w="120" w:type="dxa"/>
            </w:tcMar>
          </w:tcPr>
          <w:p>
            <w:pPr>
              <w:spacing w:after="0" w:before="0" w:line="216" w:lineRule="auto"/>
            </w:pPr>
            <w:r>
              <w:rPr>
                <w:sz w:val="14"/>
              </w:rPr>
              <w:t>Prediction</w:t>
            </w:r>
          </w:p>
        </w:tc>
        <w:tc>
          <w:tcPr>
            <w:tcW w:w="1684" w:type="dxa"/>
            <w:vAlign w:val="center"/>
            <w:tcMar>
              <w:top w:w="80" w:type="dxa"/>
              <w:start w:w="120" w:type="dxa"/>
              <w:bottom w:w="80" w:type="dxa"/>
              <w:end w:w="120" w:type="dxa"/>
            </w:tcMar>
          </w:tcPr>
          <w:p>
            <w:pPr>
              <w:spacing w:after="0" w:before="0" w:line="216" w:lineRule="auto"/>
            </w:pPr>
            <w:r>
              <w:rPr>
                <w:sz w:val="14"/>
              </w:rPr>
              <w:t>Compiled projection</w:t>
            </w:r>
          </w:p>
        </w:tc>
        <w:tc>
          <w:tcPr>
            <w:tcW w:w="2152" w:type="dxa"/>
            <w:vAlign w:val="center"/>
            <w:tcMar>
              <w:top w:w="80" w:type="dxa"/>
              <w:start w:w="120" w:type="dxa"/>
              <w:bottom w:w="80" w:type="dxa"/>
              <w:end w:w="120" w:type="dxa"/>
            </w:tcMar>
          </w:tcPr>
          <w:p>
            <w:pPr>
              <w:spacing w:after="0" w:before="0" w:line="216" w:lineRule="auto"/>
            </w:pPr>
            <w:r>
              <w:rPr>
                <w:sz w:val="14"/>
              </w:rPr>
              <w:t>CUDA projection; host model/result I/O</w:t>
            </w:r>
          </w:p>
        </w:tc>
        <w:tc>
          <w:tcPr>
            <w:tcW w:w="1872" w:type="dxa"/>
            <w:vAlign w:val="center"/>
            <w:tcMar>
              <w:top w:w="80" w:type="dxa"/>
              <w:start w:w="120" w:type="dxa"/>
              <w:bottom w:w="80" w:type="dxa"/>
              <w:end w:w="120" w:type="dxa"/>
            </w:tcMar>
          </w:tcPr>
          <w:p>
            <w:pPr>
              <w:spacing w:after="0" w:before="0" w:line="216" w:lineRule="auto"/>
            </w:pPr>
            <w:r>
              <w:rPr>
                <w:sz w:val="14"/>
              </w:rPr>
              <w:t>MPS projection; host post-processing</w:t>
            </w:r>
          </w:p>
        </w:tc>
        <w:tc>
          <w:tcPr>
            <w:tcW w:w="2155" w:type="dxa"/>
            <w:vAlign w:val="center"/>
            <w:tcMar>
              <w:top w:w="80" w:type="dxa"/>
              <w:start w:w="120" w:type="dxa"/>
              <w:bottom w:w="80" w:type="dxa"/>
              <w:end w:w="120" w:type="dxa"/>
            </w:tcMar>
          </w:tcPr>
          <w:p>
            <w:pPr>
              <w:spacing w:after="0" w:before="0" w:line="216" w:lineRule="auto"/>
            </w:pPr>
            <w:r>
              <w:rPr>
                <w:sz w:val="14"/>
              </w:rPr>
              <w:t>Transfers remain part of execution</w:t>
            </w:r>
          </w:p>
        </w:tc>
      </w:tr>
      <w:tr>
        <w:tc>
          <w:tcPr>
            <w:tcW w:w="1497" w:type="dxa"/>
            <w:vAlign w:val="center"/>
            <w:tcMar>
              <w:top w:w="80" w:type="dxa"/>
              <w:start w:w="120" w:type="dxa"/>
              <w:bottom w:w="80" w:type="dxa"/>
              <w:end w:w="120" w:type="dxa"/>
            </w:tcMar>
          </w:tcPr>
          <w:p>
            <w:pPr>
              <w:spacing w:after="0" w:before="0" w:line="216" w:lineRule="auto"/>
            </w:pPr>
            <w:r>
              <w:rPr>
                <w:sz w:val="14"/>
              </w:rPr>
              <w:t>LDA</w:t>
            </w:r>
          </w:p>
        </w:tc>
        <w:tc>
          <w:tcPr>
            <w:tcW w:w="1684" w:type="dxa"/>
            <w:vAlign w:val="center"/>
            <w:tcMar>
              <w:top w:w="80" w:type="dxa"/>
              <w:start w:w="120" w:type="dxa"/>
              <w:bottom w:w="80" w:type="dxa"/>
              <w:end w:w="120" w:type="dxa"/>
            </w:tcMar>
          </w:tcPr>
          <w:p>
            <w:pPr>
              <w:spacing w:after="0" w:before="0" w:line="216" w:lineRule="auto"/>
            </w:pPr>
            <w:r>
              <w:rPr>
                <w:sz w:val="14"/>
              </w:rPr>
              <w:t>Compiled covariance/Cholesky</w:t>
            </w:r>
          </w:p>
        </w:tc>
        <w:tc>
          <w:tcPr>
            <w:tcW w:w="2152" w:type="dxa"/>
            <w:vAlign w:val="center"/>
            <w:tcMar>
              <w:top w:w="80" w:type="dxa"/>
              <w:start w:w="120" w:type="dxa"/>
              <w:bottom w:w="80" w:type="dxa"/>
              <w:end w:w="120" w:type="dxa"/>
            </w:tcMar>
          </w:tcPr>
          <w:p>
            <w:pPr>
              <w:spacing w:after="0" w:before="0" w:line="216" w:lineRule="auto"/>
            </w:pPr>
            <w:r>
              <w:rPr>
                <w:sz w:val="14"/>
              </w:rPr>
              <w:t>GPU moments/solve/score</w:t>
            </w:r>
          </w:p>
        </w:tc>
        <w:tc>
          <w:tcPr>
            <w:tcW w:w="1872" w:type="dxa"/>
            <w:vAlign w:val="center"/>
            <w:tcMar>
              <w:top w:w="80" w:type="dxa"/>
              <w:start w:w="120" w:type="dxa"/>
              <w:bottom w:w="80" w:type="dxa"/>
              <w:end w:w="120" w:type="dxa"/>
            </w:tcMar>
          </w:tcPr>
          <w:p>
            <w:pPr>
              <w:spacing w:after="0" w:before="0" w:line="216" w:lineRule="auto"/>
            </w:pPr>
            <w:r>
              <w:rPr>
                <w:sz w:val="14"/>
              </w:rPr>
              <w:t>MPS projection + host solve</w:t>
            </w:r>
          </w:p>
        </w:tc>
        <w:tc>
          <w:tcPr>
            <w:tcW w:w="2155" w:type="dxa"/>
            <w:vAlign w:val="center"/>
            <w:tcMar>
              <w:top w:w="80" w:type="dxa"/>
              <w:start w:w="120" w:type="dxa"/>
              <w:bottom w:w="80" w:type="dxa"/>
              <w:end w:w="120" w:type="dxa"/>
            </w:tcMar>
          </w:tcPr>
          <w:p>
            <w:pPr>
              <w:spacing w:after="0" w:before="0" w:line="216" w:lineRule="auto"/>
            </w:pPr>
            <w:r>
              <w:rPr>
                <w:sz w:val="14"/>
              </w:rPr>
              <w:t>float32 CPU/CUDA agreement verified</w:t>
            </w:r>
          </w:p>
        </w:tc>
      </w:tr>
      <w:tr>
        <w:tc>
          <w:tcPr>
            <w:tcW w:w="1497" w:type="dxa"/>
            <w:vAlign w:val="center"/>
            <w:tcMar>
              <w:top w:w="80" w:type="dxa"/>
              <w:start w:w="120" w:type="dxa"/>
              <w:bottom w:w="80" w:type="dxa"/>
              <w:end w:w="120" w:type="dxa"/>
            </w:tcMar>
          </w:tcPr>
          <w:p>
            <w:pPr>
              <w:spacing w:after="0" w:before="0" w:line="216" w:lineRule="auto"/>
            </w:pPr>
            <w:r>
              <w:rPr>
                <w:sz w:val="14"/>
              </w:rPr>
              <w:t>10-fold CV</w:t>
            </w:r>
          </w:p>
        </w:tc>
        <w:tc>
          <w:tcPr>
            <w:tcW w:w="1684" w:type="dxa"/>
            <w:vAlign w:val="center"/>
            <w:tcMar>
              <w:top w:w="80" w:type="dxa"/>
              <w:start w:w="120" w:type="dxa"/>
              <w:bottom w:w="80" w:type="dxa"/>
              <w:end w:w="120" w:type="dxa"/>
            </w:tcMar>
          </w:tcPr>
          <w:p>
            <w:pPr>
              <w:spacing w:after="0" w:before="0" w:line="216" w:lineRule="auto"/>
            </w:pPr>
            <w:r>
              <w:rPr>
                <w:sz w:val="14"/>
              </w:rPr>
              <w:t>Compiled folds/fits/scoring</w:t>
            </w:r>
          </w:p>
        </w:tc>
        <w:tc>
          <w:tcPr>
            <w:tcW w:w="2152" w:type="dxa"/>
            <w:vAlign w:val="center"/>
            <w:tcMar>
              <w:top w:w="80" w:type="dxa"/>
              <w:start w:w="120" w:type="dxa"/>
              <w:bottom w:w="80" w:type="dxa"/>
              <w:end w:w="120" w:type="dxa"/>
            </w:tcMar>
          </w:tcPr>
          <w:p>
            <w:pPr>
              <w:spacing w:after="0" w:before="0" w:line="216" w:lineRule="auto"/>
            </w:pPr>
            <w:r>
              <w:rPr>
                <w:sz w:val="14"/>
              </w:rPr>
              <w:t>Host scheduler + sequential GPU folds</w:t>
            </w:r>
          </w:p>
        </w:tc>
        <w:tc>
          <w:tcPr>
            <w:tcW w:w="1872" w:type="dxa"/>
            <w:vAlign w:val="center"/>
            <w:tcMar>
              <w:top w:w="80" w:type="dxa"/>
              <w:start w:w="120" w:type="dxa"/>
              <w:bottom w:w="80" w:type="dxa"/>
              <w:end w:w="120" w:type="dxa"/>
            </w:tcMar>
          </w:tcPr>
          <w:p>
            <w:pPr>
              <w:spacing w:after="0" w:before="0" w:line="216" w:lineRule="auto"/>
            </w:pPr>
            <w:r>
              <w:rPr>
                <w:sz w:val="14"/>
              </w:rPr>
              <w:t>Compiled/hybrid fold fits</w:t>
            </w:r>
          </w:p>
        </w:tc>
        <w:tc>
          <w:tcPr>
            <w:tcW w:w="2155" w:type="dxa"/>
            <w:vAlign w:val="center"/>
            <w:tcMar>
              <w:top w:w="80" w:type="dxa"/>
              <w:start w:w="120" w:type="dxa"/>
              <w:bottom w:w="80" w:type="dxa"/>
              <w:end w:w="120" w:type="dxa"/>
            </w:tcMar>
          </w:tcPr>
          <w:p>
            <w:pPr>
              <w:spacing w:after="0" w:before="0" w:line="216" w:lineRule="auto"/>
            </w:pPr>
            <w:r>
              <w:rPr>
                <w:sz w:val="14"/>
              </w:rPr>
              <w:t>No R-level refit loop; no concurrent folds</w:t>
            </w:r>
          </w:p>
        </w:tc>
      </w:tr>
    </w:tbl>
    <w:p>
      <w:pPr>
        <w:pStyle w:val="BodyText"/>
      </w:pPr>
      <w:r>
        <w:t>The double-precision CPU backend is the broadest reference implementation. Native float32 is selected automatically when input matrices are float::float32 objects and is available for route-specific PLS-SVD, SIMPLS, OPLS, and kernel PLS combinations on supported CPU, CUDA, and Metal builds. Windows now has a portable float-package CPU fallback for rSVD PLS-SVD, SIMPLS, and linear-kernel SIMPLS with argmax; it is not the native compiled single-precision path. Windows float32 OPLS, nonlinear kernel PLS, LDA, CUDA, and Metal combinations stop before fitting instead of silently converting to double.</w:t>
      </w:r>
    </w:p>
    <w:p>
      <w:pPr/>
      <w:r>
        <w:t>Estimator identity is a dispatch invariant. A requested SIMPLS model is fitted with the SIMPLS core on CPU, CUDA, and Metal; the CUDA fused SIMPLS-LDA route supplies the SIMPLS method identifier to the native core and trains LDA from those SIMPLS scores. Label-aware PLS-SVD remains available only through an explicit PLS-SVD request. When the guarded CUDA SIMPLS response representation is too large, execution stops with an informative error instead of replacing the estimator. Benchmark code checks requested against executed estimator identifiers and records an estimator-mismatch error if they differ.</w:t>
      </w:r>
    </w:p>
    <w:bookmarkEnd w:id="22"/>
    <w:bookmarkStart w:id="31" w:name="s2.-numerical-algorithms"/>
    <w:p>
      <w:pPr>
        <w:pStyle w:val="Heading1"/>
      </w:pPr>
      <w:r>
        <w:rPr>
          <w:rFonts w:ascii="Times New Roman" w:hAnsi="Times New Roman" w:eastAsia="Times New Roman"/>
        </w:rPr>
        <w:t>S2. Numerical algorithms</w:t>
      </w:r>
    </w:p>
    <w:p>
      <w:pPr>
        <w:pStyle w:val="BodyText"/>
        <w:keepLines/>
      </w:pPr>
      <w:r>
        <w:t>Notation follows the main text: a indexes the current latent component, A is the retained component count, K is the number of cross-validation folds, and r is the target rank of an SVD calculation. Lowercase k is used only for retrieval or evaluation cutoffs, such as nearest-neighbour neighbourhood size and top-k accuracy, and never for PLS component indexing. The public R argument ncomp supplies A.</w:t>
      </w:r>
    </w:p>
    <w:bookmarkStart w:id="23" w:name="s2.1-pls-svd"/>
    <w:p>
      <w:pPr>
        <w:pStyle w:val="Heading2"/>
      </w:pPr>
      <w:r>
        <w:rPr>
          <w:rFonts w:ascii="Times New Roman" w:hAnsi="Times New Roman" w:eastAsia="Times New Roman"/>
        </w:rPr>
        <w:t>S2.1 PLS-SVD</w:t>
      </w:r>
    </w:p>
    <w:p>
      <w:pPr>
        <w:pStyle w:val="FirstParagraph"/>
      </w:pPr>
      <w:r>
        <w:rPr>
          <w:rFonts w:ascii="Times New Roman" w:hAnsi="Times New Roman" w:eastAsia="Times New Roman"/>
          <w:sz w:val="24"/>
        </w:rPr>
        <w:t>Let centred predictor and response matrices be</w:t>
      </w:r>
      <w:r>
        <w:rPr>
          <w:rFonts w:ascii="Times New Roman" w:hAnsi="Times New Roman" w:eastAsia="Times New Roman"/>
          <w:sz w:val="24"/>
        </w:rPr>
        <w:t xml:space="preserve"> </w:t>
      </w:r>
      <m:oMath>
        <m:r>
          <m:t>X</m:t>
        </m:r>
        <m:r>
          <m:rPr>
            <m:sty m:val="p"/>
          </m:rPr>
          <m:t>∈</m:t>
        </m:r>
        <m:sSup>
          <m:e>
            <m:r>
              <m:rPr>
                <m:sty m:val="p"/>
                <m:scr m:val="double-struck"/>
              </m:rPr>
              <m:t>R</m:t>
            </m:r>
          </m:e>
          <m:sup>
            <m:r>
              <m:t>n</m:t>
            </m:r>
            <m:r>
              <m:rPr>
                <m:sty m:val="p"/>
              </m:rPr>
              <m:t>×</m:t>
            </m:r>
            <m:r>
              <m:t>p</m:t>
            </m:r>
          </m:sup>
        </m:sSup>
      </m:oMath>
      <w:r>
        <w:rPr>
          <w:rFonts w:ascii="Times New Roman" w:hAnsi="Times New Roman" w:eastAsia="Times New Roman"/>
          <w:sz w:val="24"/>
        </w:rPr>
        <w:t xml:space="preserve"> </w:t>
      </w:r>
      <w:r>
        <w:rPr>
          <w:rFonts w:ascii="Times New Roman" w:hAnsi="Times New Roman" w:eastAsia="Times New Roman"/>
          <w:sz w:val="24"/>
        </w:rPr>
        <w:t>and</w:t>
      </w:r>
      <w:r>
        <w:rPr>
          <w:rFonts w:ascii="Times New Roman" w:hAnsi="Times New Roman" w:eastAsia="Times New Roman"/>
          <w:sz w:val="24"/>
        </w:rPr>
        <w:t xml:space="preserve"> </w:t>
      </w:r>
      <m:oMath>
        <m:r>
          <m:t>Y</m:t>
        </m:r>
        <m:r>
          <m:rPr>
            <m:sty m:val="p"/>
          </m:rPr>
          <m:t>∈</m:t>
        </m:r>
        <m:sSup>
          <m:e>
            <m:r>
              <m:rPr>
                <m:sty m:val="p"/>
                <m:scr m:val="double-struck"/>
              </m:rPr>
              <m:t>R</m:t>
            </m:r>
          </m:e>
          <m:sup>
            <m:r>
              <m:t>n</m:t>
            </m:r>
            <m:r>
              <m:rPr>
                <m:sty m:val="p"/>
              </m:rPr>
              <m:t>×</m:t>
            </m:r>
            <m:r>
              <m:t>q</m:t>
            </m:r>
          </m:sup>
        </m:sSup>
      </m:oMath>
      <w:r>
        <w:rPr>
          <w:rFonts w:ascii="Times New Roman" w:hAnsi="Times New Roman" w:eastAsia="Times New Roman"/>
          <w:sz w:val="24"/>
        </w:rPr>
        <w:t>. PLS-SVD computes dominant singular directions of</w:t>
      </w:r>
    </w:p>
    <w:p>
      <w:pPr>
        <w:pStyle w:val="BodyText"/>
      </w:pPr>
      <m:oMathPara>
        <m:oMathParaPr>
          <m:jc m:val="center"/>
        </m:oMathParaPr>
        <m:oMath>
          <m:r>
            <m:t>S</m:t>
          </m:r>
          <m:r>
            <m:rPr>
              <m:sty m:val="p"/>
            </m:rPr>
            <m:t>=</m:t>
          </m:r>
          <m:sSup>
            <m:e>
              <m:r>
                <m:t>X</m:t>
              </m:r>
            </m:e>
            <m:sup>
              <m:r>
                <m:rPr>
                  <m:sty m:val="p"/>
                </m:rPr>
                <m:t>⊤</m:t>
              </m:r>
            </m:sup>
          </m:sSup>
          <m:r>
            <m:t>Y</m:t>
          </m:r>
          <m:r>
            <m:rPr>
              <m:sty m:val="p"/>
            </m:rPr>
            <m:t>.</m:t>
          </m:r>
        </m:oMath>
      </m:oMathPara>
    </w:p>
    <w:p>
      <w:pPr>
        <w:pStyle w:val="FirstParagraph"/>
      </w:pPr>
      <w:r>
        <w:rPr>
          <w:rFonts w:ascii="Times New Roman" w:hAnsi="Times New Roman" w:eastAsia="Times New Roman"/>
          <w:sz w:val="24"/>
        </w:rPr>
        <w:t>The decomposition is requested once at the maximum valid component count. Prefixes are reused to produce all component numbers requested by the user. The maximum effective rank is bounded by</w:t>
      </w:r>
      <w:r>
        <w:rPr>
          <w:rFonts w:ascii="Times New Roman" w:hAnsi="Times New Roman" w:eastAsia="Times New Roman"/>
          <w:sz w:val="24"/>
        </w:rPr>
        <w:t xml:space="preserve"> </w:t>
      </w:r>
      <m:oMath>
        <m:r>
          <m:rPr>
            <m:sty m:val="p"/>
          </m:rPr>
          <m:t>min</m:t>
        </m:r>
        <m:r>
          <m:rPr>
            <m:sty m:val="p"/>
          </m:rPr>
          <m:t>{</m:t>
        </m:r>
        <m:r>
          <m:rPr>
            <m:sty m:val="p"/>
          </m:rPr>
          <m:t>rank</m:t>
        </m:r>
        <m:d>
          <m:dPr>
            <m:begChr m:val="("/>
            <m:endChr m:val=")"/>
            <m:sepChr m:val=""/>
            <m:grow/>
          </m:dPr>
          <m:e>
            <m:r>
              <m:t>X</m:t>
            </m:r>
          </m:e>
        </m:d>
        <m:r>
          <m:rPr>
            <m:sty m:val="p"/>
          </m:rPr>
          <m:t>,</m:t>
        </m:r>
        <m:r>
          <m:rPr>
            <m:sty m:val="p"/>
          </m:rPr>
          <m:t>rank</m:t>
        </m:r>
        <m:d>
          <m:dPr>
            <m:begChr m:val="("/>
            <m:endChr m:val=")"/>
            <m:sepChr m:val=""/>
            <m:grow/>
          </m:dPr>
          <m:e>
            <m:r>
              <m:t>Y</m:t>
            </m:r>
          </m:e>
        </m:d>
        <m:r>
          <m:rPr>
            <m:sty m:val="p"/>
          </m:rPr>
          <m:t>}</m:t>
        </m:r>
      </m:oMath>
      <w:r>
        <w:rPr>
          <w:rFonts w:ascii="Times New Roman" w:hAnsi="Times New Roman" w:eastAsia="Times New Roman"/>
          <w:sz w:val="24"/>
        </w:rPr>
        <w:t xml:space="preserve"> </w:t>
      </w:r>
      <w:r>
        <w:rPr>
          <w:rFonts w:ascii="Times New Roman" w:hAnsi="Times New Roman" w:eastAsia="Times New Roman"/>
          <w:sz w:val="24"/>
        </w:rPr>
        <w:t>and by the numerical rank of</w:t>
      </w:r>
      <w:r>
        <w:rPr>
          <w:rFonts w:ascii="Times New Roman" w:hAnsi="Times New Roman" w:eastAsia="Times New Roman"/>
          <w:sz w:val="24"/>
        </w:rPr>
        <w:t xml:space="preserve"> </w:t>
      </w:r>
      <m:oMath>
        <m:r>
          <m:t>S</m:t>
        </m:r>
      </m:oMath>
      <w:r>
        <w:rPr>
          <w:rFonts w:ascii="Times New Roman" w:hAnsi="Times New Roman" w:eastAsia="Times New Roman"/>
          <w:sz w:val="24"/>
        </w:rPr>
        <w:t>. For a centred</w:t>
      </w:r>
      <w:r>
        <w:rPr>
          <w:rFonts w:ascii="Times New Roman" w:hAnsi="Times New Roman" w:eastAsia="Times New Roman"/>
          <w:sz w:val="24"/>
        </w:rPr>
        <w:t xml:space="preserve"> </w:t>
      </w:r>
      <m:oMath>
        <m:r>
          <m:t>C</m:t>
        </m:r>
      </m:oMath>
      <w:r>
        <w:rPr>
          <w:rFonts w:ascii="Times New Roman" w:hAnsi="Times New Roman" w:eastAsia="Times New Roman"/>
          <w:sz w:val="24"/>
        </w:rPr>
        <w:t>-class indicator response, the columns sum to zero and</w:t>
      </w:r>
      <w:r>
        <w:rPr>
          <w:rFonts w:ascii="Times New Roman" w:hAnsi="Times New Roman" w:eastAsia="Times New Roman"/>
          <w:sz w:val="24"/>
        </w:rPr>
        <w:t xml:space="preserve"> </w:t>
      </w:r>
      <m:oMath>
        <m:r>
          <m:rPr>
            <m:sty m:val="p"/>
          </m:rPr>
          <m:t>rank</m:t>
        </m:r>
        <m:d>
          <m:dPr>
            <m:begChr m:val="("/>
            <m:endChr m:val=")"/>
            <m:sepChr m:val=""/>
            <m:grow/>
          </m:dPr>
          <m:e>
            <m:r>
              <m:t>Y</m:t>
            </m:r>
          </m:e>
        </m:d>
        <m:r>
          <m:rPr>
            <m:sty m:val="p"/>
          </m:rPr>
          <m:t>≤</m:t>
        </m:r>
        <m:r>
          <m:t>C</m:t>
        </m:r>
        <m:r>
          <m:rPr>
            <m:sty m:val="p"/>
          </m:rPr>
          <m:t>−</m:t>
        </m:r>
        <m:r>
          <m:t>1</m:t>
        </m:r>
      </m:oMath>
      <w:r>
        <w:rPr>
          <w:rFonts w:ascii="Times New Roman" w:hAnsi="Times New Roman" w:eastAsia="Times New Roman"/>
          <w:sz w:val="24"/>
        </w:rPr>
        <w:t>; the public factor-response path therefore caps PLS-SVD at</w:t>
      </w:r>
      <w:r>
        <w:rPr>
          <w:rFonts w:ascii="Times New Roman" w:hAnsi="Times New Roman" w:eastAsia="Times New Roman"/>
          <w:sz w:val="24"/>
        </w:rPr>
        <w:t xml:space="preserve"> </w:t>
      </w:r>
      <m:oMath>
        <m:r>
          <m:t>C</m:t>
        </m:r>
        <m:r>
          <m:rPr>
            <m:sty m:val="p"/>
          </m:rPr>
          <m:t>−</m:t>
        </m:r>
        <m:r>
          <m:t>1</m:t>
        </m:r>
      </m:oMath>
      <w:r>
        <w:rPr>
          <w:rFonts w:ascii="Times New Roman" w:hAnsi="Times New Roman" w:eastAsia="Times New Roman"/>
          <w:sz w:val="24"/>
        </w:rPr>
        <w:t xml:space="preserve"> </w:t>
      </w:r>
      <w:r>
        <w:rPr>
          <w:rFonts w:ascii="Times New Roman" w:hAnsi="Times New Roman" w:eastAsia="Times New Roman"/>
          <w:sz w:val="24"/>
        </w:rPr>
        <w:t>components. The model stores compact latent factors for prediction and omits a full coefficient cube when its estimated size exceeds the internal storage threshold and latent prediction is available.</w:t>
      </w:r>
    </w:p>
    <w:p>
      <w:pPr>
        <w:pStyle w:val="BodyText"/>
      </w:pPr>
      <w:r>
        <w:rPr>
          <w:rFonts w:ascii="Times New Roman" w:hAnsi="Times New Roman" w:eastAsia="Times New Roman"/>
          <w:b/>
          <w:bCs/>
          <w:sz w:val="24"/>
        </w:rPr>
        <w:t>Algorithm S1. PLS-SVD component-path construction.</w:t>
      </w:r>
    </w:p>
    <w:p>
      <w:pPr>
        <w:pStyle w:val="Compact"/>
        <w:numPr>
          <w:ilvl w:val="0"/>
          <w:numId w:val="1001"/>
        </w:numPr>
      </w:pPr>
      <w:r>
        <w:rPr>
          <w:rFonts w:ascii="Times New Roman" w:hAnsi="Times New Roman" w:eastAsia="Times New Roman"/>
          <w:sz w:val="24"/>
        </w:rPr>
        <w:t>Centre and, if requested, scale</w:t>
      </w:r>
      <w:r>
        <w:rPr>
          <w:rFonts w:ascii="Times New Roman" w:hAnsi="Times New Roman" w:eastAsia="Times New Roman"/>
          <w:sz w:val="24"/>
        </w:rPr>
        <w:t xml:space="preserve"> </w:t>
      </w:r>
      <m:oMath>
        <m:r>
          <m:t>X</m:t>
        </m:r>
      </m:oMath>
      <w:r>
        <w:rPr>
          <w:rFonts w:ascii="Times New Roman" w:hAnsi="Times New Roman" w:eastAsia="Times New Roman"/>
          <w:sz w:val="24"/>
        </w:rPr>
        <w:t xml:space="preserve"> </w:t>
      </w:r>
      <w:r>
        <w:rPr>
          <w:rFonts w:ascii="Times New Roman" w:hAnsi="Times New Roman" w:eastAsia="Times New Roman"/>
          <w:sz w:val="24"/>
        </w:rPr>
        <w:t>with training statistics; centre numeric or indicator-coded</w:t>
      </w:r>
      <w:r>
        <w:rPr>
          <w:rFonts w:ascii="Times New Roman" w:hAnsi="Times New Roman" w:eastAsia="Times New Roman"/>
          <w:sz w:val="24"/>
        </w:rPr>
        <w:t xml:space="preserve"> </w:t>
      </w:r>
      <m:oMath>
        <m:r>
          <m:t>Y</m:t>
        </m:r>
      </m:oMath>
      <w:r>
        <w:rPr>
          <w:rFonts w:ascii="Times New Roman" w:hAnsi="Times New Roman" w:eastAsia="Times New Roman"/>
          <w:sz w:val="24"/>
        </w:rPr>
        <w:t>.</w:t>
      </w:r>
    </w:p>
    <w:p>
      <w:pPr>
        <w:pStyle w:val="Compact"/>
        <w:numPr>
          <w:ilvl w:val="0"/>
          <w:numId w:val="1001"/>
        </w:numPr>
      </w:pPr>
      <w:r>
        <w:rPr>
          <w:rFonts w:ascii="Times New Roman" w:hAnsi="Times New Roman" w:eastAsia="Times New Roman"/>
          <w:sz w:val="24"/>
        </w:rPr>
        <w:t>Represent</w:t>
      </w:r>
      <w:r>
        <w:rPr>
          <w:rFonts w:ascii="Times New Roman" w:hAnsi="Times New Roman" w:eastAsia="Times New Roman"/>
          <w:sz w:val="24"/>
        </w:rPr>
        <w:t xml:space="preserve"> </w:t>
      </w:r>
      <m:oMath>
        <m:r>
          <m:t>S</m:t>
        </m:r>
        <m:r>
          <m:rPr>
            <m:sty m:val="p"/>
          </m:rPr>
          <m:t>=</m:t>
        </m:r>
        <m:sSup>
          <m:e>
            <m:r>
              <m:t>X</m:t>
            </m:r>
          </m:e>
          <m:sup>
            <m:r>
              <m:rPr>
                <m:sty m:val="p"/>
              </m:rPr>
              <m:t>⊤</m:t>
            </m:r>
          </m:sup>
        </m:sSup>
        <m:r>
          <m:t>Y</m:t>
        </m:r>
      </m:oMath>
      <w:r>
        <w:rPr>
          <w:rFonts w:ascii="Times New Roman" w:hAnsi="Times New Roman" w:eastAsia="Times New Roman"/>
          <w:sz w:val="24"/>
        </w:rPr>
        <w:t xml:space="preserve"> </w:t>
      </w:r>
      <w:r>
        <w:rPr>
          <w:rFonts w:ascii="Times New Roman" w:hAnsi="Times New Roman" w:eastAsia="Times New Roman"/>
          <w:sz w:val="24"/>
        </w:rPr>
        <w:t>explicitly or as a product operator.</w:t>
      </w:r>
    </w:p>
    <w:p>
      <w:pPr>
        <w:pStyle w:val="Compact"/>
        <w:numPr>
          <w:ilvl w:val="0"/>
          <w:numId w:val="1001"/>
        </w:numPr>
      </w:pPr>
      <w:r>
        <w:rPr>
          <w:rFonts w:ascii="Times New Roman" w:hAnsi="Times New Roman" w:eastAsia="Times New Roman"/>
          <w:sz w:val="24"/>
        </w:rPr>
        <w:t>Compute the leading</w:t>
      </w:r>
      <w:r>
        <w:rPr>
          <w:rFonts w:ascii="Times New Roman" w:hAnsi="Times New Roman" w:eastAsia="Times New Roman"/>
          <w:sz w:val="24"/>
        </w:rPr>
        <w:t xml:space="preserve"> </w:t>
      </w:r>
      <m:oMath>
        <m:r>
          <m:t>A</m:t>
        </m:r>
      </m:oMath>
      <w:r>
        <w:rPr>
          <w:rFonts w:ascii="Times New Roman" w:hAnsi="Times New Roman" w:eastAsia="Times New Roman"/>
          <w:sz w:val="24"/>
        </w:rPr>
        <w:t xml:space="preserve"> </w:t>
      </w:r>
      <w:r>
        <w:rPr>
          <w:rFonts w:ascii="Times New Roman" w:hAnsi="Times New Roman" w:eastAsia="Times New Roman"/>
          <w:sz w:val="24"/>
        </w:rPr>
        <w:t>singular triplets once, where</w:t>
      </w:r>
      <w:r>
        <w:rPr>
          <w:rFonts w:ascii="Times New Roman" w:hAnsi="Times New Roman" w:eastAsia="Times New Roman"/>
          <w:sz w:val="24"/>
        </w:rPr>
        <w:t xml:space="preserve"> </w:t>
      </w:r>
      <m:oMath>
        <m:r>
          <m:t>A</m:t>
        </m:r>
      </m:oMath>
      <w:r>
        <w:rPr>
          <w:rFonts w:ascii="Times New Roman" w:hAnsi="Times New Roman" w:eastAsia="Times New Roman"/>
          <w:sz w:val="24"/>
        </w:rPr>
        <w:t xml:space="preserve"> </w:t>
      </w:r>
      <w:r>
        <w:rPr>
          <w:rFonts w:ascii="Times New Roman" w:hAnsi="Times New Roman" w:eastAsia="Times New Roman"/>
          <w:sz w:val="24"/>
        </w:rPr>
        <w:t>is the largest valid requested component count.</w:t>
      </w:r>
    </w:p>
    <w:p>
      <w:pPr>
        <w:pStyle w:val="Compact"/>
        <w:numPr>
          <w:ilvl w:val="0"/>
          <w:numId w:val="1001"/>
        </w:numPr>
      </w:pPr>
      <w:r>
        <w:t>For each requested a ∈ C, form the compact latent prediction factors from prefixes 1,...,a.</w:t>
      </w:r>
    </w:p>
    <w:p>
      <w:pPr>
        <w:pStyle w:val="Compact"/>
        <w:numPr>
          <w:ilvl w:val="0"/>
          <w:numId w:val="1001"/>
        </w:numPr>
      </w:pPr>
      <w:r>
        <w:rPr>
          <w:rFonts w:ascii="Times New Roman" w:hAnsi="Times New Roman" w:eastAsia="Times New Roman"/>
          <w:sz w:val="24"/>
        </w:rPr>
        <w:t>Store only the requested coefficient or prediction summaries; use blocked latent prediction when a dense coefficient path would exceed its memory threshold.</w:t>
      </w:r>
    </w:p>
    <w:bookmarkEnd w:id="23"/>
    <w:bookmarkStart w:id="24" w:name="s2.2-simpls"/>
    <w:p>
      <w:pPr>
        <w:pStyle w:val="Heading2"/>
      </w:pPr>
      <w:r>
        <w:rPr>
          <w:rFonts w:ascii="Times New Roman" w:hAnsi="Times New Roman" w:eastAsia="Times New Roman"/>
        </w:rPr>
        <w:t>S2.2 SIMPLS</w:t>
      </w:r>
    </w:p>
    <w:p>
      <w:pPr>
        <w:pStyle w:val="FirstParagraph"/>
      </w:pPr>
      <w:r>
        <w:rPr>
          <w:rFonts w:ascii="Times New Roman" w:hAnsi="Times New Roman" w:eastAsia="Times New Roman"/>
          <w:sz w:val="24"/>
        </w:rPr>
        <w:t>The SIMPLS estimator follows de Jong’s sequential construction. For component</w:t>
      </w:r>
      <w:r>
        <w:rPr>
          <w:rFonts w:ascii="Times New Roman" w:hAnsi="Times New Roman" w:eastAsia="Times New Roman"/>
          <w:sz w:val="24"/>
        </w:rPr>
        <w:t xml:space="preserve"> </w:t>
      </w:r>
      <m:oMath>
        <m:r>
          <m:t>a</m:t>
        </m:r>
      </m:oMath>
      <w:r>
        <w:rPr>
          <w:rFonts w:ascii="Times New Roman" w:hAnsi="Times New Roman" w:eastAsia="Times New Roman"/>
          <w:sz w:val="24"/>
        </w:rPr>
        <w:t>, the implementation obtains a dominant left direction</w:t>
      </w:r>
      <w:r>
        <w:rPr>
          <w:rFonts w:ascii="Times New Roman" w:hAnsi="Times New Roman" w:eastAsia="Times New Roman"/>
          <w:sz w:val="24"/>
        </w:rPr>
        <w:t xml:space="preserve"> </w:t>
      </w:r>
      <m:oMath>
        <m:sSub>
          <m:e>
            <m:r>
              <m:t>r</m:t>
            </m:r>
          </m:e>
          <m:sub>
            <m:r>
              <m:t>a</m:t>
            </m:r>
          </m:sub>
        </m:sSub>
      </m:oMath>
      <w:r>
        <w:rPr>
          <w:rFonts w:ascii="Times New Roman" w:hAnsi="Times New Roman" w:eastAsia="Times New Roman"/>
          <w:sz w:val="24"/>
        </w:rPr>
        <w:t xml:space="preserve"> </w:t>
      </w:r>
      <w:r>
        <w:rPr>
          <w:rFonts w:ascii="Times New Roman" w:hAnsi="Times New Roman" w:eastAsia="Times New Roman"/>
          <w:sz w:val="24"/>
        </w:rPr>
        <w:t>from the current cross-covariance state, forms and normalizes the score</w:t>
      </w:r>
      <w:r>
        <w:rPr>
          <w:rFonts w:ascii="Times New Roman" w:hAnsi="Times New Roman" w:eastAsia="Times New Roman"/>
          <w:sz w:val="24"/>
        </w:rPr>
        <w:t xml:space="preserve"> </w:t>
      </w:r>
      <m:oMath>
        <m:sSub>
          <m:e>
            <m:r>
              <m:t>t</m:t>
            </m:r>
          </m:e>
          <m:sub>
            <m:r>
              <m:t>a</m:t>
            </m:r>
          </m:sub>
        </m:sSub>
        <m:r>
          <m:rPr>
            <m:sty m:val="p"/>
          </m:rPr>
          <m:t>=</m:t>
        </m:r>
        <m:r>
          <m:t>X</m:t>
        </m:r>
        <m:sSub>
          <m:e>
            <m:r>
              <m:t>r</m:t>
            </m:r>
          </m:e>
          <m:sub>
            <m:r>
              <m:t>a</m:t>
            </m:r>
          </m:sub>
        </m:sSub>
      </m:oMath>
      <w:r>
        <w:rPr>
          <w:rFonts w:ascii="Times New Roman" w:hAnsi="Times New Roman" w:eastAsia="Times New Roman"/>
          <w:sz w:val="24"/>
        </w:rPr>
        <w:t>, computes predictor and response loadings, orthogonalizes the predictor loading against the preceding SIMPLS basis, and applies rank-one deflation. The default implementation accepts one refreshed direction after every deflation step.</w:t>
      </w:r>
    </w:p>
    <w:p>
      <w:pPr>
        <w:pStyle w:val="BodyText"/>
      </w:pPr>
      <w:r>
        <w:rPr>
          <w:rFonts w:ascii="Times New Roman" w:hAnsi="Times New Roman" w:eastAsia="Times New Roman"/>
          <w:sz w:val="24"/>
        </w:rPr>
        <w:t>The following execution optimizations are active in the current standard path:</w:t>
      </w:r>
    </w:p>
    <w:p>
      <w:pPr>
        <w:pStyle w:val="Compact"/>
        <w:numPr>
          <w:ilvl w:val="0"/>
          <w:numId w:val="1002"/>
        </w:numPr>
      </w:pPr>
      <w:r>
        <w:t>Each randomized SIMPLS direction is generated from a fresh oversampled range sketch of the current deflated cross-covariance operator.</w:t>
      </w:r>
    </w:p>
    <w:p>
      <w:pPr>
        <w:pStyle w:val="Compact"/>
        <w:numPr>
          <w:ilvl w:val="0"/>
          <w:numId w:val="1002"/>
        </w:numPr>
      </w:pPr>
      <w:r>
        <w:rPr>
          <w:rFonts w:ascii="Times New Roman" w:hAnsi="Times New Roman" w:eastAsia="Times New Roman"/>
          <w:sz w:val="24"/>
        </w:rPr>
        <w:t>The row product</w:t>
      </w:r>
      <w:r>
        <w:rPr>
          <w:rFonts w:ascii="Times New Roman" w:hAnsi="Times New Roman" w:eastAsia="Times New Roman"/>
          <w:sz w:val="24"/>
        </w:rPr>
        <w:t xml:space="preserve"> </w:t>
      </w:r>
      <m:oMath>
        <m:sSubSup>
          <m:e>
            <m:r>
              <m:t>v</m:t>
            </m:r>
          </m:e>
          <m:sub>
            <m:r>
              <m:t>a</m:t>
            </m:r>
          </m:sub>
          <m:sup>
            <m:r>
              <m:rPr>
                <m:sty m:val="p"/>
              </m:rPr>
              <m:t>⊤</m:t>
            </m:r>
          </m:sup>
        </m:sSubSup>
        <m:sSub>
          <m:e>
            <m:r>
              <m:t>S</m:t>
            </m:r>
          </m:e>
          <m:sub>
            <m:r>
              <m:t>a</m:t>
            </m:r>
          </m:sub>
        </m:sSub>
      </m:oMath>
      <w:r>
        <w:rPr>
          <w:rFonts w:ascii="Times New Roman" w:hAnsi="Times New Roman" w:eastAsia="Times New Roman"/>
          <w:sz w:val="24"/>
        </w:rPr>
        <w:t xml:space="preserve"> </w:t>
      </w:r>
      <w:r>
        <w:rPr>
          <w:rFonts w:ascii="Times New Roman" w:hAnsi="Times New Roman" w:eastAsia="Times New Roman"/>
          <w:sz w:val="24"/>
        </w:rPr>
        <w:t>is evaluated once and reused in the rank-one deflation.</w:t>
      </w:r>
    </w:p>
    <w:p>
      <w:pPr>
        <w:pStyle w:val="Compact"/>
        <w:numPr>
          <w:ilvl w:val="0"/>
          <w:numId w:val="1002"/>
        </w:numPr>
      </w:pPr>
      <w:r>
        <w:rPr>
          <w:rFonts w:ascii="Times New Roman" w:hAnsi="Times New Roman" w:eastAsia="Times New Roman"/>
          <w:sz w:val="24"/>
        </w:rPr>
        <w:t>For tall matrices with moderate</w:t>
      </w:r>
      <w:r>
        <w:rPr>
          <w:rFonts w:ascii="Times New Roman" w:hAnsi="Times New Roman" w:eastAsia="Times New Roman"/>
          <w:sz w:val="24"/>
        </w:rPr>
        <w:t xml:space="preserve"> </w:t>
      </w:r>
      <m:oMath>
        <m:r>
          <m:t>p</m:t>
        </m:r>
      </m:oMath>
      <w:r>
        <w:rPr>
          <w:rFonts w:ascii="Times New Roman" w:hAnsi="Times New Roman" w:eastAsia="Times New Roman"/>
          <w:sz w:val="24"/>
        </w:rPr>
        <w:t>, a shape-aware path caches</w:t>
      </w:r>
      <w:r>
        <w:rPr>
          <w:rFonts w:ascii="Times New Roman" w:hAnsi="Times New Roman" w:eastAsia="Times New Roman"/>
          <w:sz w:val="24"/>
        </w:rPr>
        <w:t xml:space="preserve"> </w:t>
      </w:r>
      <m:oMath>
        <m:sSup>
          <m:e>
            <m:r>
              <m:t>X</m:t>
            </m:r>
          </m:e>
          <m:sup>
            <m:r>
              <m:rPr>
                <m:sty m:val="p"/>
              </m:rPr>
              <m:t>⊤</m:t>
            </m:r>
          </m:sup>
        </m:sSup>
        <m:r>
          <m:t>X</m:t>
        </m:r>
      </m:oMath>
      <w:r>
        <w:rPr>
          <w:rFonts w:ascii="Times New Roman" w:hAnsi="Times New Roman" w:eastAsia="Times New Roman"/>
          <w:sz w:val="24"/>
        </w:rPr>
        <w:t xml:space="preserve"> </w:t>
      </w:r>
      <w:r>
        <w:rPr>
          <w:rFonts w:ascii="Times New Roman" w:hAnsi="Times New Roman" w:eastAsia="Times New Roman"/>
          <w:sz w:val="24"/>
        </w:rPr>
        <w:t>and the initial cross-covariance so that score normalization and loadings avoid repeated observation-space products.</w:t>
      </w:r>
    </w:p>
    <w:p>
      <w:pPr>
        <w:pStyle w:val="Compact"/>
        <w:numPr>
          <w:ilvl w:val="0"/>
          <w:numId w:val="1002"/>
        </w:numPr>
      </w:pPr>
      <w:r>
        <w:rPr>
          <w:rFonts w:ascii="Times New Roman" w:hAnsi="Times New Roman" w:eastAsia="Times New Roman"/>
          <w:sz w:val="24"/>
        </w:rPr>
        <w:t>The coefficient matrix is updated as</w:t>
      </w:r>
      <w:r>
        <w:rPr>
          <w:rFonts w:ascii="Times New Roman" w:hAnsi="Times New Roman" w:eastAsia="Times New Roman"/>
          <w:sz w:val="24"/>
        </w:rPr>
        <w:t xml:space="preserve"> </w:t>
      </w:r>
      <m:oMath>
        <m:sSub>
          <m:e>
            <m:r>
              <m:t>B</m:t>
            </m:r>
          </m:e>
          <m:sub>
            <m:r>
              <m:t>a</m:t>
            </m:r>
          </m:sub>
        </m:sSub>
        <m:r>
          <m:rPr>
            <m:sty m:val="p"/>
          </m:rPr>
          <m:t>=</m:t>
        </m:r>
        <m:sSub>
          <m:e>
            <m:r>
              <m:t>B</m:t>
            </m:r>
          </m:e>
          <m:sub>
            <m:r>
              <m:t>a</m:t>
            </m:r>
            <m:r>
              <m:rPr>
                <m:sty m:val="p"/>
              </m:rPr>
              <m:t>−</m:t>
            </m:r>
            <m:r>
              <m:t>1</m:t>
            </m:r>
          </m:sub>
        </m:sSub>
        <m:r>
          <m:rPr>
            <m:sty m:val="p"/>
          </m:rPr>
          <m:t>+</m:t>
        </m:r>
        <m:sSub>
          <m:e>
            <m:r>
              <m:t>r</m:t>
            </m:r>
          </m:e>
          <m:sub>
            <m:r>
              <m:t>a</m:t>
            </m:r>
          </m:sub>
        </m:sSub>
        <m:sSubSup>
          <m:e>
            <m:r>
              <m:t>q</m:t>
            </m:r>
          </m:e>
          <m:sub>
            <m:r>
              <m:t>a</m:t>
            </m:r>
          </m:sub>
          <m:sup>
            <m:r>
              <m:rPr>
                <m:sty m:val="p"/>
              </m:rPr>
              <m:t>⊤</m:t>
            </m:r>
          </m:sup>
        </m:sSubSup>
      </m:oMath>
      <w:r>
        <w:rPr>
          <w:rFonts w:ascii="Times New Roman" w:hAnsi="Times New Roman" w:eastAsia="Times New Roman"/>
          <w:sz w:val="24"/>
        </w:rPr>
        <w:t>.</w:t>
      </w:r>
    </w:p>
    <w:p>
      <w:pPr>
        <w:pStyle w:val="Compact"/>
        <w:numPr>
          <w:ilvl w:val="0"/>
          <w:numId w:val="1002"/>
        </w:numPr>
      </w:pPr>
      <w:r>
        <w:rPr>
          <w:rFonts w:ascii="Times New Roman" w:hAnsi="Times New Roman" w:eastAsia="Times New Roman"/>
          <w:sz w:val="24"/>
        </w:rPr>
        <w:t>When fitted values are requested, they are updated as</w:t>
      </w:r>
      <w:r>
        <w:rPr>
          <w:rFonts w:ascii="Times New Roman" w:hAnsi="Times New Roman" w:eastAsia="Times New Roman"/>
          <w:sz w:val="24"/>
        </w:rPr>
        <w:t xml:space="preserve"> </w:t>
      </w:r>
      <m:oMath>
        <m:sSub>
          <m:e>
            <m:acc>
              <m:accPr>
                <m:chr m:val="̂"/>
              </m:accPr>
              <m:e>
                <m:r>
                  <m:t>Y</m:t>
                </m:r>
              </m:e>
            </m:acc>
          </m:e>
          <m:sub>
            <m:r>
              <m:t>a</m:t>
            </m:r>
          </m:sub>
        </m:sSub>
        <m:r>
          <m:rPr>
            <m:sty m:val="p"/>
          </m:rPr>
          <m:t>=</m:t>
        </m:r>
        <m:sSub>
          <m:e>
            <m:acc>
              <m:accPr>
                <m:chr m:val="̂"/>
              </m:accPr>
              <m:e>
                <m:r>
                  <m:t>Y</m:t>
                </m:r>
              </m:e>
            </m:acc>
          </m:e>
          <m:sub>
            <m:r>
              <m:t>a</m:t>
            </m:r>
            <m:r>
              <m:rPr>
                <m:sty m:val="p"/>
              </m:rPr>
              <m:t>−</m:t>
            </m:r>
            <m:r>
              <m:t>1</m:t>
            </m:r>
          </m:sub>
        </m:sSub>
        <m:r>
          <m:rPr>
            <m:sty m:val="p"/>
          </m:rPr>
          <m:t>+</m:t>
        </m:r>
        <m:sSub>
          <m:e>
            <m:r>
              <m:t>t</m:t>
            </m:r>
          </m:e>
          <m:sub>
            <m:r>
              <m:t>a</m:t>
            </m:r>
          </m:sub>
        </m:sSub>
        <m:sSubSup>
          <m:e>
            <m:r>
              <m:t>q</m:t>
            </m:r>
          </m:e>
          <m:sub>
            <m:r>
              <m:t>a</m:t>
            </m:r>
          </m:sub>
          <m:sup>
            <m:r>
              <m:rPr>
                <m:sty m:val="p"/>
              </m:rPr>
              <m:t>⊤</m:t>
            </m:r>
          </m:sup>
        </m:sSubSup>
      </m:oMath>
      <w:r>
        <w:rPr>
          <w:rFonts w:ascii="Times New Roman" w:hAnsi="Times New Roman" w:eastAsia="Times New Roman"/>
          <w:sz w:val="24"/>
        </w:rPr>
        <w:t>.</w:t>
      </w:r>
    </w:p>
    <w:p>
      <w:pPr>
        <w:pStyle w:val="Compact"/>
        <w:numPr>
          <w:ilvl w:val="0"/>
          <w:numId w:val="1002"/>
        </w:numPr>
      </w:pPr>
      <w:r>
        <w:rPr>
          <w:rFonts w:ascii="Times New Roman" w:hAnsi="Times New Roman" w:eastAsia="Times New Roman"/>
          <w:sz w:val="24"/>
        </w:rPr>
        <w:t>Several requested component counts are extracted from one maximal path.</w:t>
      </w:r>
    </w:p>
    <w:p>
      <w:pPr>
        <w:pStyle w:val="FirstParagraph"/>
      </w:pPr>
      <w:r>
        <w:t>Incremental deflation, coefficient, and prediction updates reorganize numerical work while retaining sequential SIMPLS orthogonalization and deflation. The former one-vector warm-start and adaptive randomized refresh were rejected by formal validation and are not used by the public algorithm.</w:t>
      </w:r>
    </w:p>
    <w:p>
      <w:pPr>
        <w:pStyle w:val="BodyText"/>
      </w:pPr>
      <w:r>
        <w:rPr>
          <w:rFonts w:ascii="Times New Roman" w:hAnsi="Times New Roman" w:eastAsia="Times New Roman"/>
          <w:b/>
          <w:bCs/>
          <w:sz w:val="24"/>
        </w:rPr>
        <w:t>Algorithm S2. Accelerated sequential SIMPLS.</w:t>
      </w:r>
    </w:p>
    <w:p>
      <w:pPr>
        <w:pStyle w:val="Compact"/>
        <w:numPr>
          <w:ilvl w:val="0"/>
          <w:numId w:val="1003"/>
        </w:numPr>
      </w:pPr>
      <w:r>
        <w:rPr>
          <w:rFonts w:ascii="Times New Roman" w:hAnsi="Times New Roman" w:eastAsia="Times New Roman"/>
          <w:sz w:val="24"/>
        </w:rPr>
        <w:t>Centre and optionally scale</w:t>
      </w:r>
      <w:r>
        <w:rPr>
          <w:rFonts w:ascii="Times New Roman" w:hAnsi="Times New Roman" w:eastAsia="Times New Roman"/>
          <w:sz w:val="24"/>
        </w:rPr>
        <w:t xml:space="preserve"> </w:t>
      </w:r>
      <m:oMath>
        <m:r>
          <m:t>X</m:t>
        </m:r>
      </m:oMath>
      <w:r>
        <w:rPr>
          <w:rFonts w:ascii="Times New Roman" w:hAnsi="Times New Roman" w:eastAsia="Times New Roman"/>
          <w:sz w:val="24"/>
        </w:rPr>
        <w:t xml:space="preserve"> </w:t>
      </w:r>
      <w:r>
        <w:rPr>
          <w:rFonts w:ascii="Times New Roman" w:hAnsi="Times New Roman" w:eastAsia="Times New Roman"/>
          <w:sz w:val="24"/>
        </w:rPr>
        <w:t>and centre</w:t>
      </w:r>
      <w:r>
        <w:rPr>
          <w:rFonts w:ascii="Times New Roman" w:hAnsi="Times New Roman" w:eastAsia="Times New Roman"/>
          <w:sz w:val="24"/>
        </w:rPr>
        <w:t xml:space="preserve"> </w:t>
      </w:r>
      <m:oMath>
        <m:r>
          <m:t>Y</m:t>
        </m:r>
      </m:oMath>
      <w:r>
        <w:rPr>
          <w:rFonts w:ascii="Times New Roman" w:hAnsi="Times New Roman" w:eastAsia="Times New Roman"/>
          <w:sz w:val="24"/>
        </w:rPr>
        <w:t>; initialize</w:t>
      </w:r>
      <w:r>
        <w:rPr>
          <w:rFonts w:ascii="Times New Roman" w:hAnsi="Times New Roman" w:eastAsia="Times New Roman"/>
          <w:sz w:val="24"/>
        </w:rPr>
        <w:t xml:space="preserve"> </w:t>
      </w:r>
      <m:oMath>
        <m:r>
          <m:t>S</m:t>
        </m:r>
        <m:r>
          <m:rPr>
            <m:sty m:val="p"/>
          </m:rPr>
          <m:t>=</m:t>
        </m:r>
        <m:sSup>
          <m:e>
            <m:r>
              <m:t>X</m:t>
            </m:r>
          </m:e>
          <m:sup>
            <m:r>
              <m:rPr>
                <m:sty m:val="p"/>
              </m:rPr>
              <m:t>⊤</m:t>
            </m:r>
          </m:sup>
        </m:sSup>
        <m:r>
          <m:t>Y</m:t>
        </m:r>
      </m:oMath>
      <w:r>
        <w:rPr>
          <w:rFonts w:ascii="Times New Roman" w:hAnsi="Times New Roman" w:eastAsia="Times New Roman"/>
          <w:sz w:val="24"/>
        </w:rPr>
        <w:t>, empty bases</w:t>
      </w:r>
      <w:r>
        <w:rPr>
          <w:rFonts w:ascii="Times New Roman" w:hAnsi="Times New Roman" w:eastAsia="Times New Roman"/>
          <w:sz w:val="24"/>
        </w:rPr>
        <w:t xml:space="preserve"> </w:t>
      </w:r>
      <m:oMath>
        <m:r>
          <m:t>R</m:t>
        </m:r>
      </m:oMath>
      <w:r>
        <w:rPr>
          <w:rFonts w:ascii="Times New Roman" w:hAnsi="Times New Roman" w:eastAsia="Times New Roman"/>
          <w:sz w:val="24"/>
        </w:rPr>
        <w:t>,</w:t>
      </w:r>
      <w:r>
        <w:rPr>
          <w:rFonts w:ascii="Times New Roman" w:hAnsi="Times New Roman" w:eastAsia="Times New Roman"/>
          <w:sz w:val="24"/>
        </w:rPr>
        <w:t xml:space="preserve"> </w:t>
      </w:r>
      <m:oMath>
        <m:r>
          <m:t>Q</m:t>
        </m:r>
      </m:oMath>
      <w:r>
        <w:rPr>
          <w:rFonts w:ascii="Times New Roman" w:hAnsi="Times New Roman" w:eastAsia="Times New Roman"/>
          <w:sz w:val="24"/>
        </w:rPr>
        <w:t>, and</w:t>
      </w:r>
      <w:r>
        <w:rPr>
          <w:rFonts w:ascii="Times New Roman" w:hAnsi="Times New Roman" w:eastAsia="Times New Roman"/>
          <w:sz w:val="24"/>
        </w:rPr>
        <w:t xml:space="preserve"> </w:t>
      </w:r>
      <m:oMath>
        <m:r>
          <m:t>V</m:t>
        </m:r>
      </m:oMath>
      <w:r>
        <w:rPr>
          <w:rFonts w:ascii="Times New Roman" w:hAnsi="Times New Roman" w:eastAsia="Times New Roman"/>
          <w:sz w:val="24"/>
        </w:rPr>
        <w:t>, and the coefficient accumulator</w:t>
      </w:r>
      <w:r>
        <w:rPr>
          <w:rFonts w:ascii="Times New Roman" w:hAnsi="Times New Roman" w:eastAsia="Times New Roman"/>
          <w:sz w:val="24"/>
        </w:rPr>
        <w:t xml:space="preserve"> </w:t>
      </w:r>
      <m:oMath>
        <m:r>
          <m:t>B</m:t>
        </m:r>
        <m:r>
          <m:rPr>
            <m:sty m:val="p"/>
          </m:rPr>
          <m:t>=</m:t>
        </m:r>
        <m:r>
          <m:t>0</m:t>
        </m:r>
      </m:oMath>
      <w:r>
        <w:rPr>
          <w:rFonts w:ascii="Times New Roman" w:hAnsi="Times New Roman" w:eastAsia="Times New Roman"/>
          <w:sz w:val="24"/>
        </w:rPr>
        <w:t>.</w:t>
      </w:r>
    </w:p>
    <w:p>
      <w:pPr>
        <w:pStyle w:val="Compact"/>
        <w:numPr>
          <w:ilvl w:val="0"/>
          <w:numId w:val="1003"/>
        </w:numPr>
      </w:pPr>
      <w:r>
        <w:t>For component a, obtain one dominant left direction of the current deflated cross-covariance operator. IRLBA performs a fresh deterministic iterative solve. rSVD forms a fresh Gaussian sketch with target width one plus oversampling, applies the requested power iterations, performs QR orthonormalization, and extracts the leading vector from the reduced decomposition.</w:t>
      </w:r>
    </w:p>
    <w:p>
      <w:pPr>
        <w:pStyle w:val="Compact"/>
        <w:numPr>
          <w:ilvl w:val="0"/>
          <w:numId w:val="1003"/>
        </w:numPr>
      </w:pPr>
      <w:r>
        <w:rPr>
          <w:rFonts w:ascii="Times New Roman" w:hAnsi="Times New Roman" w:eastAsia="Times New Roman"/>
          <w:sz w:val="24"/>
        </w:rPr>
        <w:t>Form</w:t>
      </w:r>
      <w:r>
        <w:rPr>
          <w:rFonts w:ascii="Times New Roman" w:hAnsi="Times New Roman" w:eastAsia="Times New Roman"/>
          <w:sz w:val="24"/>
        </w:rPr>
        <w:t xml:space="preserve"> </w:t>
      </w:r>
      <m:oMath>
        <m:sSub>
          <m:e>
            <m:r>
              <m:t>t</m:t>
            </m:r>
          </m:e>
          <m:sub>
            <m:r>
              <m:t>a</m:t>
            </m:r>
          </m:sub>
        </m:sSub>
        <m:r>
          <m:rPr>
            <m:sty m:val="p"/>
          </m:rPr>
          <m:t>=</m:t>
        </m:r>
        <m:r>
          <m:t>X</m:t>
        </m:r>
        <m:sSub>
          <m:e>
            <m:r>
              <m:t>r</m:t>
            </m:r>
          </m:e>
          <m:sub>
            <m:r>
              <m:t>a</m:t>
            </m:r>
          </m:sub>
        </m:sSub>
      </m:oMath>
      <w:r>
        <w:rPr>
          <w:rFonts w:ascii="Times New Roman" w:hAnsi="Times New Roman" w:eastAsia="Times New Roman"/>
          <w:sz w:val="24"/>
        </w:rPr>
        <w:t>, normalize</w:t>
      </w:r>
      <w:r>
        <w:rPr>
          <w:rFonts w:ascii="Times New Roman" w:hAnsi="Times New Roman" w:eastAsia="Times New Roman"/>
          <w:sz w:val="24"/>
        </w:rPr>
        <w:t xml:space="preserve"> </w:t>
      </w:r>
      <m:oMath>
        <m:sSub>
          <m:e>
            <m:r>
              <m:t>t</m:t>
            </m:r>
          </m:e>
          <m:sub>
            <m:r>
              <m:t>a</m:t>
            </m:r>
          </m:sub>
        </m:sSub>
      </m:oMath>
      <w:r>
        <w:rPr>
          <w:rFonts w:ascii="Times New Roman" w:hAnsi="Times New Roman" w:eastAsia="Times New Roman"/>
          <w:sz w:val="24"/>
        </w:rPr>
        <w:t xml:space="preserve"> </w:t>
      </w:r>
      <w:r>
        <w:rPr>
          <w:rFonts w:ascii="Times New Roman" w:hAnsi="Times New Roman" w:eastAsia="Times New Roman"/>
          <w:sz w:val="24"/>
        </w:rPr>
        <w:t>and</w:t>
      </w:r>
      <w:r>
        <w:rPr>
          <w:rFonts w:ascii="Times New Roman" w:hAnsi="Times New Roman" w:eastAsia="Times New Roman"/>
          <w:sz w:val="24"/>
        </w:rPr>
        <w:t xml:space="preserve"> </w:t>
      </w:r>
      <m:oMath>
        <m:sSub>
          <m:e>
            <m:r>
              <m:t>r</m:t>
            </m:r>
          </m:e>
          <m:sub>
            <m:r>
              <m:t>a</m:t>
            </m:r>
          </m:sub>
        </m:sSub>
      </m:oMath>
      <w:r>
        <w:rPr>
          <w:rFonts w:ascii="Times New Roman" w:hAnsi="Times New Roman" w:eastAsia="Times New Roman"/>
          <w:sz w:val="24"/>
        </w:rPr>
        <w:t>, and calculate</w:t>
      </w:r>
      <w:r>
        <w:rPr>
          <w:rFonts w:ascii="Times New Roman" w:hAnsi="Times New Roman" w:eastAsia="Times New Roman"/>
          <w:sz w:val="24"/>
        </w:rPr>
        <w:t xml:space="preserve"> </w:t>
      </w:r>
      <m:oMath>
        <m:sSub>
          <m:e>
            <m:r>
              <m:t>p</m:t>
            </m:r>
          </m:e>
          <m:sub>
            <m:r>
              <m:t>a</m:t>
            </m:r>
          </m:sub>
        </m:sSub>
        <m:r>
          <m:rPr>
            <m:sty m:val="p"/>
          </m:rPr>
          <m:t>=</m:t>
        </m:r>
        <m:sSup>
          <m:e>
            <m:r>
              <m:t>X</m:t>
            </m:r>
          </m:e>
          <m:sup>
            <m:r>
              <m:rPr>
                <m:sty m:val="p"/>
              </m:rPr>
              <m:t>⊤</m:t>
            </m:r>
          </m:sup>
        </m:sSup>
        <m:sSub>
          <m:e>
            <m:r>
              <m:t>t</m:t>
            </m:r>
          </m:e>
          <m:sub>
            <m:r>
              <m:t>a</m:t>
            </m:r>
          </m:sub>
        </m:sSub>
      </m:oMath>
      <w:r>
        <w:rPr>
          <w:rFonts w:ascii="Times New Roman" w:hAnsi="Times New Roman" w:eastAsia="Times New Roman"/>
          <w:sz w:val="24"/>
        </w:rPr>
        <w:t xml:space="preserve"> </w:t>
      </w:r>
      <w:r>
        <w:rPr>
          <w:rFonts w:ascii="Times New Roman" w:hAnsi="Times New Roman" w:eastAsia="Times New Roman"/>
          <w:sz w:val="24"/>
        </w:rPr>
        <w:t>and</w:t>
      </w:r>
      <w:r>
        <w:rPr>
          <w:rFonts w:ascii="Times New Roman" w:hAnsi="Times New Roman" w:eastAsia="Times New Roman"/>
          <w:sz w:val="24"/>
        </w:rPr>
        <w:t xml:space="preserve"> </w:t>
      </w:r>
      <m:oMath>
        <m:sSub>
          <m:e>
            <m:r>
              <m:t>q</m:t>
            </m:r>
          </m:e>
          <m:sub>
            <m:r>
              <m:t>a</m:t>
            </m:r>
          </m:sub>
        </m:sSub>
        <m:r>
          <m:rPr>
            <m:sty m:val="p"/>
          </m:rPr>
          <m:t>=</m:t>
        </m:r>
        <m:sSup>
          <m:e>
            <m:r>
              <m:t>Y</m:t>
            </m:r>
          </m:e>
          <m:sup>
            <m:r>
              <m:rPr>
                <m:sty m:val="p"/>
              </m:rPr>
              <m:t>⊤</m:t>
            </m:r>
          </m:sup>
        </m:sSup>
        <m:sSub>
          <m:e>
            <m:r>
              <m:t>t</m:t>
            </m:r>
          </m:e>
          <m:sub>
            <m:r>
              <m:t>a</m:t>
            </m:r>
          </m:sub>
        </m:sSub>
      </m:oMath>
      <w:r>
        <w:rPr>
          <w:rFonts w:ascii="Times New Roman" w:hAnsi="Times New Roman" w:eastAsia="Times New Roman"/>
          <w:sz w:val="24"/>
        </w:rPr>
        <w:t>.</w:t>
      </w:r>
    </w:p>
    <w:p>
      <w:pPr>
        <w:pStyle w:val="Compact"/>
        <w:numPr>
          <w:ilvl w:val="0"/>
          <w:numId w:val="1003"/>
        </w:numPr>
      </w:pPr>
      <w:r>
        <w:rPr>
          <w:rFonts w:ascii="Times New Roman" w:hAnsi="Times New Roman" w:eastAsia="Times New Roman"/>
          <w:sz w:val="24"/>
        </w:rPr>
        <w:t>Orthogonalize</w:t>
      </w:r>
      <w:r>
        <w:rPr>
          <w:rFonts w:ascii="Times New Roman" w:hAnsi="Times New Roman" w:eastAsia="Times New Roman"/>
          <w:sz w:val="24"/>
        </w:rPr>
        <w:t xml:space="preserve"> </w:t>
      </w:r>
      <m:oMath>
        <m:sSub>
          <m:e>
            <m:r>
              <m:t>p</m:t>
            </m:r>
          </m:e>
          <m:sub>
            <m:r>
              <m:t>a</m:t>
            </m:r>
          </m:sub>
        </m:sSub>
      </m:oMath>
      <w:r>
        <w:rPr>
          <w:rFonts w:ascii="Times New Roman" w:hAnsi="Times New Roman" w:eastAsia="Times New Roman"/>
          <w:sz w:val="24"/>
        </w:rPr>
        <w:t xml:space="preserve"> </w:t>
      </w:r>
      <w:r>
        <w:rPr>
          <w:rFonts w:ascii="Times New Roman" w:hAnsi="Times New Roman" w:eastAsia="Times New Roman"/>
          <w:sz w:val="24"/>
        </w:rPr>
        <w:t>against the existing</w:t>
      </w:r>
      <w:r>
        <w:rPr>
          <w:rFonts w:ascii="Times New Roman" w:hAnsi="Times New Roman" w:eastAsia="Times New Roman"/>
          <w:sz w:val="24"/>
        </w:rPr>
        <w:t xml:space="preserve"> </w:t>
      </w:r>
      <m:oMath>
        <m:r>
          <m:t>V</m:t>
        </m:r>
      </m:oMath>
      <w:r>
        <w:rPr>
          <w:rFonts w:ascii="Times New Roman" w:hAnsi="Times New Roman" w:eastAsia="Times New Roman"/>
          <w:sz w:val="24"/>
        </w:rPr>
        <w:t xml:space="preserve"> </w:t>
      </w:r>
      <w:r>
        <w:rPr>
          <w:rFonts w:ascii="Times New Roman" w:hAnsi="Times New Roman" w:eastAsia="Times New Roman"/>
          <w:sz w:val="24"/>
        </w:rPr>
        <w:t>basis, reorthogonalize once, and normalize the resulting</w:t>
      </w:r>
      <w:r>
        <w:rPr>
          <w:rFonts w:ascii="Times New Roman" w:hAnsi="Times New Roman" w:eastAsia="Times New Roman"/>
          <w:sz w:val="24"/>
        </w:rPr>
        <w:t xml:space="preserve"> </w:t>
      </w:r>
      <m:oMath>
        <m:sSub>
          <m:e>
            <m:r>
              <m:t>v</m:t>
            </m:r>
          </m:e>
          <m:sub>
            <m:r>
              <m:t>a</m:t>
            </m:r>
          </m:sub>
        </m:sSub>
      </m:oMath>
      <w:r>
        <w:rPr>
          <w:rFonts w:ascii="Times New Roman" w:hAnsi="Times New Roman" w:eastAsia="Times New Roman"/>
          <w:sz w:val="24"/>
        </w:rPr>
        <w:t>.</w:t>
      </w:r>
    </w:p>
    <w:p>
      <w:pPr>
        <w:pStyle w:val="Compact"/>
        <w:numPr>
          <w:ilvl w:val="0"/>
          <w:numId w:val="1003"/>
        </w:numPr>
      </w:pPr>
      <w:r>
        <w:rPr>
          <w:rFonts w:ascii="Times New Roman" w:hAnsi="Times New Roman" w:eastAsia="Times New Roman"/>
          <w:sz w:val="24"/>
        </w:rPr>
        <w:t>Evaluate</w:t>
      </w:r>
      <w:r>
        <w:rPr>
          <w:rFonts w:ascii="Times New Roman" w:hAnsi="Times New Roman" w:eastAsia="Times New Roman"/>
          <w:sz w:val="24"/>
        </w:rPr>
        <w:t xml:space="preserve"> </w:t>
      </w:r>
      <m:oMath>
        <m:sSub>
          <m:e>
            <m:r>
              <m:t>h</m:t>
            </m:r>
          </m:e>
          <m:sub>
            <m:r>
              <m:t>a</m:t>
            </m:r>
          </m:sub>
        </m:sSub>
        <m:r>
          <m:rPr>
            <m:sty m:val="p"/>
          </m:rPr>
          <m:t>=</m:t>
        </m:r>
        <m:sSubSup>
          <m:e>
            <m:r>
              <m:t>v</m:t>
            </m:r>
          </m:e>
          <m:sub>
            <m:r>
              <m:t>a</m:t>
            </m:r>
          </m:sub>
          <m:sup>
            <m:r>
              <m:rPr>
                <m:sty m:val="p"/>
              </m:rPr>
              <m:t>⊤</m:t>
            </m:r>
          </m:sup>
        </m:sSubSup>
        <m:sSub>
          <m:e>
            <m:r>
              <m:t>S</m:t>
            </m:r>
          </m:e>
          <m:sub>
            <m:r>
              <m:t>a</m:t>
            </m:r>
          </m:sub>
        </m:sSub>
      </m:oMath>
      <w:r>
        <w:rPr>
          <w:rFonts w:ascii="Times New Roman" w:hAnsi="Times New Roman" w:eastAsia="Times New Roman"/>
          <w:sz w:val="24"/>
        </w:rPr>
        <w:t xml:space="preserve"> </w:t>
      </w:r>
      <w:r>
        <w:rPr>
          <w:rFonts w:ascii="Times New Roman" w:hAnsi="Times New Roman" w:eastAsia="Times New Roman"/>
          <w:sz w:val="24"/>
        </w:rPr>
        <w:t>once and update</w:t>
      </w:r>
      <w:r>
        <w:rPr>
          <w:rFonts w:ascii="Times New Roman" w:hAnsi="Times New Roman" w:eastAsia="Times New Roman"/>
          <w:sz w:val="24"/>
        </w:rPr>
        <w:t xml:space="preserve"> </w:t>
      </w:r>
      <m:oMath>
        <m:sSub>
          <m:e>
            <m:r>
              <m:t>S</m:t>
            </m:r>
          </m:e>
          <m:sub>
            <m:r>
              <m:t>a</m:t>
            </m:r>
            <m:r>
              <m:rPr>
                <m:sty m:val="p"/>
              </m:rPr>
              <m:t>+</m:t>
            </m:r>
            <m:r>
              <m:t>1</m:t>
            </m:r>
          </m:sub>
        </m:sSub>
        <m:r>
          <m:rPr>
            <m:sty m:val="p"/>
          </m:rPr>
          <m:t>=</m:t>
        </m:r>
        <m:sSub>
          <m:e>
            <m:r>
              <m:t>S</m:t>
            </m:r>
          </m:e>
          <m:sub>
            <m:r>
              <m:t>a</m:t>
            </m:r>
          </m:sub>
        </m:sSub>
        <m:r>
          <m:rPr>
            <m:sty m:val="p"/>
          </m:rPr>
          <m:t>−</m:t>
        </m:r>
        <m:sSub>
          <m:e>
            <m:r>
              <m:t>v</m:t>
            </m:r>
          </m:e>
          <m:sub>
            <m:r>
              <m:t>a</m:t>
            </m:r>
          </m:sub>
        </m:sSub>
        <m:sSub>
          <m:e>
            <m:r>
              <m:t>h</m:t>
            </m:r>
          </m:e>
          <m:sub>
            <m:r>
              <m:t>a</m:t>
            </m:r>
          </m:sub>
        </m:sSub>
      </m:oMath>
      <w:r>
        <w:rPr>
          <w:rFonts w:ascii="Times New Roman" w:hAnsi="Times New Roman" w:eastAsia="Times New Roman"/>
          <w:sz w:val="24"/>
        </w:rPr>
        <w:t>.</w:t>
      </w:r>
    </w:p>
    <w:p>
      <w:pPr>
        <w:pStyle w:val="Compact"/>
        <w:numPr>
          <w:ilvl w:val="0"/>
          <w:numId w:val="1003"/>
        </w:numPr>
      </w:pPr>
      <w:r>
        <w:rPr>
          <w:rFonts w:ascii="Times New Roman" w:hAnsi="Times New Roman" w:eastAsia="Times New Roman"/>
          <w:sz w:val="24"/>
        </w:rPr>
        <w:t>Append</w:t>
      </w:r>
      <w:r>
        <w:rPr>
          <w:rFonts w:ascii="Times New Roman" w:hAnsi="Times New Roman" w:eastAsia="Times New Roman"/>
          <w:sz w:val="24"/>
        </w:rPr>
        <w:t xml:space="preserve"> </w:t>
      </w:r>
      <m:oMath>
        <m:sSub>
          <m:e>
            <m:r>
              <m:t>r</m:t>
            </m:r>
          </m:e>
          <m:sub>
            <m:r>
              <m:t>a</m:t>
            </m:r>
          </m:sub>
        </m:sSub>
      </m:oMath>
      <w:r>
        <w:rPr>
          <w:rFonts w:ascii="Times New Roman" w:hAnsi="Times New Roman" w:eastAsia="Times New Roman"/>
          <w:sz w:val="24"/>
        </w:rPr>
        <w:t>,</w:t>
      </w:r>
      <w:r>
        <w:rPr>
          <w:rFonts w:ascii="Times New Roman" w:hAnsi="Times New Roman" w:eastAsia="Times New Roman"/>
          <w:sz w:val="24"/>
        </w:rPr>
        <w:t xml:space="preserve"> </w:t>
      </w:r>
      <m:oMath>
        <m:sSub>
          <m:e>
            <m:r>
              <m:t>q</m:t>
            </m:r>
          </m:e>
          <m:sub>
            <m:r>
              <m:t>a</m:t>
            </m:r>
          </m:sub>
        </m:sSub>
      </m:oMath>
      <w:r>
        <w:rPr>
          <w:rFonts w:ascii="Times New Roman" w:hAnsi="Times New Roman" w:eastAsia="Times New Roman"/>
          <w:sz w:val="24"/>
        </w:rPr>
        <w:t>, and</w:t>
      </w:r>
      <w:r>
        <w:rPr>
          <w:rFonts w:ascii="Times New Roman" w:hAnsi="Times New Roman" w:eastAsia="Times New Roman"/>
          <w:sz w:val="24"/>
        </w:rPr>
        <w:t xml:space="preserve"> </w:t>
      </w:r>
      <m:oMath>
        <m:sSub>
          <m:e>
            <m:r>
              <m:t>v</m:t>
            </m:r>
          </m:e>
          <m:sub>
            <m:r>
              <m:t>a</m:t>
            </m:r>
          </m:sub>
        </m:sSub>
      </m:oMath>
      <w:r>
        <w:rPr>
          <w:rFonts w:ascii="Times New Roman" w:hAnsi="Times New Roman" w:eastAsia="Times New Roman"/>
          <w:sz w:val="24"/>
        </w:rPr>
        <w:t>; update</w:t>
      </w:r>
      <w:r>
        <w:rPr>
          <w:rFonts w:ascii="Times New Roman" w:hAnsi="Times New Roman" w:eastAsia="Times New Roman"/>
          <w:sz w:val="24"/>
        </w:rPr>
        <w:t xml:space="preserve"> </w:t>
      </w:r>
      <m:oMath>
        <m:sSub>
          <m:e>
            <m:r>
              <m:t>B</m:t>
            </m:r>
          </m:e>
          <m:sub>
            <m:r>
              <m:t>a</m:t>
            </m:r>
          </m:sub>
        </m:sSub>
        <m:r>
          <m:rPr>
            <m:sty m:val="p"/>
          </m:rPr>
          <m:t>=</m:t>
        </m:r>
        <m:sSub>
          <m:e>
            <m:r>
              <m:t>B</m:t>
            </m:r>
          </m:e>
          <m:sub>
            <m:r>
              <m:t>a</m:t>
            </m:r>
            <m:r>
              <m:rPr>
                <m:sty m:val="p"/>
              </m:rPr>
              <m:t>−</m:t>
            </m:r>
            <m:r>
              <m:t>1</m:t>
            </m:r>
          </m:sub>
        </m:sSub>
        <m:r>
          <m:rPr>
            <m:sty m:val="p"/>
          </m:rPr>
          <m:t>+</m:t>
        </m:r>
        <m:sSub>
          <m:e>
            <m:r>
              <m:t>r</m:t>
            </m:r>
          </m:e>
          <m:sub>
            <m:r>
              <m:t>a</m:t>
            </m:r>
          </m:sub>
        </m:sSub>
        <m:sSubSup>
          <m:e>
            <m:r>
              <m:t>q</m:t>
            </m:r>
          </m:e>
          <m:sub>
            <m:r>
              <m:t>a</m:t>
            </m:r>
          </m:sub>
          <m:sup>
            <m:r>
              <m:rPr>
                <m:sty m:val="p"/>
              </m:rPr>
              <m:t>⊤</m:t>
            </m:r>
          </m:sup>
        </m:sSubSup>
      </m:oMath>
      <w:r>
        <w:rPr>
          <w:rFonts w:ascii="Times New Roman" w:hAnsi="Times New Roman" w:eastAsia="Times New Roman"/>
          <w:sz w:val="24"/>
        </w:rPr>
        <w:t xml:space="preserve"> </w:t>
      </w:r>
      <w:r>
        <w:rPr>
          <w:rFonts w:ascii="Times New Roman" w:hAnsi="Times New Roman" w:eastAsia="Times New Roman"/>
          <w:sz w:val="24"/>
        </w:rPr>
        <w:t>and, when requested,</w:t>
      </w:r>
      <w:r>
        <w:rPr>
          <w:rFonts w:ascii="Times New Roman" w:hAnsi="Times New Roman" w:eastAsia="Times New Roman"/>
          <w:sz w:val="24"/>
        </w:rPr>
        <w:t xml:space="preserve"> </w:t>
      </w:r>
      <m:oMath>
        <m:sSub>
          <m:e>
            <m:acc>
              <m:accPr>
                <m:chr m:val="̂"/>
              </m:accPr>
              <m:e>
                <m:r>
                  <m:t>Y</m:t>
                </m:r>
              </m:e>
            </m:acc>
          </m:e>
          <m:sub>
            <m:r>
              <m:t>a</m:t>
            </m:r>
          </m:sub>
        </m:sSub>
        <m:r>
          <m:rPr>
            <m:sty m:val="p"/>
          </m:rPr>
          <m:t>=</m:t>
        </m:r>
        <m:sSub>
          <m:e>
            <m:acc>
              <m:accPr>
                <m:chr m:val="̂"/>
              </m:accPr>
              <m:e>
                <m:r>
                  <m:t>Y</m:t>
                </m:r>
              </m:e>
            </m:acc>
          </m:e>
          <m:sub>
            <m:r>
              <m:t>a</m:t>
            </m:r>
            <m:r>
              <m:rPr>
                <m:sty m:val="p"/>
              </m:rPr>
              <m:t>−</m:t>
            </m:r>
            <m:r>
              <m:t>1</m:t>
            </m:r>
          </m:sub>
        </m:sSub>
        <m:r>
          <m:rPr>
            <m:sty m:val="p"/>
          </m:rPr>
          <m:t>+</m:t>
        </m:r>
        <m:sSub>
          <m:e>
            <m:r>
              <m:t>t</m:t>
            </m:r>
          </m:e>
          <m:sub>
            <m:r>
              <m:t>a</m:t>
            </m:r>
          </m:sub>
        </m:sSub>
        <m:sSubSup>
          <m:e>
            <m:r>
              <m:t>q</m:t>
            </m:r>
          </m:e>
          <m:sub>
            <m:r>
              <m:t>a</m:t>
            </m:r>
          </m:sub>
          <m:sup>
            <m:r>
              <m:rPr>
                <m:sty m:val="p"/>
              </m:rPr>
              <m:t>⊤</m:t>
            </m:r>
          </m:sup>
        </m:sSubSup>
      </m:oMath>
      <w:r>
        <w:rPr>
          <w:rFonts w:ascii="Times New Roman" w:hAnsi="Times New Roman" w:eastAsia="Times New Roman"/>
          <w:sz w:val="24"/>
        </w:rPr>
        <w:t>.</w:t>
      </w:r>
    </w:p>
    <w:p>
      <w:pPr>
        <w:pStyle w:val="Compact"/>
        <w:numPr>
          <w:ilvl w:val="0"/>
          <w:numId w:val="1003"/>
        </w:numPr>
      </w:pPr>
      <w:r>
        <w:rPr>
          <w:rFonts w:ascii="Times New Roman" w:hAnsi="Times New Roman" w:eastAsia="Times New Roman"/>
          <w:sz w:val="24"/>
        </w:rPr>
        <w:t>Snapshot outputs only at requested component counts. The optional</w:t>
      </w:r>
      <w:r>
        <w:rPr>
          <w:rFonts w:ascii="Times New Roman" w:hAnsi="Times New Roman" w:eastAsia="Times New Roman"/>
          <w:sz w:val="24"/>
        </w:rPr>
        <w:t xml:space="preserve"> </w:t>
      </w:r>
      <m:oMath>
        <m:sSup>
          <m:e>
            <m:r>
              <m:t>X</m:t>
            </m:r>
          </m:e>
          <m:sup>
            <m:r>
              <m:rPr>
                <m:sty m:val="p"/>
              </m:rPr>
              <m:t>⊤</m:t>
            </m:r>
          </m:sup>
        </m:sSup>
        <m:r>
          <m:t>X</m:t>
        </m:r>
      </m:oMath>
      <w:r>
        <w:rPr>
          <w:rFonts w:ascii="Times New Roman" w:hAnsi="Times New Roman" w:eastAsia="Times New Roman"/>
          <w:sz w:val="24"/>
        </w:rPr>
        <w:t xml:space="preserve"> </w:t>
      </w:r>
      <w:r>
        <w:rPr>
          <w:rFonts w:ascii="Times New Roman" w:hAnsi="Times New Roman" w:eastAsia="Times New Roman"/>
          <w:sz w:val="24"/>
        </w:rPr>
        <w:t>cache changes how score norms and loadings are evaluated, not the quantities defined above.</w:t>
      </w:r>
    </w:p>
    <w:p>
      <w:pPr>
        <w:pStyle w:val="FirstParagraph"/>
      </w:pPr>
      <w:r>
        <w:t>Table S2. Dominant computational and storage terms. Here, A is the retained number of PLS components and l is the randomized-SVD sketch width (requested rank plus oversampling). Exact constants depend on matrix shape, solver convergence, and backend.</w:t>
      </w:r>
    </w:p>
    <w:tbl>
      <w:tblPr>
        <w:tblStyle w:val="Table"/>
        <w:tblW w:type="dxa" w:w="9360"/>
        <w:jc w:val="center"/>
        <w:tblLayout w:type="fixed"/>
        <w:tblLook w:firstRow="1" w:lastRow="0" w:firstColumn="0" w:lastColumn="0" w:noHBand="0" w:noVBand="0" w:val="0020"/>
        <w:tblInd w:w="120" w:type="dxa"/>
      </w:tblPr>
      <w:tblGrid>
        <w:gridCol w:w="2340"/>
        <w:gridCol w:w="2340"/>
        <w:gridCol w:w="2340"/>
        <w:gridCol w:w="2340"/>
      </w:tblGrid>
      <w:tr>
        <w:trPr>
          <w:tblHeader w:val="on"/>
        </w:trPr>
        <w:tc>
          <w:tcPr>
            <w:tcW w:w="2340" w:type="dxa"/>
            <w:vAlign w:val="center"/>
            <w:tcMar>
              <w:top w:w="80" w:type="dxa"/>
              <w:start w:w="120" w:type="dxa"/>
              <w:bottom w:w="80" w:type="dxa"/>
              <w:end w:w="120" w:type="dxa"/>
            </w:tcMar>
            <w:shd w:fill="E7E6E6"/>
          </w:tcPr>
          <w:p>
            <w:pPr>
              <w:spacing w:after="0" w:before="0" w:line="216" w:lineRule="auto"/>
            </w:pPr>
            <w:r>
              <w:rPr>
                <w:sz w:val="14"/>
              </w:rPr>
              <w:t>Path</w:t>
            </w:r>
          </w:p>
        </w:tc>
        <w:tc>
          <w:tcPr>
            <w:tcW w:w="2340" w:type="dxa"/>
            <w:vAlign w:val="center"/>
            <w:tcMar>
              <w:top w:w="80" w:type="dxa"/>
              <w:start w:w="120" w:type="dxa"/>
              <w:bottom w:w="80" w:type="dxa"/>
              <w:end w:w="120" w:type="dxa"/>
            </w:tcMar>
            <w:shd w:fill="E7E6E6"/>
          </w:tcPr>
          <w:p>
            <w:pPr>
              <w:spacing w:after="0" w:before="0" w:line="216" w:lineRule="auto"/>
            </w:pPr>
            <w:r>
              <w:rPr>
                <w:sz w:val="14"/>
              </w:rPr>
              <w:t>Dominant work</w:t>
            </w:r>
          </w:p>
        </w:tc>
        <w:tc>
          <w:tcPr>
            <w:tcW w:w="2340" w:type="dxa"/>
            <w:vAlign w:val="center"/>
            <w:tcMar>
              <w:top w:w="80" w:type="dxa"/>
              <w:start w:w="120" w:type="dxa"/>
              <w:bottom w:w="80" w:type="dxa"/>
              <w:end w:w="120" w:type="dxa"/>
            </w:tcMar>
            <w:shd w:fill="E7E6E6"/>
          </w:tcPr>
          <w:p>
            <w:pPr>
              <w:spacing w:after="0" w:before="0" w:line="216" w:lineRule="auto"/>
            </w:pPr>
            <w:r>
              <w:rPr>
                <w:sz w:val="14"/>
              </w:rPr>
              <w:t>Additional large storage</w:t>
            </w:r>
          </w:p>
        </w:tc>
        <w:tc>
          <w:tcPr>
            <w:tcW w:w="2340" w:type="dxa"/>
            <w:vAlign w:val="center"/>
            <w:tcMar>
              <w:top w:w="80" w:type="dxa"/>
              <w:start w:w="120" w:type="dxa"/>
              <w:bottom w:w="80" w:type="dxa"/>
              <w:end w:w="120" w:type="dxa"/>
            </w:tcMar>
            <w:shd w:fill="E7E6E6"/>
          </w:tcPr>
          <w:p>
            <w:pPr>
              <w:spacing w:after="0" w:before="0" w:line="216" w:lineRule="auto"/>
            </w:pPr>
            <w:r>
              <w:rPr>
                <w:sz w:val="14"/>
              </w:rPr>
              <w:t>Memory-saving mechanism</w:t>
            </w:r>
          </w:p>
        </w:tc>
      </w:tr>
      <w:tr>
        <w:tc>
          <w:tcPr>
            <w:tcW w:w="2340" w:type="dxa"/>
            <w:vAlign w:val="center"/>
            <w:tcMar>
              <w:top w:w="80" w:type="dxa"/>
              <w:start w:w="120" w:type="dxa"/>
              <w:bottom w:w="80" w:type="dxa"/>
              <w:end w:w="120" w:type="dxa"/>
            </w:tcMar>
          </w:tcPr>
          <w:p>
            <w:pPr>
              <w:spacing w:after="0" w:before="0" w:line="216" w:lineRule="auto"/>
            </w:pPr>
            <w:r>
              <w:rPr>
                <w:sz w:val="14"/>
              </w:rPr>
              <w:t>Explicit PLS-SVD</w:t>
            </w:r>
          </w:p>
        </w:tc>
        <w:tc>
          <w:tcPr>
            <w:tcW w:w="2340" w:type="dxa"/>
            <w:vAlign w:val="center"/>
            <w:tcMar>
              <w:top w:w="80" w:type="dxa"/>
              <w:start w:w="120" w:type="dxa"/>
              <w:bottom w:w="80" w:type="dxa"/>
              <w:end w:w="120" w:type="dxa"/>
            </w:tcMar>
          </w:tcPr>
          <w:p>
            <w:pPr>
              <w:spacing w:after="0" w:before="0" w:line="216" w:lineRule="auto"/>
            </w:pPr>
            <w:r>
              <w:rPr>
                <w:sz w:val="14"/>
              </w:rPr>
              <w:t>Form S = XᵀY: O(npq), then one truncated decomposition</w:t>
            </w:r>
          </w:p>
        </w:tc>
        <w:tc>
          <w:tcPr>
            <w:tcW w:w="2340" w:type="dxa"/>
            <w:vAlign w:val="center"/>
            <w:tcMar>
              <w:top w:w="80" w:type="dxa"/>
              <w:start w:w="120" w:type="dxa"/>
              <w:bottom w:w="80" w:type="dxa"/>
              <w:end w:w="120" w:type="dxa"/>
            </w:tcMar>
          </w:tcPr>
          <w:p>
            <w:pPr>
              <w:spacing w:after="0" w:before="0" w:line="216" w:lineRule="auto"/>
            </w:pPr>
            <w:r>
              <w:rPr>
                <w:sz w:val="14"/>
              </w:rPr>
              <w:t>S: O(pq); latent factors O((p+q)a)</w:t>
            </w:r>
          </w:p>
        </w:tc>
        <w:tc>
          <w:tcPr>
            <w:tcW w:w="2340" w:type="dxa"/>
            <w:vAlign w:val="center"/>
            <w:tcMar>
              <w:top w:w="80" w:type="dxa"/>
              <w:start w:w="120" w:type="dxa"/>
              <w:bottom w:w="80" w:type="dxa"/>
              <w:end w:w="120" w:type="dxa"/>
            </w:tcMar>
          </w:tcPr>
          <w:p>
            <w:pPr>
              <w:spacing w:after="0" w:before="0" w:line="216" w:lineRule="auto"/>
            </w:pPr>
            <w:r>
              <w:rPr>
                <w:sz w:val="14"/>
              </w:rPr>
              <w:t>One decomposition supplies every requested component prefix</w:t>
            </w:r>
          </w:p>
        </w:tc>
      </w:tr>
      <w:tr>
        <w:tc>
          <w:tcPr>
            <w:tcW w:w="2340" w:type="dxa"/>
            <w:vAlign w:val="center"/>
            <w:tcMar>
              <w:top w:w="80" w:type="dxa"/>
              <w:start w:w="120" w:type="dxa"/>
              <w:bottom w:w="80" w:type="dxa"/>
              <w:end w:w="120" w:type="dxa"/>
            </w:tcMar>
          </w:tcPr>
          <w:p>
            <w:pPr>
              <w:spacing w:after="0" w:before="0" w:line="216" w:lineRule="auto"/>
            </w:pPr>
            <w:r>
              <w:rPr>
                <w:sz w:val="14"/>
              </w:rPr>
              <w:t>Implicit PLS-SVD</w:t>
            </w:r>
          </w:p>
        </w:tc>
        <w:tc>
          <w:tcPr>
            <w:tcW w:w="2340" w:type="dxa"/>
            <w:vAlign w:val="center"/>
            <w:tcMar>
              <w:top w:w="80" w:type="dxa"/>
              <w:start w:w="120" w:type="dxa"/>
              <w:bottom w:w="80" w:type="dxa"/>
              <w:end w:w="120" w:type="dxa"/>
            </w:tcMar>
          </w:tcPr>
          <w:p>
            <w:pPr>
              <w:spacing w:after="0" w:before="0" w:line="216" w:lineRule="auto"/>
            </w:pPr>
            <w:r>
              <w:rPr>
                <w:sz w:val="14"/>
              </w:rPr>
              <w:t>For sketch width l, SΩ = Xᵀ(YΩ) and SᵀQ = Yᵀ(XQ)</w:t>
            </w:r>
          </w:p>
        </w:tc>
        <w:tc>
          <w:tcPr>
            <w:tcW w:w="2340" w:type="dxa"/>
            <w:vAlign w:val="center"/>
            <w:tcMar>
              <w:top w:w="80" w:type="dxa"/>
              <w:start w:w="120" w:type="dxa"/>
              <w:bottom w:w="80" w:type="dxa"/>
              <w:end w:w="120" w:type="dxa"/>
            </w:tcMar>
          </w:tcPr>
          <w:p>
            <w:pPr>
              <w:spacing w:after="0" w:before="0" w:line="216" w:lineRule="auto"/>
            </w:pPr>
            <w:r>
              <w:rPr>
                <w:sz w:val="14"/>
              </w:rPr>
              <w:t>Sketches/factors O((p+q)l); no S</w:t>
            </w:r>
          </w:p>
        </w:tc>
        <w:tc>
          <w:tcPr>
            <w:tcW w:w="2340" w:type="dxa"/>
            <w:vAlign w:val="center"/>
            <w:tcMar>
              <w:top w:w="80" w:type="dxa"/>
              <w:start w:w="120" w:type="dxa"/>
              <w:bottom w:w="80" w:type="dxa"/>
              <w:end w:w="120" w:type="dxa"/>
            </w:tcMar>
          </w:tcPr>
          <w:p>
            <w:pPr>
              <w:spacing w:after="0" w:before="0" w:line="216" w:lineRule="auto"/>
            </w:pPr>
            <w:r>
              <w:rPr>
                <w:sz w:val="14"/>
              </w:rPr>
              <w:t>Matrix-free products; label-aware class sums avoid dense indicator Y</w:t>
            </w:r>
          </w:p>
        </w:tc>
      </w:tr>
      <w:tr>
        <w:tc>
          <w:tcPr>
            <w:tcW w:w="2340" w:type="dxa"/>
            <w:vAlign w:val="center"/>
            <w:tcMar>
              <w:top w:w="80" w:type="dxa"/>
              <w:start w:w="120" w:type="dxa"/>
              <w:bottom w:w="80" w:type="dxa"/>
              <w:end w:w="120" w:type="dxa"/>
            </w:tcMar>
          </w:tcPr>
          <w:p>
            <w:pPr>
              <w:spacing w:after="0" w:before="0" w:line="216" w:lineRule="auto"/>
            </w:pPr>
            <w:r>
              <w:rPr>
                <w:sz w:val="14"/>
              </w:rPr>
              <w:t>SIMPLS</w:t>
            </w:r>
          </w:p>
        </w:tc>
        <w:tc>
          <w:tcPr>
            <w:tcW w:w="2340" w:type="dxa"/>
            <w:vAlign w:val="center"/>
            <w:tcMar>
              <w:top w:w="80" w:type="dxa"/>
              <w:start w:w="120" w:type="dxa"/>
              <w:bottom w:w="80" w:type="dxa"/>
              <w:end w:w="120" w:type="dxa"/>
            </w:tcMar>
          </w:tcPr>
          <w:p>
            <w:pPr>
              <w:spacing w:after="0" w:before="0" w:line="216" w:lineRule="auto"/>
            </w:pPr>
            <w:r>
              <w:rPr>
                <w:sz w:val="14"/>
              </w:rPr>
              <w:t>a sequential leading-direction solves plus score/loading products</w:t>
            </w:r>
          </w:p>
        </w:tc>
        <w:tc>
          <w:tcPr>
            <w:tcW w:w="2340" w:type="dxa"/>
            <w:vAlign w:val="center"/>
            <w:tcMar>
              <w:top w:w="80" w:type="dxa"/>
              <w:start w:w="120" w:type="dxa"/>
              <w:bottom w:w="80" w:type="dxa"/>
              <w:end w:w="120" w:type="dxa"/>
            </w:tcMar>
          </w:tcPr>
          <w:p>
            <w:pPr>
              <w:spacing w:after="0" w:before="0" w:line="216" w:lineRule="auto"/>
            </w:pPr>
            <w:r>
              <w:rPr>
                <w:sz w:val="14"/>
              </w:rPr>
              <w:t>Explicit S: O(pq); bases O((p+q)a)</w:t>
            </w:r>
          </w:p>
        </w:tc>
        <w:tc>
          <w:tcPr>
            <w:tcW w:w="2340" w:type="dxa"/>
            <w:vAlign w:val="center"/>
            <w:tcMar>
              <w:top w:w="80" w:type="dxa"/>
              <w:start w:w="120" w:type="dxa"/>
              <w:bottom w:w="80" w:type="dxa"/>
              <w:end w:w="120" w:type="dxa"/>
            </w:tcMar>
          </w:tcPr>
          <w:p>
            <w:pPr>
              <w:spacing w:after="0" w:before="0" w:line="216" w:lineRule="auto"/>
            </w:pPr>
            <w:r>
              <w:rPr>
                <w:sz w:val="14"/>
              </w:rPr>
              <w:t>Cached deflation products and incremental prediction path; rSVD reuse is explicitly approximate</w:t>
            </w:r>
          </w:p>
        </w:tc>
      </w:tr>
      <w:tr>
        <w:tc>
          <w:tcPr>
            <w:tcW w:w="2340" w:type="dxa"/>
            <w:vAlign w:val="center"/>
            <w:tcMar>
              <w:top w:w="80" w:type="dxa"/>
              <w:start w:w="120" w:type="dxa"/>
              <w:bottom w:w="80" w:type="dxa"/>
              <w:end w:w="120" w:type="dxa"/>
            </w:tcMar>
          </w:tcPr>
          <w:p>
            <w:pPr>
              <w:spacing w:after="0" w:before="0" w:line="216" w:lineRule="auto"/>
            </w:pPr>
            <w:r>
              <w:rPr>
                <w:sz w:val="14"/>
              </w:rPr>
              <w:t>OPLS</w:t>
            </w:r>
          </w:p>
        </w:tc>
        <w:tc>
          <w:tcPr>
            <w:tcW w:w="2340" w:type="dxa"/>
            <w:vAlign w:val="center"/>
            <w:tcMar>
              <w:top w:w="80" w:type="dxa"/>
              <w:start w:w="120" w:type="dxa"/>
              <w:bottom w:w="80" w:type="dxa"/>
              <w:end w:w="120" w:type="dxa"/>
            </w:tcMar>
          </w:tcPr>
          <w:p>
            <w:pPr>
              <w:spacing w:after="0" w:before="0" w:line="216" w:lineRule="auto"/>
            </w:pPr>
            <w:r>
              <w:rPr>
                <w:sz w:val="14"/>
              </w:rPr>
              <w:t>Explicit S = XᵀY and one-vector filter SVD, then SIMPLS predictive core</w:t>
            </w:r>
          </w:p>
        </w:tc>
        <w:tc>
          <w:tcPr>
            <w:tcW w:w="2340" w:type="dxa"/>
            <w:vAlign w:val="center"/>
            <w:tcMar>
              <w:top w:w="80" w:type="dxa"/>
              <w:start w:w="120" w:type="dxa"/>
              <w:bottom w:w="80" w:type="dxa"/>
              <w:end w:w="120" w:type="dxa"/>
            </w:tcMar>
          </w:tcPr>
          <w:p>
            <w:pPr>
              <w:spacing w:after="0" w:before="0" w:line="216" w:lineRule="auto"/>
            </w:pPr>
            <w:r>
              <w:rPr>
                <w:sz w:val="14"/>
              </w:rPr>
              <w:t>Filter S: O(pq); bases O(p·north) plus inner-model storage</w:t>
            </w:r>
          </w:p>
        </w:tc>
        <w:tc>
          <w:tcPr>
            <w:tcW w:w="2340" w:type="dxa"/>
            <w:vAlign w:val="center"/>
            <w:tcMar>
              <w:top w:w="80" w:type="dxa"/>
              <w:start w:w="120" w:type="dxa"/>
              <w:bottom w:w="80" w:type="dxa"/>
              <w:end w:w="120" w:type="dxa"/>
            </w:tcMar>
          </w:tcPr>
          <w:p>
            <w:pPr>
              <w:spacing w:after="0" w:before="0" w:line="216" w:lineRule="auto"/>
            </w:pPr>
            <w:r>
              <w:rPr>
                <w:sz w:val="14"/>
              </w:rPr>
              <w:t>No dense deflated X copy; the current orthogonal-filter stage remains explicit</w:t>
            </w:r>
          </w:p>
        </w:tc>
      </w:tr>
      <w:tr>
        <w:tc>
          <w:tcPr>
            <w:tcW w:w="2340" w:type="dxa"/>
            <w:vAlign w:val="center"/>
            <w:tcMar>
              <w:top w:w="80" w:type="dxa"/>
              <w:start w:w="120" w:type="dxa"/>
              <w:bottom w:w="80" w:type="dxa"/>
              <w:end w:w="120" w:type="dxa"/>
            </w:tcMar>
          </w:tcPr>
          <w:p>
            <w:pPr>
              <w:spacing w:after="0" w:before="0" w:line="216" w:lineRule="auto"/>
            </w:pPr>
            <w:r>
              <w:rPr>
                <w:sz w:val="14"/>
              </w:rPr>
              <w:t>Nonlinear kernel PLS</w:t>
            </w:r>
          </w:p>
        </w:tc>
        <w:tc>
          <w:tcPr>
            <w:tcW w:w="2340" w:type="dxa"/>
            <w:vAlign w:val="center"/>
            <w:tcMar>
              <w:top w:w="80" w:type="dxa"/>
              <w:start w:w="120" w:type="dxa"/>
              <w:bottom w:w="80" w:type="dxa"/>
              <w:end w:w="120" w:type="dxa"/>
            </w:tcMar>
          </w:tcPr>
          <w:p>
            <w:pPr>
              <w:spacing w:after="0" w:before="0" w:line="216" w:lineRule="auto"/>
            </w:pPr>
            <w:r>
              <w:rPr>
                <w:sz w:val="14"/>
              </w:rPr>
              <w:t>Kernel construction plus SIMPLS in sample space</w:t>
            </w:r>
          </w:p>
        </w:tc>
        <w:tc>
          <w:tcPr>
            <w:tcW w:w="2340" w:type="dxa"/>
            <w:vAlign w:val="center"/>
            <w:tcMar>
              <w:top w:w="80" w:type="dxa"/>
              <w:start w:w="120" w:type="dxa"/>
              <w:bottom w:w="80" w:type="dxa"/>
              <w:end w:w="120" w:type="dxa"/>
            </w:tcMar>
          </w:tcPr>
          <w:p>
            <w:pPr>
              <w:spacing w:after="0" w:before="0" w:line="216" w:lineRule="auto"/>
            </w:pPr>
            <w:r>
              <w:rPr>
                <w:sz w:val="14"/>
              </w:rPr>
              <w:t>Centred Gram matrix O(n²)</w:t>
            </w:r>
          </w:p>
        </w:tc>
        <w:tc>
          <w:tcPr>
            <w:tcW w:w="2340" w:type="dxa"/>
            <w:vAlign w:val="center"/>
            <w:tcMar>
              <w:top w:w="80" w:type="dxa"/>
              <w:start w:w="120" w:type="dxa"/>
              <w:bottom w:w="80" w:type="dxa"/>
              <w:end w:w="120" w:type="dxa"/>
            </w:tcMar>
          </w:tcPr>
          <w:p>
            <w:pPr>
              <w:spacing w:after="0" w:before="0" w:line="216" w:lineRule="auto"/>
            </w:pPr>
            <w:r>
              <w:rPr>
                <w:sz w:val="14"/>
              </w:rPr>
              <w:t>Blocked test prediction only; nonlinear kernel storage remains quadratic</w:t>
            </w:r>
          </w:p>
        </w:tc>
      </w:tr>
      <w:tr>
        <w:tc>
          <w:tcPr>
            <w:tcW w:w="2340" w:type="dxa"/>
            <w:vAlign w:val="center"/>
            <w:tcMar>
              <w:top w:w="80" w:type="dxa"/>
              <w:start w:w="120" w:type="dxa"/>
              <w:bottom w:w="80" w:type="dxa"/>
              <w:end w:w="120" w:type="dxa"/>
            </w:tcMar>
          </w:tcPr>
          <w:p>
            <w:pPr>
              <w:spacing w:after="0" w:before="0" w:line="216" w:lineRule="auto"/>
            </w:pPr>
            <w:r>
              <w:rPr>
                <w:sz w:val="14"/>
              </w:rPr>
              <w:t>Compact prediction</w:t>
            </w:r>
          </w:p>
        </w:tc>
        <w:tc>
          <w:tcPr>
            <w:tcW w:w="2340" w:type="dxa"/>
            <w:vAlign w:val="center"/>
            <w:tcMar>
              <w:top w:w="80" w:type="dxa"/>
              <w:start w:w="120" w:type="dxa"/>
              <w:bottom w:w="80" w:type="dxa"/>
              <w:end w:w="120" w:type="dxa"/>
            </w:tcMar>
          </w:tcPr>
          <w:p>
            <w:pPr>
              <w:spacing w:after="0" w:before="0" w:line="216" w:lineRule="auto"/>
            </w:pPr>
            <w:r>
              <w:rPr>
                <w:sz w:val="14"/>
              </w:rPr>
              <w:t>XtestR followed by latent response mapping</w:t>
            </w:r>
          </w:p>
        </w:tc>
        <w:tc>
          <w:tcPr>
            <w:tcW w:w="2340" w:type="dxa"/>
            <w:vAlign w:val="center"/>
            <w:tcMar>
              <w:top w:w="80" w:type="dxa"/>
              <w:start w:w="120" w:type="dxa"/>
              <w:bottom w:w="80" w:type="dxa"/>
              <w:end w:w="120" w:type="dxa"/>
            </w:tcMar>
          </w:tcPr>
          <w:p>
            <w:pPr>
              <w:spacing w:after="0" w:before="0" w:line="216" w:lineRule="auto"/>
            </w:pPr>
            <w:r>
              <w:rPr>
                <w:sz w:val="14"/>
              </w:rPr>
              <w:t>Test-score block and latent factors, not all p×q coefficient prefixes</w:t>
            </w:r>
          </w:p>
        </w:tc>
        <w:tc>
          <w:tcPr>
            <w:tcW w:w="2340" w:type="dxa"/>
            <w:vAlign w:val="center"/>
            <w:tcMar>
              <w:top w:w="80" w:type="dxa"/>
              <w:start w:w="120" w:type="dxa"/>
              <w:bottom w:w="80" w:type="dxa"/>
              <w:end w:w="120" w:type="dxa"/>
            </w:tcMar>
          </w:tcPr>
          <w:p>
            <w:pPr>
              <w:spacing w:after="0" w:before="0" w:line="216" w:lineRule="auto"/>
            </w:pPr>
            <w:r>
              <w:rPr>
                <w:sz w:val="14"/>
              </w:rPr>
              <w:t>Row-block streaming and low-rank latent mapping</w:t>
            </w:r>
          </w:p>
        </w:tc>
      </w:tr>
    </w:tbl>
    <w:bookmarkEnd w:id="24"/>
    <w:bookmarkStart w:id="25" w:name="s2.3-opls"/>
    <w:p>
      <w:pPr>
        <w:pStyle w:val="Heading2"/>
      </w:pPr>
      <w:r>
        <w:rPr>
          <w:rFonts w:ascii="Times New Roman" w:hAnsi="Times New Roman" w:eastAsia="Times New Roman"/>
        </w:rPr>
        <w:t>S2.3 OPLS</w:t>
      </w:r>
    </w:p>
    <w:p>
      <w:pPr>
        <w:pStyle w:val="FirstParagraph"/>
      </w:pPr>
      <w:r>
        <w:rPr>
          <w:rFonts w:ascii="Times New Roman" w:hAnsi="Times New Roman" w:eastAsia="Times New Roman"/>
          <w:sz w:val="24"/>
        </w:rPr>
        <w:t>OPLS estimates orthogonal scores and loadings from</w:t>
      </w:r>
      <w:r>
        <w:rPr>
          <w:rFonts w:ascii="Times New Roman" w:hAnsi="Times New Roman" w:eastAsia="Times New Roman"/>
          <w:sz w:val="24"/>
        </w:rPr>
        <w:t xml:space="preserve"> </w:t>
      </w:r>
      <m:oMath>
        <m:r>
          <m:t>X</m:t>
        </m:r>
      </m:oMath>
      <w:r>
        <w:rPr>
          <w:rFonts w:ascii="Times New Roman" w:hAnsi="Times New Roman" w:eastAsia="Times New Roman"/>
          <w:sz w:val="24"/>
        </w:rPr>
        <w:t>, removes variation that is orthogonal to the response-associated direction, and fits the predictive SIMPLS core to the filtered matrix. Prediction applies the stored training filter before the predictive model. The current CUDA path performs the OPLS filter on the CPU and the predictive SIMPLS stage on CUDA. Metal accelerates the larger filter products but retains selected host-side operations.</w:t>
      </w:r>
    </w:p>
    <w:bookmarkEnd w:id="25"/>
    <w:bookmarkStart w:id="26" w:name="s2.4-kernel-pls"/>
    <w:p>
      <w:pPr>
        <w:pStyle w:val="Heading2"/>
      </w:pPr>
      <w:r>
        <w:rPr>
          <w:rFonts w:ascii="Times New Roman" w:hAnsi="Times New Roman" w:eastAsia="Times New Roman"/>
        </w:rPr>
        <w:t>S2.4 Kernel PLS</w:t>
      </w:r>
    </w:p>
    <w:p>
      <w:pPr>
        <w:pStyle w:val="FirstParagraph"/>
      </w:pPr>
      <w:r>
        <w:t>The linear kernel dispatches to the ordinary linear SIMPLS route, avoiding an unnecessary n-by-n Gram matrix. RBF and polynomial kernels construct and centre an explicit training Gram matrix and apply stored training means to held-out kernels. One float64 Gram matrix requires 8n^2 bytes before copies and workspaces: 0.75 GiB at n=10,000, 2.98 GiB at n=20,000, 6.71 GiB at n=30,000, and 18.63 GiB at n=50,000. Kernel centring, temporary products, and the R process require additional memory. The deterministic nonlinear-kernel validation included n_train=42-180; it establishes numerical agreement in that range, not large-sample feasibility. Conservative planning limits for the tested hardware are n&lt;=20,000 on the 32-GB workstation and n&lt;=10,000 on the 8-GB unified-memory Mac. These are operational ceilings based on reserving memory for multiple dense buffers, not measured performance limits. Larger nonlinear-kernel jobs were not validated and require an explicit memory calculation. The current CUDA nonlinear-kernel route is host assisted, so the 16-GB device does not remove the host-memory constraint.</w:t>
      </w:r>
    </w:p>
    <w:bookmarkEnd w:id="26"/>
    <w:bookmarkStart w:id="27" w:name="s2.5-randomized-svd"/>
    <w:p>
      <w:pPr>
        <w:pStyle w:val="Heading2"/>
      </w:pPr>
      <w:r>
        <w:rPr>
          <w:rFonts w:ascii="Times New Roman" w:hAnsi="Times New Roman" w:eastAsia="Times New Roman"/>
        </w:rPr>
        <w:t>S2.5 Randomized SVD</w:t>
      </w:r>
    </w:p>
    <w:p>
      <w:pPr>
        <w:pStyle w:val="FirstParagraph"/>
      </w:pPr>
      <w:r>
        <w:t>For a linear operator M and target rank r, rSVD draws a Gaussian matrix, forms a range sketch, optionally applies alternating products with M and its transpose, orthonormalizes the range, and decomposes the reduced matrix. The public one-power setting is intended for exploratory speed. It must not be interpreted as certified agreement; power, oversampling, and seed are recorded in every benchmark manifest.</w:t>
      </w:r>
    </w:p>
    <w:p>
      <w:pPr>
        <w:pStyle w:val="BodyText"/>
      </w:pPr>
      <w:r>
        <w:t>CUDA and Metal offload the large matrix products, but neither backend should be described as universally device-resident. In the current float32 CUDA implementation, QR and the reduced decomposition are finalized in host float32 after GPU range products. Metal likewise retains selected host-side reduced operations and SIMPLS direction updates. Supplementary Table S1 records residency by stage rather than assigning a single label to an entire model family.</w:t>
      </w:r>
    </w:p>
    <w:bookmarkEnd w:id="27"/>
    <w:bookmarkStart w:id="28" w:name="s2.6-bundled-irlba"/>
    <w:p>
      <w:pPr>
        <w:pStyle w:val="Heading2"/>
      </w:pPr>
      <w:r>
        <w:rPr>
          <w:rFonts w:ascii="Times New Roman" w:hAnsi="Times New Roman" w:eastAsia="Times New Roman"/>
        </w:rPr>
        <w:t>S2.6 Bundled IRLBA</w:t>
      </w:r>
    </w:p>
    <w:p>
      <w:pPr>
        <w:pStyle w:val="FirstParagraph"/>
      </w:pPr>
      <w:r>
        <w:rPr>
          <w:rFonts w:ascii="Times New Roman" w:hAnsi="Times New Roman" w:eastAsia="Times New Roman"/>
          <w:sz w:val="24"/>
        </w:rPr>
        <w:t>The double CPU route bundles augmented implicitly restarted Lanczos bidiagonalization. It expands and restarts a bidiagonal Krylov subspace to approximate the requested dominant singular triplets without a full decomposition. The default public controls are</w:t>
      </w:r>
      <w:r>
        <w:rPr>
          <w:rFonts w:ascii="Times New Roman" w:hAnsi="Times New Roman" w:eastAsia="Times New Roman"/>
          <w:sz w:val="24"/>
        </w:rPr>
        <w:t xml:space="preserve"> </w:t>
      </w:r>
      <w:r>
        <w:rPr>
          <w:rStyle w:val="VerbatimChar"/>
          <w:rFonts w:ascii="Times New Roman" w:hAnsi="Times New Roman" w:eastAsia="Times New Roman"/>
          <w:sz w:val="24"/>
        </w:rPr>
        <w:t>maxit=1000</w:t>
      </w:r>
      <w:r>
        <w:rPr>
          <w:rFonts w:ascii="Times New Roman" w:hAnsi="Times New Roman" w:eastAsia="Times New Roman"/>
          <w:sz w:val="24"/>
        </w:rPr>
        <w:t>,</w:t>
      </w:r>
      <w:r>
        <w:rPr>
          <w:rFonts w:ascii="Times New Roman" w:hAnsi="Times New Roman" w:eastAsia="Times New Roman"/>
          <w:sz w:val="24"/>
        </w:rPr>
        <w:t xml:space="preserve"> </w:t>
      </w:r>
      <w:r>
        <w:rPr>
          <w:rStyle w:val="VerbatimChar"/>
          <w:rFonts w:ascii="Times New Roman" w:hAnsi="Times New Roman" w:eastAsia="Times New Roman"/>
          <w:sz w:val="24"/>
        </w:rPr>
        <w:t>tol=1e-5</w:t>
      </w:r>
      <w:r>
        <w:rPr>
          <w:rFonts w:ascii="Times New Roman" w:hAnsi="Times New Roman" w:eastAsia="Times New Roman"/>
          <w:sz w:val="24"/>
        </w:rPr>
        <w:t>,</w:t>
      </w:r>
      <w:r>
        <w:rPr>
          <w:rFonts w:ascii="Times New Roman" w:hAnsi="Times New Roman" w:eastAsia="Times New Roman"/>
          <w:sz w:val="24"/>
        </w:rPr>
        <w:t xml:space="preserve"> </w:t>
      </w:r>
      <w:r>
        <w:rPr>
          <w:rStyle w:val="VerbatimChar"/>
          <w:rFonts w:ascii="Times New Roman" w:hAnsi="Times New Roman" w:eastAsia="Times New Roman"/>
          <w:sz w:val="24"/>
        </w:rPr>
        <w:t>eps=1e-9</w:t>
      </w:r>
      <w:r>
        <w:rPr>
          <w:rFonts w:ascii="Times New Roman" w:hAnsi="Times New Roman" w:eastAsia="Times New Roman"/>
          <w:sz w:val="24"/>
        </w:rPr>
        <w:t>, and</w:t>
      </w:r>
      <w:r>
        <w:rPr>
          <w:rFonts w:ascii="Times New Roman" w:hAnsi="Times New Roman" w:eastAsia="Times New Roman"/>
          <w:sz w:val="24"/>
        </w:rPr>
        <w:t xml:space="preserve"> </w:t>
      </w:r>
      <w:r>
        <w:rPr>
          <w:rStyle w:val="VerbatimChar"/>
          <w:rFonts w:ascii="Times New Roman" w:hAnsi="Times New Roman" w:eastAsia="Times New Roman"/>
          <w:sz w:val="24"/>
        </w:rPr>
        <w:t>svtol=1e-5</w:t>
      </w:r>
      <w:r>
        <w:rPr>
          <w:rFonts w:ascii="Times New Roman" w:hAnsi="Times New Roman" w:eastAsia="Times New Roman"/>
          <w:sz w:val="24"/>
        </w:rPr>
        <w:t>, unless overridden through</w:t>
      </w:r>
      <w:r>
        <w:rPr>
          <w:rFonts w:ascii="Times New Roman" w:hAnsi="Times New Roman" w:eastAsia="Times New Roman"/>
          <w:sz w:val="24"/>
        </w:rPr>
        <w:t xml:space="preserve"> </w:t>
      </w:r>
      <w:r>
        <w:rPr>
          <w:rStyle w:val="VerbatimChar"/>
          <w:rFonts w:ascii="Times New Roman" w:hAnsi="Times New Roman" w:eastAsia="Times New Roman"/>
          <w:sz w:val="24"/>
        </w:rPr>
        <w:t>...</w:t>
      </w:r>
      <w:r>
        <w:rPr>
          <w:rFonts w:ascii="Times New Roman" w:hAnsi="Times New Roman" w:eastAsia="Times New Roman"/>
          <w:sz w:val="24"/>
        </w:rPr>
        <w:t>. Exact fallback is used when either input dimension is below six. IRLBA is otherwise retained even when the requested rank approaches the smaller matrix dimension. The native float32 CPU and Metal routes use separate single-precision IRLBA-style implementations; CUDA float32 currently supports rSVD only.</w:t>
      </w:r>
    </w:p>
    <w:bookmarkEnd w:id="28"/>
    <w:bookmarkStart w:id="29" w:name="s2.7-implicit-cross-covariance-products"/>
    <w:p>
      <w:pPr>
        <w:pStyle w:val="Heading2"/>
      </w:pPr>
      <w:r>
        <w:rPr>
          <w:rFonts w:ascii="Times New Roman" w:hAnsi="Times New Roman" w:eastAsia="Times New Roman"/>
        </w:rPr>
        <w:t>S2.7 Implicit cross-covariance products</w:t>
      </w:r>
    </w:p>
    <w:p>
      <w:pPr>
        <w:pStyle w:val="FirstParagraph"/>
      </w:pPr>
      <w:r>
        <w:rPr>
          <w:rFonts w:ascii="Times New Roman" w:hAnsi="Times New Roman" w:eastAsia="Times New Roman"/>
          <w:sz w:val="24"/>
        </w:rPr>
        <w:t>When</w:t>
      </w:r>
      <w:r>
        <w:rPr>
          <w:rFonts w:ascii="Times New Roman" w:hAnsi="Times New Roman" w:eastAsia="Times New Roman"/>
          <w:sz w:val="24"/>
        </w:rPr>
        <w:t xml:space="preserve"> </w:t>
      </w:r>
      <m:oMath>
        <m:r>
          <m:t>S</m:t>
        </m:r>
        <m:r>
          <m:rPr>
            <m:sty m:val="p"/>
          </m:rPr>
          <m:t>=</m:t>
        </m:r>
        <m:sSup>
          <m:e>
            <m:r>
              <m:t>X</m:t>
            </m:r>
          </m:e>
          <m:sup>
            <m:r>
              <m:rPr>
                <m:sty m:val="p"/>
              </m:rPr>
              <m:t>⊤</m:t>
            </m:r>
          </m:sup>
        </m:sSup>
        <m:r>
          <m:t>Y</m:t>
        </m:r>
      </m:oMath>
      <w:r>
        <w:rPr>
          <w:rFonts w:ascii="Times New Roman" w:hAnsi="Times New Roman" w:eastAsia="Times New Roman"/>
          <w:sz w:val="24"/>
        </w:rPr>
        <w:t xml:space="preserve"> </w:t>
      </w:r>
      <w:r>
        <w:rPr>
          <w:rFonts w:ascii="Times New Roman" w:hAnsi="Times New Roman" w:eastAsia="Times New Roman"/>
          <w:sz w:val="24"/>
        </w:rPr>
        <w:t>is expensive to store, the SVD iteration can apply the same operator through</w:t>
      </w:r>
    </w:p>
    <w:p>
      <w:pPr>
        <w:pStyle w:val="BodyText"/>
      </w:pPr>
      <m:oMathPara>
        <m:oMathParaPr>
          <m:jc m:val="center"/>
        </m:oMathParaPr>
        <m:oMath>
          <m:r>
            <m:t>S</m:t>
          </m:r>
          <m:r>
            <m:t>V</m:t>
          </m:r>
          <m:r>
            <m:rPr>
              <m:sty m:val="p"/>
            </m:rPr>
            <m:t>=</m:t>
          </m:r>
          <m:sSup>
            <m:e>
              <m:r>
                <m:t>X</m:t>
              </m:r>
            </m:e>
            <m:sup>
              <m:r>
                <m:rPr>
                  <m:sty m:val="p"/>
                </m:rPr>
                <m:t>⊤</m:t>
              </m:r>
            </m:sup>
          </m:sSup>
          <m:d>
            <m:dPr>
              <m:begChr m:val="("/>
              <m:endChr m:val=")"/>
              <m:sepChr m:val=""/>
              <m:grow/>
            </m:dPr>
            <m:e>
              <m:r>
                <m:t>Y</m:t>
              </m:r>
              <m:r>
                <m:t>V</m:t>
              </m:r>
            </m:e>
          </m:d>
          <m:r>
            <m:rPr>
              <m:sty m:val="p"/>
            </m:rPr>
            <m:t>,</m:t>
          </m:r>
          <m:r>
            <m:t>  </m:t>
          </m:r>
          <m:sSup>
            <m:e>
              <m:r>
                <m:t>S</m:t>
              </m:r>
            </m:e>
            <m:sup>
              <m:r>
                <m:rPr>
                  <m:sty m:val="p"/>
                </m:rPr>
                <m:t>⊤</m:t>
              </m:r>
            </m:sup>
          </m:sSup>
          <m:r>
            <m:t>U</m:t>
          </m:r>
          <m:r>
            <m:rPr>
              <m:sty m:val="p"/>
            </m:rPr>
            <m:t>=</m:t>
          </m:r>
          <m:sSup>
            <m:e>
              <m:r>
                <m:t>Y</m:t>
              </m:r>
            </m:e>
            <m:sup>
              <m:r>
                <m:rPr>
                  <m:sty m:val="p"/>
                </m:rPr>
                <m:t>⊤</m:t>
              </m:r>
            </m:sup>
          </m:sSup>
          <m:d>
            <m:dPr>
              <m:begChr m:val="("/>
              <m:endChr m:val=")"/>
              <m:sepChr m:val=""/>
              <m:grow/>
            </m:dPr>
            <m:e>
              <m:r>
                <m:t>X</m:t>
              </m:r>
              <m:r>
                <m:t>U</m:t>
              </m:r>
            </m:e>
          </m:d>
          <m:r>
            <m:rPr>
              <m:sty m:val="p"/>
            </m:rPr>
            <m:t>.</m:t>
          </m:r>
        </m:oMath>
      </m:oMathPara>
    </w:p>
    <w:p>
      <w:pPr>
        <w:pStyle w:val="FirstParagraph"/>
      </w:pPr>
      <w:r>
        <w:rPr>
          <w:rFonts w:ascii="Times New Roman" w:hAnsi="Times New Roman" w:eastAsia="Times New Roman"/>
          <w:sz w:val="24"/>
        </w:rPr>
        <w:t>For class labels</w:t>
      </w:r>
      <w:r>
        <w:rPr>
          <w:rFonts w:ascii="Times New Roman" w:hAnsi="Times New Roman" w:eastAsia="Times New Roman"/>
          <w:sz w:val="24"/>
        </w:rPr>
        <w:t xml:space="preserve"> </w:t>
      </w:r>
      <m:oMath>
        <m:sSub>
          <m:e>
            <m:r>
              <m:t>y</m:t>
            </m:r>
          </m:e>
          <m:sub>
            <m:r>
              <m:t>i</m:t>
            </m:r>
          </m:sub>
        </m:sSub>
        <m:r>
          <m:rPr>
            <m:sty m:val="p"/>
          </m:rPr>
          <m:t>∈</m:t>
        </m:r>
        <m:r>
          <m:rPr>
            <m:sty m:val="p"/>
          </m:rPr>
          <m:t>{</m:t>
        </m:r>
        <m:r>
          <m:t>1</m:t>
        </m:r>
        <m:r>
          <m:rPr>
            <m:sty m:val="p"/>
          </m:rPr>
          <m:t>,</m:t>
        </m:r>
        <m:r>
          <m:rPr>
            <m:sty m:val="p"/>
          </m:rPr>
          <m:t>…</m:t>
        </m:r>
        <m:r>
          <m:rPr>
            <m:sty m:val="p"/>
          </m:rPr>
          <m:t>,</m:t>
        </m:r>
        <m:r>
          <m:t>C</m:t>
        </m:r>
        <m:r>
          <m:rPr>
            <m:sty m:val="p"/>
          </m:rPr>
          <m:t>}</m:t>
        </m:r>
      </m:oMath>
      <w:r>
        <w:rPr>
          <w:rFonts w:ascii="Times New Roman" w:hAnsi="Times New Roman" w:eastAsia="Times New Roman"/>
          <w:sz w:val="24"/>
        </w:rPr>
        <w:t>, multiplication by one-hot</w:t>
      </w:r>
      <w:r>
        <w:rPr>
          <w:rFonts w:ascii="Times New Roman" w:hAnsi="Times New Roman" w:eastAsia="Times New Roman"/>
          <w:sz w:val="24"/>
        </w:rPr>
        <w:t xml:space="preserve"> </w:t>
      </w:r>
      <m:oMath>
        <m:r>
          <m:t>Y</m:t>
        </m:r>
      </m:oMath>
      <w:r>
        <w:rPr>
          <w:rFonts w:ascii="Times New Roman" w:hAnsi="Times New Roman" w:eastAsia="Times New Roman"/>
          <w:sz w:val="24"/>
        </w:rPr>
        <w:t xml:space="preserve"> </w:t>
      </w:r>
      <w:r>
        <w:rPr>
          <w:rFonts w:ascii="Times New Roman" w:hAnsi="Times New Roman" w:eastAsia="Times New Roman"/>
          <w:sz w:val="24"/>
        </w:rPr>
        <w:t>is replaced by indexing, and multiplication by</w:t>
      </w:r>
      <w:r>
        <w:rPr>
          <w:rFonts w:ascii="Times New Roman" w:hAnsi="Times New Roman" w:eastAsia="Times New Roman"/>
          <w:sz w:val="24"/>
        </w:rPr>
        <w:t xml:space="preserve"> </w:t>
      </w:r>
      <m:oMath>
        <m:sSup>
          <m:e>
            <m:r>
              <m:t>Y</m:t>
            </m:r>
          </m:e>
          <m:sup>
            <m:r>
              <m:rPr>
                <m:sty m:val="p"/>
              </m:rPr>
              <m:t>⊤</m:t>
            </m:r>
          </m:sup>
        </m:sSup>
      </m:oMath>
      <w:r>
        <w:rPr>
          <w:rFonts w:ascii="Times New Roman" w:hAnsi="Times New Roman" w:eastAsia="Times New Roman"/>
          <w:sz w:val="24"/>
        </w:rPr>
        <w:t xml:space="preserve"> </w:t>
      </w:r>
      <w:r>
        <w:rPr>
          <w:rFonts w:ascii="Times New Roman" w:hAnsi="Times New Roman" w:eastAsia="Times New Roman"/>
          <w:sz w:val="24"/>
        </w:rPr>
        <w:t>is replaced by class-wise sums. With the centred indicator response, the explicit class-sum identity is</w:t>
      </w:r>
    </w:p>
    <w:p>
      <w:pPr>
        <w:pStyle w:val="BodyText"/>
      </w:pPr>
      <m:oMathPara>
        <m:oMathParaPr>
          <m:jc m:val="center"/>
        </m:oMathParaPr>
        <m:oMath>
          <m:sSub>
            <m:e>
              <m:r>
                <m:t>S</m:t>
              </m:r>
            </m:e>
            <m:sub>
              <m:r>
                <m:rPr>
                  <m:sty m:val="p"/>
                </m:rPr>
                <m:t>:</m:t>
              </m:r>
              <m:r>
                <m:t>c</m:t>
              </m:r>
            </m:sub>
          </m:sSub>
          <m:r>
            <m:rPr>
              <m:sty m:val="p"/>
            </m:rPr>
            <m:t>=</m:t>
          </m:r>
          <m:nary>
            <m:naryPr>
              <m:chr m:val="∑"/>
              <m:limLoc m:val="undOvr"/>
              <m:subHide m:val="off"/>
              <m:supHide m:val="on"/>
            </m:naryPr>
            <m:sub>
              <m:r>
                <m:t>i</m:t>
              </m:r>
              <m:r>
                <m:rPr>
                  <m:sty m:val="p"/>
                </m:rPr>
                <m:t>:</m:t>
              </m:r>
              <m:sSub>
                <m:e>
                  <m:r>
                    <m:t>y</m:t>
                  </m:r>
                </m:e>
                <m:sub>
                  <m:r>
                    <m:t>i</m:t>
                  </m:r>
                </m:sub>
              </m:sSub>
              <m:r>
                <m:rPr>
                  <m:sty m:val="p"/>
                </m:rPr>
                <m:t>=</m:t>
              </m:r>
              <m:r>
                <m:t>c</m:t>
              </m:r>
            </m:sub>
            <m:sup>
              <m:r>
                <m:t>​</m:t>
              </m:r>
            </m:sup>
            <m:e>
              <m:sSub>
                <m:e>
                  <m:r>
                    <m:t>x</m:t>
                  </m:r>
                </m:e>
                <m:sub>
                  <m:r>
                    <m:t>i</m:t>
                  </m:r>
                </m:sub>
              </m:sSub>
            </m:e>
          </m:nary>
          <m:r>
            <m:rPr>
              <m:sty m:val="p"/>
            </m:rPr>
            <m:t>−</m:t>
          </m:r>
          <m:f>
            <m:fPr>
              <m:type m:val="bar"/>
            </m:fPr>
            <m:num>
              <m:sSub>
                <m:e>
                  <m:r>
                    <m:t>n</m:t>
                  </m:r>
                </m:e>
                <m:sub>
                  <m:r>
                    <m:t>c</m:t>
                  </m:r>
                </m:sub>
              </m:sSub>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oMath>
      </m:oMathPara>
    </w:p>
    <w:p>
      <w:pPr>
        <w:pStyle w:val="FirstParagraph"/>
      </w:pPr>
      <w:r>
        <w:rPr>
          <w:rFonts w:ascii="Times New Roman" w:hAnsi="Times New Roman" w:eastAsia="Times New Roman"/>
          <w:sz w:val="24"/>
        </w:rPr>
        <w:t>The same centring and scaling values are applied in every row block. No independent SVD is fitted to separate blocks, so the mathematical operator remains the full cross-covariance.</w:t>
      </w:r>
    </w:p>
    <w:p>
      <w:pPr>
        <w:pStyle w:val="BodyText"/>
      </w:pPr>
      <w:r>
        <w:rPr>
          <w:rFonts w:ascii="Times New Roman" w:hAnsi="Times New Roman" w:eastAsia="Times New Roman"/>
          <w:sz w:val="24"/>
        </w:rPr>
        <w:t>The package uses distinct internal activation rules for rSVD and IRLBA because their iteration and memory profiles differ. These rules are implementation controls, not user-facing statistical parameters.</w:t>
      </w:r>
    </w:p>
    <w:bookmarkEnd w:id="29"/>
    <w:bookmarkStart w:id="30" w:name="s2.8-compact-and-streamed-prediction"/>
    <w:p>
      <w:pPr>
        <w:pStyle w:val="Heading2"/>
      </w:pPr>
      <w:r>
        <w:rPr>
          <w:rFonts w:ascii="Times New Roman" w:hAnsi="Times New Roman" w:eastAsia="Times New Roman"/>
        </w:rPr>
        <w:t>S2.8 Compact and streamed prediction</w:t>
      </w:r>
    </w:p>
    <w:p>
      <w:pPr>
        <w:pStyle w:val="FirstParagraph"/>
      </w:pPr>
      <w:r>
        <w:t>For SIMPLS, a prediction at retained component count A is evaluated through compact latent factors rather than a dense coefficient matrix. Large test matrices are processed in row blocks and intermediate score matrices are released after use. This limits retained prediction state to the current block and low-rank factors; it does not introduce a separate SVD solver.</w:t>
      </w:r>
    </w:p>
    <w:bookmarkEnd w:id="30"/>
    <w:bookmarkEnd w:id="31"/>
    <w:bookmarkStart w:id="35" w:name="s3.-classification-heads"/>
    <w:p>
      <w:pPr>
        <w:pStyle w:val="Heading1"/>
        <w:spacing w:after="160" w:line="240" w:lineRule="auto"/>
      </w:pPr>
      <w:r>
        <w:rPr>
          <w:rFonts w:ascii="Times New Roman" w:hAnsi="Times New Roman" w:eastAsia="Times New Roman"/>
        </w:rPr>
        <w:t>S3. Classification heads</w:t>
      </w:r>
    </w:p>
    <w:bookmarkStart w:id="32" w:name="s3.1-argmax"/>
    <w:p>
      <w:pPr>
        <w:pStyle w:val="Heading2"/>
        <w:spacing w:before="80" w:after="80" w:line="240" w:lineRule="auto"/>
      </w:pPr>
      <w:r>
        <w:rPr>
          <w:rFonts w:ascii="Times New Roman" w:hAnsi="Times New Roman" w:eastAsia="Times New Roman"/>
        </w:rPr>
        <w:t>S3.1 Argmax</w:t>
      </w:r>
    </w:p>
    <w:p>
      <w:pPr>
        <w:pStyle w:val="FirstParagraph"/>
      </w:pPr>
      <w:r>
        <w:rPr>
          <w:rFonts w:ascii="Times New Roman" w:hAnsi="Times New Roman" w:eastAsia="Times New Roman"/>
          <w:sz w:val="24"/>
        </w:rPr>
        <w:t>Argmax applies PLS regression to the multivariate class response and selects the class with the largest predicted response score. It is the standard PLS-DA decoding rule and requires no separate classifier fit.</w:t>
      </w:r>
    </w:p>
    <w:bookmarkEnd w:id="32"/>
    <w:bookmarkStart w:id="33" w:name="s3.2-latent-space-lda"/>
    <w:p>
      <w:pPr>
        <w:pStyle w:val="Heading2"/>
      </w:pPr>
      <w:r>
        <w:rPr>
          <w:rFonts w:ascii="Times New Roman" w:hAnsi="Times New Roman" w:eastAsia="Times New Roman"/>
        </w:rPr>
        <w:t>S3.2 Latent-space LDA</w:t>
      </w:r>
    </w:p>
    <w:p>
      <w:pPr>
        <w:pStyle w:val="FirstParagraph"/>
      </w:pPr>
      <w:r>
        <w:rPr>
          <w:rFonts w:ascii="Times New Roman" w:hAnsi="Times New Roman" w:eastAsia="Times New Roman"/>
          <w:sz w:val="24"/>
        </w:rPr>
        <w:t>LDA is fitted to the PLS training scores. For class counts</w:t>
      </w:r>
      <w:r>
        <w:rPr>
          <w:rFonts w:ascii="Times New Roman" w:hAnsi="Times New Roman" w:eastAsia="Times New Roman"/>
          <w:sz w:val="24"/>
        </w:rPr>
        <w:t xml:space="preserve"> </w:t>
      </w:r>
      <m:oMath>
        <m:sSub>
          <m:e>
            <m:r>
              <m:t>n</m:t>
            </m:r>
          </m:e>
          <m:sub>
            <m:r>
              <m:t>c</m:t>
            </m:r>
          </m:sub>
        </m:sSub>
      </m:oMath>
      <w:r>
        <w:rPr>
          <w:rFonts w:ascii="Times New Roman" w:hAnsi="Times New Roman" w:eastAsia="Times New Roman"/>
          <w:sz w:val="24"/>
        </w:rPr>
        <w:t xml:space="preserve"> </w:t>
      </w:r>
      <w:r>
        <w:rPr>
          <w:rFonts w:ascii="Times New Roman" w:hAnsi="Times New Roman" w:eastAsia="Times New Roman"/>
          <w:sz w:val="24"/>
        </w:rPr>
        <w:t>and means</w:t>
      </w:r>
      <w:r>
        <w:rPr>
          <w:rFonts w:ascii="Times New Roman" w:hAnsi="Times New Roman" w:eastAsia="Times New Roman"/>
          <w:sz w:val="24"/>
        </w:rPr>
        <w:t xml:space="preserve"> </w:t>
      </w:r>
      <m:oMath>
        <m:sSub>
          <m:e>
            <m:r>
              <m:t>μ</m:t>
            </m:r>
          </m:e>
          <m:sub>
            <m:r>
              <m:t>c</m:t>
            </m:r>
          </m:sub>
        </m:sSub>
      </m:oMath>
      <w:r>
        <w:rPr>
          <w:rFonts w:ascii="Times New Roman" w:hAnsi="Times New Roman" w:eastAsia="Times New Roman"/>
          <w:sz w:val="24"/>
        </w:rPr>
        <w:t>, the pooled covariance is computed from moments:</w:t>
      </w:r>
    </w:p>
    <w:p>
      <w:pPr>
        <w:pStyle w:val="BodyText"/>
      </w:pPr>
      <m:oMathPara>
        <m:oMathParaPr>
          <m:jc m:val="center"/>
        </m:oMathParaPr>
        <m:oMath>
          <m:r>
            <m:t>Σ</m:t>
          </m:r>
          <m:r>
            <m:rPr>
              <m:sty m:val="p"/>
            </m:rPr>
            <m:t>=</m:t>
          </m:r>
          <m:f>
            <m:fPr>
              <m:type m:val="bar"/>
            </m:fPr>
            <m:num>
              <m:sSup>
                <m:e>
                  <m:r>
                    <m:t>T</m:t>
                  </m:r>
                </m:e>
                <m:sup>
                  <m:r>
                    <m:rPr>
                      <m:sty m:val="p"/>
                    </m:rPr>
                    <m:t>⊤</m:t>
                  </m:r>
                </m:sup>
              </m:sSup>
              <m:r>
                <m:t>T</m:t>
              </m:r>
              <m:r>
                <m:rPr>
                  <m:sty m:val="p"/>
                </m:rPr>
                <m:t>−</m:t>
              </m:r>
              <m:nary>
                <m:naryPr>
                  <m:chr m:val="∑"/>
                  <m:limLoc m:val="undOvr"/>
                  <m:subHide m:val="off"/>
                  <m:supHide m:val="on"/>
                </m:naryPr>
                <m:sub>
                  <m:r>
                    <m:t>c</m:t>
                  </m:r>
                </m:sub>
                <m:sup>
                  <m:r>
                    <m:t>​</m:t>
                  </m:r>
                </m:sup>
                <m:e>
                  <m:sSub>
                    <m:e>
                      <m:r>
                        <m:t>n</m:t>
                      </m:r>
                    </m:e>
                    <m:sub>
                      <m:r>
                        <m:t>c</m:t>
                      </m:r>
                    </m:sub>
                  </m:sSub>
                </m:e>
              </m:nary>
              <m:sSub>
                <m:e>
                  <m:r>
                    <m:t>μ</m:t>
                  </m:r>
                </m:e>
                <m:sub>
                  <m:r>
                    <m:t>c</m:t>
                  </m:r>
                </m:sub>
              </m:sSub>
              <m:sSubSup>
                <m:e>
                  <m:r>
                    <m:t>μ</m:t>
                  </m:r>
                </m:e>
                <m:sub>
                  <m:r>
                    <m:t>c</m:t>
                  </m:r>
                </m:sub>
                <m:sup>
                  <m:r>
                    <m:rPr>
                      <m:sty m:val="p"/>
                    </m:rPr>
                    <m:t>⊤</m:t>
                  </m:r>
                </m:sup>
              </m:sSubSup>
            </m:num>
            <m:den>
              <m:r>
                <m:rPr>
                  <m:sty m:val="p"/>
                </m:rPr>
                <m:t>max</m:t>
              </m:r>
              <m:d>
                <m:dPr>
                  <m:begChr m:val="("/>
                  <m:endChr m:val=")"/>
                  <m:sepChr m:val=""/>
                  <m:grow/>
                </m:dPr>
                <m:e>
                  <m:r>
                    <m:t>1</m:t>
                  </m:r>
                  <m:r>
                    <m:rPr>
                      <m:sty m:val="p"/>
                    </m:rPr>
                    <m:t>,</m:t>
                  </m:r>
                  <m:r>
                    <m:t>n</m:t>
                  </m:r>
                  <m:r>
                    <m:rPr>
                      <m:sty m:val="p"/>
                    </m:rPr>
                    <m:t>−</m:t>
                  </m:r>
                  <m:r>
                    <m:t>C</m:t>
                  </m:r>
                </m:e>
              </m:d>
            </m:den>
          </m:f>
          <m:r>
            <m:rPr>
              <m:sty m:val="p"/>
            </m:rPr>
            <m:t>.</m:t>
          </m:r>
        </m:oMath>
      </m:oMathPara>
    </w:p>
    <w:p>
      <w:pPr>
        <w:pStyle w:val="FirstParagraph"/>
      </w:pPr>
      <w:r>
        <w:rPr>
          <w:rFonts w:ascii="Times New Roman" w:hAnsi="Times New Roman" w:eastAsia="Times New Roman"/>
          <w:sz w:val="24"/>
        </w:rPr>
        <w:t>For each class, the system</w:t>
      </w:r>
      <w:r>
        <w:rPr>
          <w:rFonts w:ascii="Times New Roman" w:hAnsi="Times New Roman" w:eastAsia="Times New Roman"/>
          <w:sz w:val="24"/>
        </w:rPr>
        <w:t xml:space="preserve"> </w:t>
      </w:r>
      <m:oMath>
        <m:r>
          <m:t>Σ</m:t>
        </m:r>
        <m:sSub>
          <m:e>
            <m:r>
              <m:t>w</m:t>
            </m:r>
          </m:e>
          <m:sub>
            <m:r>
              <m:t>c</m:t>
            </m:r>
          </m:sub>
        </m:sSub>
        <m:r>
          <m:rPr>
            <m:sty m:val="p"/>
          </m:rPr>
          <m:t>=</m:t>
        </m:r>
        <m:sSub>
          <m:e>
            <m:r>
              <m:t>μ</m:t>
            </m:r>
          </m:e>
          <m:sub>
            <m:r>
              <m:t>c</m:t>
            </m:r>
          </m:sub>
        </m:sSub>
      </m:oMath>
      <w:r>
        <w:rPr>
          <w:rFonts w:ascii="Times New Roman" w:hAnsi="Times New Roman" w:eastAsia="Times New Roman"/>
          <w:sz w:val="24"/>
        </w:rPr>
        <w:t xml:space="preserve"> </w:t>
      </w:r>
      <w:r>
        <w:rPr>
          <w:rFonts w:ascii="Times New Roman" w:hAnsi="Times New Roman" w:eastAsia="Times New Roman"/>
          <w:sz w:val="24"/>
        </w:rPr>
        <w:t>is solved by Cholesky factorization and triangular solves. If factorization fails, the implementation sets</w:t>
      </w:r>
      <w:r>
        <w:rPr>
          <w:rFonts w:ascii="Times New Roman" w:hAnsi="Times New Roman" w:eastAsia="Times New Roman"/>
          <w:sz w:val="24"/>
        </w:rPr>
        <w:t xml:space="preserve"> </w:t>
      </w:r>
      <m:oMath>
        <m:r>
          <m:t>s</m:t>
        </m:r>
        <m:r>
          <m:rPr>
            <m:sty m:val="p"/>
          </m:rPr>
          <m:t>=</m:t>
        </m:r>
        <m:r>
          <m:rPr>
            <m:sty m:val="p"/>
          </m:rPr>
          <m:t>tr</m:t>
        </m:r>
        <m:d>
          <m:dPr>
            <m:begChr m:val="("/>
            <m:endChr m:val=")"/>
            <m:sepChr m:val=""/>
            <m:grow/>
          </m:dPr>
          <m:e>
            <m:r>
              <m:t>Σ</m:t>
            </m:r>
          </m:e>
        </m:d>
        <m:r>
          <m:rPr>
            <m:sty m:val="p"/>
          </m:rPr>
          <m:t>/</m:t>
        </m:r>
        <m:r>
          <m:t>d</m:t>
        </m:r>
      </m:oMath>
      <w:r>
        <w:rPr>
          <w:rFonts w:ascii="Times New Roman" w:hAnsi="Times New Roman" w:eastAsia="Times New Roman"/>
          <w:sz w:val="24"/>
        </w:rPr>
        <w:t xml:space="preserve"> </w:t>
      </w:r>
      <w:r>
        <w:rPr>
          <w:rFonts w:ascii="Times New Roman" w:hAnsi="Times New Roman" w:eastAsia="Times New Roman"/>
          <w:sz w:val="24"/>
        </w:rPr>
        <w:t>when finite and positive, or</w:t>
      </w:r>
      <w:r>
        <w:rPr>
          <w:rFonts w:ascii="Times New Roman" w:hAnsi="Times New Roman" w:eastAsia="Times New Roman"/>
          <w:sz w:val="24"/>
        </w:rPr>
        <w:t xml:space="preserve"> </w:t>
      </w:r>
      <m:oMath>
        <m:r>
          <m:t>s</m:t>
        </m:r>
        <m:r>
          <m:rPr>
            <m:sty m:val="p"/>
          </m:rPr>
          <m:t>=</m:t>
        </m:r>
        <m:r>
          <m:t>1</m:t>
        </m:r>
      </m:oMath>
      <w:r>
        <w:rPr>
          <w:rFonts w:ascii="Times New Roman" w:hAnsi="Times New Roman" w:eastAsia="Times New Roman"/>
          <w:sz w:val="24"/>
        </w:rPr>
        <w:t xml:space="preserve"> </w:t>
      </w:r>
      <w:r>
        <w:rPr>
          <w:rFonts w:ascii="Times New Roman" w:hAnsi="Times New Roman" w:eastAsia="Times New Roman"/>
          <w:sz w:val="24"/>
        </w:rPr>
        <w:t>otherwise, and tries</w:t>
      </w:r>
      <w:r>
        <w:rPr>
          <w:rFonts w:ascii="Times New Roman" w:hAnsi="Times New Roman" w:eastAsia="Times New Roman"/>
          <w:sz w:val="24"/>
        </w:rPr>
        <w:t xml:space="preserve"> </w:t>
      </w:r>
      <m:oMath>
        <m:r>
          <m:t>Σ</m:t>
        </m:r>
        <m:r>
          <m:rPr>
            <m:sty m:val="p"/>
          </m:rPr>
          <m:t>+</m:t>
        </m:r>
        <m:r>
          <m:t>ρ</m:t>
        </m:r>
        <m:r>
          <m:t>s</m:t>
        </m:r>
        <m:r>
          <m:t>I</m:t>
        </m:r>
      </m:oMath>
      <w:r>
        <w:rPr>
          <w:rFonts w:ascii="Times New Roman" w:hAnsi="Times New Roman" w:eastAsia="Times New Roman"/>
          <w:sz w:val="24"/>
        </w:rPr>
        <w:t xml:space="preserve"> </w:t>
      </w:r>
      <w:r>
        <w:rPr>
          <w:rFonts w:ascii="Times New Roman" w:hAnsi="Times New Roman" w:eastAsia="Times New Roman"/>
          <w:sz w:val="24"/>
        </w:rPr>
        <w:t>for</w:t>
      </w:r>
      <w:r>
        <w:rPr>
          <w:rFonts w:ascii="Times New Roman" w:hAnsi="Times New Roman" w:eastAsia="Times New Roman"/>
          <w:sz w:val="24"/>
        </w:rPr>
        <w:t xml:space="preserve"> </w:t>
      </w:r>
      <m:oMath>
        <m:r>
          <m:t>ρ</m:t>
        </m:r>
        <m:r>
          <m:rPr>
            <m:sty m:val="p"/>
          </m:rPr>
          <m:t>∈</m:t>
        </m:r>
        <m:r>
          <m:rPr>
            <m:sty m:val="p"/>
          </m:rPr>
          <m:t>{</m:t>
        </m:r>
        <m:sSup>
          <m:e>
            <m:r>
              <m:t>10</m:t>
            </m:r>
          </m:e>
          <m:sup>
            <m:r>
              <m:rPr>
                <m:sty m:val="p"/>
              </m:rPr>
              <m:t>−</m:t>
            </m:r>
            <m:r>
              <m:t>8</m:t>
            </m:r>
          </m:sup>
        </m:sSup>
        <m:r>
          <m:rPr>
            <m:sty m:val="p"/>
          </m:rPr>
          <m:t>,</m:t>
        </m:r>
        <m:sSup>
          <m:e>
            <m:r>
              <m:t>10</m:t>
            </m:r>
          </m:e>
          <m:sup>
            <m:r>
              <m:rPr>
                <m:sty m:val="p"/>
              </m:rPr>
              <m:t>−</m:t>
            </m:r>
            <m:r>
              <m:t>6</m:t>
            </m:r>
          </m:sup>
        </m:sSup>
        <m:r>
          <m:rPr>
            <m:sty m:val="p"/>
          </m:rPr>
          <m:t>,</m:t>
        </m:r>
        <m:sSup>
          <m:e>
            <m:r>
              <m:t>10</m:t>
            </m:r>
          </m:e>
          <m:sup>
            <m:r>
              <m:rPr>
                <m:sty m:val="p"/>
              </m:rPr>
              <m:t>−</m:t>
            </m:r>
            <m:r>
              <m:t>5</m:t>
            </m:r>
          </m:sup>
        </m:sSup>
        <m:r>
          <m:rPr>
            <m:sty m:val="p"/>
          </m:rPr>
          <m:t>,</m:t>
        </m:r>
        <m:sSup>
          <m:e>
            <m:r>
              <m:t>10</m:t>
            </m:r>
          </m:e>
          <m:sup>
            <m:r>
              <m:rPr>
                <m:sty m:val="p"/>
              </m:rPr>
              <m:t>−</m:t>
            </m:r>
            <m:r>
              <m:t>4</m:t>
            </m:r>
          </m:sup>
        </m:sSup>
        <m:r>
          <m:rPr>
            <m:sty m:val="p"/>
          </m:rPr>
          <m:t>,</m:t>
        </m:r>
        <m:sSup>
          <m:e>
            <m:r>
              <m:t>10</m:t>
            </m:r>
          </m:e>
          <m:sup>
            <m:r>
              <m:rPr>
                <m:sty m:val="p"/>
              </m:rPr>
              <m:t>−</m:t>
            </m:r>
            <m:r>
              <m:t>3</m:t>
            </m:r>
          </m:sup>
        </m:sSup>
        <m:r>
          <m:rPr>
            <m:sty m:val="p"/>
          </m:rPr>
          <m:t>,</m:t>
        </m:r>
        <m:sSup>
          <m:e>
            <m:r>
              <m:t>10</m:t>
            </m:r>
          </m:e>
          <m:sup>
            <m:r>
              <m:rPr>
                <m:sty m:val="p"/>
              </m:rPr>
              <m:t>−</m:t>
            </m:r>
            <m:r>
              <m:t>2</m:t>
            </m:r>
          </m:sup>
        </m:sSup>
        <m:r>
          <m:rPr>
            <m:sty m:val="p"/>
          </m:rPr>
          <m:t>}</m:t>
        </m:r>
      </m:oMath>
      <w:r>
        <w:rPr>
          <w:rFonts w:ascii="Times New Roman" w:hAnsi="Times New Roman" w:eastAsia="Times New Roman"/>
          <w:sz w:val="24"/>
        </w:rPr>
        <w:t xml:space="preserve"> </w:t>
      </w:r>
      <w:r>
        <w:rPr>
          <w:rFonts w:ascii="Times New Roman" w:hAnsi="Times New Roman" w:eastAsia="Times New Roman"/>
          <w:sz w:val="24"/>
        </w:rPr>
        <w:t>in this fixed order. The sequence is a numerical fallback, not a tuned hyperparameter. The discriminant is</w:t>
      </w:r>
    </w:p>
    <w:p>
      <w:pPr>
        <w:pStyle w:val="BodyText"/>
      </w:pPr>
      <m:oMathPara>
        <m:oMathParaPr>
          <m:jc m:val="center"/>
        </m:oMathParaPr>
        <m:oMath>
          <m:sSub>
            <m:e>
              <m:r>
                <m:t>δ</m:t>
              </m:r>
            </m:e>
            <m:sub>
              <m:r>
                <m:t>c</m:t>
              </m:r>
            </m:sub>
          </m:sSub>
          <m:d>
            <m:dPr>
              <m:begChr m:val="("/>
              <m:endChr m:val=")"/>
              <m:sepChr m:val=""/>
              <m:grow/>
            </m:dPr>
            <m:e>
              <m:r>
                <m:t>t</m:t>
              </m:r>
            </m:e>
          </m:d>
          <m:r>
            <m:rPr>
              <m:sty m:val="p"/>
            </m:rPr>
            <m:t>=</m:t>
          </m:r>
          <m:sSup>
            <m:e>
              <m:r>
                <m:t>t</m:t>
              </m:r>
            </m:e>
            <m:sup>
              <m:r>
                <m:rPr>
                  <m:sty m:val="p"/>
                </m:rPr>
                <m:t>⊤</m:t>
              </m:r>
            </m:sup>
          </m:sSup>
          <m:sSub>
            <m:e>
              <m:r>
                <m:t>w</m:t>
              </m:r>
            </m:e>
            <m:sub>
              <m:r>
                <m:t>c</m:t>
              </m:r>
            </m:sub>
          </m:sSub>
          <m:r>
            <m:rPr>
              <m:sty m:val="p"/>
            </m:rPr>
            <m:t>−</m:t>
          </m:r>
          <m:f>
            <m:fPr>
              <m:type m:val="bar"/>
            </m:fPr>
            <m:num>
              <m:r>
                <m:t>1</m:t>
              </m:r>
            </m:num>
            <m:den>
              <m:r>
                <m:t>2</m:t>
              </m:r>
            </m:den>
          </m:f>
          <m:sSubSup>
            <m:e>
              <m:r>
                <m:t>μ</m:t>
              </m:r>
            </m:e>
            <m:sub>
              <m:r>
                <m:t>c</m:t>
              </m:r>
            </m:sub>
            <m:sup>
              <m:r>
                <m:rPr>
                  <m:sty m:val="p"/>
                </m:rPr>
                <m:t>⊤</m:t>
              </m:r>
            </m:sup>
          </m:sSubSup>
          <m:sSub>
            <m:e>
              <m:r>
                <m:t>w</m:t>
              </m:r>
            </m:e>
            <m:sub>
              <m:r>
                <m:t>c</m:t>
              </m:r>
            </m:sub>
          </m:sSub>
          <m:r>
            <m:rPr>
              <m:sty m:val="p"/>
            </m:rPr>
            <m:t>+</m:t>
          </m:r>
          <m:r>
            <m:rPr>
              <m:sty m:val="p"/>
            </m:rPr>
            <m:t>log</m:t>
          </m:r>
          <m:d>
            <m:dPr>
              <m:begChr m:val="("/>
              <m:endChr m:val=")"/>
              <m:sepChr m:val=""/>
              <m:grow/>
            </m:dPr>
            <m:e>
              <m:sSub>
                <m:e>
                  <m:r>
                    <m:t>n</m:t>
                  </m:r>
                </m:e>
                <m:sub>
                  <m:r>
                    <m:t>c</m:t>
                  </m:r>
                </m:sub>
              </m:sSub>
              <m:r>
                <m:rPr>
                  <m:sty m:val="p"/>
                </m:rPr>
                <m:t>/</m:t>
              </m:r>
              <m:r>
                <m:t>n</m:t>
              </m:r>
            </m:e>
          </m:d>
          <m:r>
            <m:rPr>
              <m:sty m:val="p"/>
            </m:rPr>
            <m:t>.</m:t>
          </m:r>
        </m:oMath>
      </m:oMathPara>
    </w:p>
    <w:p>
      <w:pPr>
        <w:pStyle w:val="FirstParagraph"/>
      </w:pPr>
      <w:r>
        <w:t>The float32 CPU, CUDA, and Metal routes keep their supported PLS arithmetic in the input precision. CUDA LDA uses single-precision score, covariance, factorization, and prediction buffers; Metal presently uses accelerated score projection with host-side LDA factorization. A controlled CPU/CUDA/Metal screen verified identical decoded labels for all four PLS families on a fixed classification task and relative prediction differences no larger than 2.4×10−6 on a fixed univariate-regression task.</w:t>
      </w:r>
    </w:p>
    <w:bookmarkEnd w:id="33"/>
    <w:bookmarkStart w:id="34" w:name="s3.3-candidate-knn-proof-of-concept"/>
    <w:bookmarkEnd w:id="34"/>
    <w:bookmarkEnd w:id="35"/>
    <w:bookmarkStart w:id="36" w:name="s4.-cross-validation-and-metrics"/>
    <w:p>
      <w:pPr>
        <w:pStyle w:val="Heading1"/>
      </w:pPr>
      <w:r>
        <w:rPr>
          <w:rFonts w:ascii="Times New Roman" w:hAnsi="Times New Roman" w:eastAsia="Times New Roman"/>
        </w:rPr>
        <w:t>S4. Cross-validation and metrics</w:t>
      </w:r>
    </w:p>
    <w:p>
      <w:pPr>
        <w:pStyle w:val="FirstParagraph"/>
      </w:pPr>
      <w:r>
        <w:t>pls.single.cv() evaluates eligible combinations of component count and prediction settings within one K-fold cross-validation layer. pls.double.cv() adds an outer layer for unbiased performance estimation. Selection can use accuracy, balanced accuracy, R², Q², or RMSD. Balanced accuracy is the unweighted mean of class-specific recalls and is intended for unequal class frequencies. When a nested permutation test is requested, the sampled null distribution uses the same selection endpoint and the appropriate upper or lower tail. The constrain input assigns related samples, such as repeated measurements from one patient, to the same fold; leave-one-group-out behaviour therefore never separates related observations.</w:t>
      </w:r>
    </w:p>
    <w:p>
      <w:pPr>
        <w:pStyle w:val="BodyText"/>
      </w:pPr>
      <w:r>
        <w:t>Two uses of component grids are distinguished. Benchmark trajectory figures evaluate prespecified component counts on a fixed test set and are descriptive. Training-only model selection reports the best value within the evaluated grid. Endpoint selections are treated as censored with respect to the unobserved continuation of the prediction curve. Values at the lower or upper tested boundary, and PLS-SVD values constrained by response rank, are labelled explicitly and are never called optima. pls.single.cv() supports training-set selection, whereas pls.double.cv() provides an outer held-out layer when an unbiased estimate after tuning is required.</w:t>
      </w:r>
    </w:p>
    <w:p>
      <w:pPr>
        <w:pStyle w:val="BodyText"/>
      </w:pPr>
      <w:r>
        <w:rPr>
          <w:rFonts w:ascii="Times New Roman" w:hAnsi="Times New Roman" w:eastAsia="Times New Roman"/>
          <w:sz w:val="24"/>
        </w:rPr>
        <w:t>For observed labels</w:t>
      </w:r>
      <w:r>
        <w:rPr>
          <w:rFonts w:ascii="Times New Roman" w:hAnsi="Times New Roman" w:eastAsia="Times New Roman"/>
          <w:sz w:val="24"/>
        </w:rPr>
        <w:t xml:space="preserve"> </w:t>
      </w:r>
      <m:oMath>
        <m:sSub>
          <m:e>
            <m:r>
              <m:t>y</m:t>
            </m:r>
          </m:e>
          <m:sub>
            <m:r>
              <m:t>i</m:t>
            </m:r>
          </m:sub>
        </m:sSub>
      </m:oMath>
      <w:r>
        <w:rPr>
          <w:rFonts w:ascii="Times New Roman" w:hAnsi="Times New Roman" w:eastAsia="Times New Roman"/>
          <w:sz w:val="24"/>
        </w:rPr>
        <w:t xml:space="preserve"> </w:t>
      </w:r>
      <w:r>
        <w:rPr>
          <w:rFonts w:ascii="Times New Roman" w:hAnsi="Times New Roman" w:eastAsia="Times New Roman"/>
          <w:sz w:val="24"/>
        </w:rPr>
        <w:t>and decoded predictions</w:t>
      </w:r>
      <w:r>
        <w:rPr>
          <w:rFonts w:ascii="Times New Roman" w:hAnsi="Times New Roman" w:eastAsia="Times New Roman"/>
          <w:sz w:val="24"/>
        </w:rPr>
        <w:t xml:space="preserve"> </w:t>
      </w:r>
      <m:oMath>
        <m:sSub>
          <m:e>
            <m:acc>
              <m:accPr>
                <m:chr m:val="̂"/>
              </m:accPr>
              <m:e>
                <m:r>
                  <m:t>y</m:t>
                </m:r>
              </m:e>
            </m:acc>
          </m:e>
          <m:sub>
            <m:r>
              <m:t>i</m:t>
            </m:r>
          </m:sub>
        </m:sSub>
      </m:oMath>
      <w:r>
        <w:rPr>
          <w:rFonts w:ascii="Times New Roman" w:hAnsi="Times New Roman" w:eastAsia="Times New Roman"/>
          <w:sz w:val="24"/>
        </w:rPr>
        <w:t>, accuracy is</w:t>
      </w:r>
      <w:r>
        <w:rPr>
          <w:rFonts w:ascii="Times New Roman" w:hAnsi="Times New Roman" w:eastAsia="Times New Roman"/>
          <w:sz w:val="24"/>
        </w:rPr>
        <w:t xml:space="preserve"> </w:t>
      </w:r>
      <m:oMath>
        <m:sSup>
          <m:e>
            <m:r>
              <m:t>n</m:t>
            </m:r>
          </m:e>
          <m:sup>
            <m:r>
              <m:rPr>
                <m:sty m:val="p"/>
              </m:rPr>
              <m:t>−</m:t>
            </m:r>
            <m:r>
              <m:t>1</m:t>
            </m:r>
          </m:sup>
        </m:sSup>
        <m:nary>
          <m:naryPr>
            <m:chr m:val="∑"/>
            <m:limLoc m:val="undOvr"/>
            <m:subHide m:val="off"/>
            <m:supHide m:val="on"/>
          </m:naryPr>
          <m:sub>
            <m:r>
              <m:t>i</m:t>
            </m:r>
          </m:sub>
          <m:sup>
            <m:r>
              <m:t>​</m:t>
            </m:r>
          </m:sup>
          <m:e>
            <m:r>
              <m:t>I</m:t>
            </m:r>
          </m:e>
        </m:nary>
        <m:d>
          <m:dPr>
            <m:begChr m:val="("/>
            <m:endChr m:val=")"/>
            <m:sepChr m:val=""/>
            <m:grow/>
          </m:dPr>
          <m:e>
            <m:sSub>
              <m:e>
                <m:r>
                  <m:t>y</m:t>
                </m:r>
              </m:e>
              <m:sub>
                <m:r>
                  <m:t>i</m:t>
                </m:r>
              </m:sub>
            </m:sSub>
            <m:r>
              <m:rPr>
                <m:sty m:val="p"/>
              </m:rPr>
              <m:t>=</m:t>
            </m:r>
            <m:sSub>
              <m:e>
                <m:acc>
                  <m:accPr>
                    <m:chr m:val="̂"/>
                  </m:accPr>
                  <m:e>
                    <m:r>
                      <m:t>y</m:t>
                    </m:r>
                  </m:e>
                </m:acc>
              </m:e>
              <m:sub>
                <m:r>
                  <m:t>i</m:t>
                </m:r>
              </m:sub>
            </m:sSub>
          </m:e>
        </m:d>
      </m:oMath>
      <w:r>
        <w:rPr>
          <w:rFonts w:ascii="Times New Roman" w:hAnsi="Times New Roman" w:eastAsia="Times New Roman"/>
          <w:sz w:val="24"/>
        </w:rPr>
        <w:t>. Top-</w:t>
      </w:r>
      <m:oMath>
        <m:r>
          <m:t>k</m:t>
        </m:r>
      </m:oMath>
      <w:r>
        <w:rPr>
          <w:rFonts w:ascii="Times New Roman" w:hAnsi="Times New Roman" w:eastAsia="Times New Roman"/>
          <w:sz w:val="24"/>
        </w:rPr>
        <w:t xml:space="preserve"> </w:t>
      </w:r>
      <w:r>
        <w:rPr>
          <w:rFonts w:ascii="Times New Roman" w:hAnsi="Times New Roman" w:eastAsia="Times New Roman"/>
          <w:sz w:val="24"/>
        </w:rPr>
        <w:t>accuracy replaces this indicator with membership of</w:t>
      </w:r>
      <w:r>
        <w:rPr>
          <w:rFonts w:ascii="Times New Roman" w:hAnsi="Times New Roman" w:eastAsia="Times New Roman"/>
          <w:sz w:val="24"/>
        </w:rPr>
        <w:t xml:space="preserve"> </w:t>
      </w:r>
      <m:oMath>
        <m:sSub>
          <m:e>
            <m:r>
              <m:t>y</m:t>
            </m:r>
          </m:e>
          <m:sub>
            <m:r>
              <m:t>i</m:t>
            </m:r>
          </m:sub>
        </m:sSub>
      </m:oMath>
      <w:r>
        <w:rPr>
          <w:rFonts w:ascii="Times New Roman" w:hAnsi="Times New Roman" w:eastAsia="Times New Roman"/>
          <w:sz w:val="24"/>
        </w:rPr>
        <w:t xml:space="preserve"> </w:t>
      </w:r>
      <w:r>
        <w:rPr>
          <w:rFonts w:ascii="Times New Roman" w:hAnsi="Times New Roman" w:eastAsia="Times New Roman"/>
          <w:sz w:val="24"/>
        </w:rPr>
        <w:t>among the</w:t>
      </w:r>
      <w:r>
        <w:rPr>
          <w:rFonts w:ascii="Times New Roman" w:hAnsi="Times New Roman" w:eastAsia="Times New Roman"/>
          <w:sz w:val="24"/>
        </w:rPr>
        <w:t xml:space="preserve"> </w:t>
      </w:r>
      <m:oMath>
        <m:r>
          <m:t>k</m:t>
        </m:r>
      </m:oMath>
      <w:r>
        <w:rPr>
          <w:rFonts w:ascii="Times New Roman" w:hAnsi="Times New Roman" w:eastAsia="Times New Roman"/>
          <w:sz w:val="24"/>
        </w:rPr>
        <w:t xml:space="preserve"> </w:t>
      </w:r>
      <w:r>
        <w:rPr>
          <w:rFonts w:ascii="Times New Roman" w:hAnsi="Times New Roman" w:eastAsia="Times New Roman"/>
          <w:sz w:val="24"/>
        </w:rPr>
        <w:t>highest class scores. For a numeric response, training fit is summarized by</w:t>
      </w:r>
    </w:p>
    <w:p>
      <w:pPr>
        <w:pStyle w:val="BodyText"/>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n"/>
                </m:naryPr>
                <m:sub>
                  <m:r>
                    <m:t>i</m:t>
                  </m:r>
                  <m:r>
                    <m:rPr>
                      <m:sty m:val="p"/>
                    </m:rPr>
                    <m:t>,</m:t>
                  </m:r>
                  <m:r>
                    <m:t>j</m:t>
                  </m:r>
                </m:sub>
                <m:sup>
                  <m:r>
                    <m:t>​</m:t>
                  </m:r>
                </m:sup>
                <m:e>
                  <m:sSup>
                    <m:e>
                      <m:d>
                        <m:dPr>
                          <m:begChr m:val="("/>
                          <m:endChr m:val=")"/>
                          <m:sepChr m:val=""/>
                          <m:grow/>
                        </m:dPr>
                        <m:e>
                          <m:sSub>
                            <m:e>
                              <m:r>
                                <m:t>y</m:t>
                              </m:r>
                            </m:e>
                            <m:sub>
                              <m:r>
                                <m:t>i</m:t>
                              </m:r>
                              <m:r>
                                <m:t>j</m:t>
                              </m:r>
                            </m:sub>
                          </m:sSub>
                          <m:r>
                            <m:rPr>
                              <m:sty m:val="p"/>
                            </m:rPr>
                            <m:t>−</m:t>
                          </m:r>
                          <m:sSub>
                            <m:e>
                              <m:acc>
                                <m:accPr>
                                  <m:chr m:val="̂"/>
                                </m:accPr>
                                <m:e>
                                  <m:r>
                                    <m:t>y</m:t>
                                  </m:r>
                                </m:e>
                              </m:acc>
                            </m:e>
                            <m:sub>
                              <m:r>
                                <m:t>i</m:t>
                              </m:r>
                              <m:r>
                                <m:t>j</m:t>
                              </m:r>
                            </m:sub>
                          </m:sSub>
                        </m:e>
                      </m:d>
                    </m:e>
                    <m:sup>
                      <m:r>
                        <m:t>2</m:t>
                      </m:r>
                    </m:sup>
                  </m:sSup>
                </m:e>
              </m:nary>
            </m:num>
            <m:den>
              <m:nary>
                <m:naryPr>
                  <m:chr m:val="∑"/>
                  <m:limLoc m:val="undOvr"/>
                  <m:subHide m:val="off"/>
                  <m:supHide m:val="on"/>
                </m:naryPr>
                <m:sub>
                  <m:r>
                    <m:t>i</m:t>
                  </m:r>
                  <m:r>
                    <m:rPr>
                      <m:sty m:val="p"/>
                    </m:rPr>
                    <m:t>,</m:t>
                  </m:r>
                  <m:r>
                    <m:t>j</m:t>
                  </m:r>
                </m:sub>
                <m:sup>
                  <m:r>
                    <m:t>​</m:t>
                  </m:r>
                </m:sup>
                <m:e>
                  <m:sSup>
                    <m:e>
                      <m:d>
                        <m:dPr>
                          <m:begChr m:val="("/>
                          <m:endChr m:val=")"/>
                          <m:sepChr m:val=""/>
                          <m:grow/>
                        </m:dPr>
                        <m:e>
                          <m:sSub>
                            <m:e>
                              <m:r>
                                <m:t>y</m:t>
                              </m:r>
                            </m:e>
                            <m:sub>
                              <m:r>
                                <m:t>i</m:t>
                              </m:r>
                              <m:r>
                                <m:t>j</m:t>
                              </m:r>
                            </m:sub>
                          </m:sSub>
                          <m:r>
                            <m:rPr>
                              <m:sty m:val="p"/>
                            </m:rPr>
                            <m:t>−</m:t>
                          </m:r>
                          <m:sSub>
                            <m:e>
                              <m:acc>
                                <m:accPr>
                                  <m:chr m:val="‾"/>
                                </m:accPr>
                                <m:e>
                                  <m:r>
                                    <m:t>y</m:t>
                                  </m:r>
                                </m:e>
                              </m:acc>
                            </m:e>
                            <m:sub>
                              <m:r>
                                <m:t>j</m:t>
                              </m:r>
                            </m:sub>
                          </m:sSub>
                        </m:e>
                      </m:d>
                    </m:e>
                    <m:sup>
                      <m:r>
                        <m:t>2</m:t>
                      </m:r>
                    </m:sup>
                  </m:sSup>
                </m:e>
              </m:nary>
            </m:den>
          </m:f>
          <m:r>
            <m:rPr>
              <m:sty m:val="p"/>
            </m:rPr>
            <m:t>,</m:t>
          </m:r>
        </m:oMath>
      </m:oMathPara>
    </w:p>
    <w:p>
      <w:pPr>
        <w:pStyle w:val="FirstParagraph"/>
      </w:pPr>
      <w:r>
        <w:rPr>
          <w:rFonts w:ascii="Times New Roman" w:hAnsi="Times New Roman" w:eastAsia="Times New Roman"/>
          <w:sz w:val="24"/>
        </w:rPr>
        <w:t>whereas cross-validated prediction is summarized by</w:t>
      </w:r>
    </w:p>
    <w:p>
      <w:pPr>
        <w:pStyle w:val="BodyText"/>
      </w:pPr>
      <m:oMathPara>
        <m:oMathParaPr>
          <m:jc m:val="center"/>
        </m:oMathParaPr>
        <m:oMath>
          <m:sSup>
            <m:e>
              <m:r>
                <m:t>Q</m:t>
              </m:r>
            </m:e>
            <m:sup>
              <m:r>
                <m:t>2</m:t>
              </m:r>
            </m:sup>
          </m:sSup>
          <m:r>
            <m:rPr>
              <m:sty m:val="p"/>
            </m:rPr>
            <m:t>=</m:t>
          </m:r>
          <m:r>
            <m:t>1</m:t>
          </m:r>
          <m:r>
            <m:rPr>
              <m:sty m:val="p"/>
            </m:rPr>
            <m:t>−</m:t>
          </m:r>
          <m:f>
            <m:fPr>
              <m:type m:val="bar"/>
            </m:fPr>
            <m:num>
              <m:nary>
                <m:naryPr>
                  <m:chr m:val="∑"/>
                  <m:limLoc m:val="undOvr"/>
                  <m:subHide m:val="off"/>
                  <m:supHide m:val="on"/>
                </m:naryPr>
                <m:sub>
                  <m:r>
                    <m:t>i</m:t>
                  </m:r>
                  <m:r>
                    <m:rPr>
                      <m:sty m:val="p"/>
                    </m:rPr>
                    <m:t>,</m:t>
                  </m:r>
                  <m:r>
                    <m:t>j</m:t>
                  </m:r>
                </m:sub>
                <m:sup>
                  <m:r>
                    <m:t>​</m:t>
                  </m:r>
                </m:sup>
                <m:e>
                  <m:sSup>
                    <m:e>
                      <m:d>
                        <m:dPr>
                          <m:begChr m:val="("/>
                          <m:endChr m:val=")"/>
                          <m:sepChr m:val=""/>
                          <m:grow/>
                        </m:dPr>
                        <m:e>
                          <m:sSub>
                            <m:e>
                              <m:r>
                                <m:t>y</m:t>
                              </m:r>
                            </m:e>
                            <m:sub>
                              <m:r>
                                <m:t>i</m:t>
                              </m:r>
                              <m:r>
                                <m:t>j</m:t>
                              </m:r>
                            </m:sub>
                          </m:sSub>
                          <m:r>
                            <m:rPr>
                              <m:sty m:val="p"/>
                            </m:rPr>
                            <m:t>−</m:t>
                          </m:r>
                          <m:sSubSup>
                            <m:e>
                              <m:acc>
                                <m:accPr>
                                  <m:chr m:val="̂"/>
                                </m:accPr>
                                <m:e>
                                  <m:r>
                                    <m:t>y</m:t>
                                  </m:r>
                                </m:e>
                              </m:acc>
                            </m:e>
                            <m:sub>
                              <m:r>
                                <m:t>i</m:t>
                              </m:r>
                              <m:r>
                                <m:t>j</m:t>
                              </m:r>
                            </m:sub>
                            <m:sup>
                              <m:d>
                                <m:dPr>
                                  <m:begChr m:val="("/>
                                  <m:endChr m:val=")"/>
                                  <m:sepChr m:val=""/>
                                  <m:grow/>
                                </m:dPr>
                                <m:e>
                                  <m:r>
                                    <m:rPr>
                                      <m:sty m:val="p"/>
                                    </m:rPr>
                                    <m:t>−</m:t>
                                  </m:r>
                                  <m:r>
                                    <m:t>f</m:t>
                                  </m:r>
                                  <m:d>
                                    <m:dPr>
                                      <m:begChr m:val="("/>
                                      <m:endChr m:val=")"/>
                                      <m:sepChr m:val=""/>
                                      <m:grow/>
                                    </m:dPr>
                                    <m:e>
                                      <m:r>
                                        <m:t>i</m:t>
                                      </m:r>
                                    </m:e>
                                  </m:d>
                                </m:e>
                              </m:d>
                            </m:sup>
                          </m:sSubSup>
                        </m:e>
                      </m:d>
                    </m:e>
                    <m:sup>
                      <m:r>
                        <m:t>2</m:t>
                      </m:r>
                    </m:sup>
                  </m:sSup>
                </m:e>
              </m:nary>
            </m:num>
            <m:den>
              <m:nary>
                <m:naryPr>
                  <m:chr m:val="∑"/>
                  <m:limLoc m:val="undOvr"/>
                  <m:subHide m:val="off"/>
                  <m:supHide m:val="on"/>
                </m:naryPr>
                <m:sub>
                  <m:r>
                    <m:t>i</m:t>
                  </m:r>
                  <m:r>
                    <m:rPr>
                      <m:sty m:val="p"/>
                    </m:rPr>
                    <m:t>,</m:t>
                  </m:r>
                  <m:r>
                    <m:t>j</m:t>
                  </m:r>
                </m:sub>
                <m:sup>
                  <m:r>
                    <m:t>​</m:t>
                  </m:r>
                </m:sup>
                <m:e>
                  <m:sSup>
                    <m:e>
                      <m:d>
                        <m:dPr>
                          <m:begChr m:val="("/>
                          <m:endChr m:val=")"/>
                          <m:sepChr m:val=""/>
                          <m:grow/>
                        </m:dPr>
                        <m:e>
                          <m:sSub>
                            <m:e>
                              <m:r>
                                <m:t>y</m:t>
                              </m:r>
                            </m:e>
                            <m:sub>
                              <m:r>
                                <m:t>i</m:t>
                              </m:r>
                              <m:r>
                                <m:t>j</m:t>
                              </m:r>
                            </m:sub>
                          </m:sSub>
                          <m:r>
                            <m:rPr>
                              <m:sty m:val="p"/>
                            </m:rPr>
                            <m:t>−</m:t>
                          </m:r>
                          <m:sSubSup>
                            <m:e>
                              <m:acc>
                                <m:accPr>
                                  <m:chr m:val="‾"/>
                                </m:accPr>
                                <m:e>
                                  <m:r>
                                    <m:t>y</m:t>
                                  </m:r>
                                </m:e>
                              </m:acc>
                            </m:e>
                            <m:sub>
                              <m:r>
                                <m:t>j</m:t>
                              </m:r>
                            </m:sub>
                            <m:sup>
                              <m:d>
                                <m:dPr>
                                  <m:begChr m:val="("/>
                                  <m:endChr m:val=")"/>
                                  <m:sepChr m:val=""/>
                                  <m:grow/>
                                </m:dPr>
                                <m:e>
                                  <m:r>
                                    <m:rPr>
                                      <m:sty m:val="p"/>
                                    </m:rPr>
                                    <m:t>−</m:t>
                                  </m:r>
                                  <m:r>
                                    <m:t>f</m:t>
                                  </m:r>
                                  <m:d>
                                    <m:dPr>
                                      <m:begChr m:val="("/>
                                      <m:endChr m:val=")"/>
                                      <m:sepChr m:val=""/>
                                      <m:grow/>
                                    </m:dPr>
                                    <m:e>
                                      <m:r>
                                        <m:t>i</m:t>
                                      </m:r>
                                    </m:e>
                                  </m:d>
                                </m:e>
                              </m:d>
                            </m:sup>
                          </m:sSubSup>
                        </m:e>
                      </m:d>
                    </m:e>
                    <m:sup>
                      <m:r>
                        <m:t>2</m:t>
                      </m:r>
                    </m:sup>
                  </m:sSup>
                </m:e>
              </m:nary>
            </m:den>
          </m:f>
          <m:r>
            <m:rPr>
              <m:sty m:val="p"/>
            </m:rPr>
            <m:t>.</m:t>
          </m:r>
        </m:oMath>
      </m:oMathPara>
    </w:p>
    <w:p>
      <w:pPr>
        <w:pStyle w:val="FirstParagraph"/>
      </w:pPr>
      <w:r>
        <w:rPr>
          <w:rFonts w:ascii="Times New Roman" w:hAnsi="Times New Roman" w:eastAsia="Times New Roman"/>
          <w:sz w:val="24"/>
        </w:rPr>
        <w:t>Here</w:t>
      </w:r>
      <w:r>
        <w:rPr>
          <w:rFonts w:ascii="Times New Roman" w:hAnsi="Times New Roman" w:eastAsia="Times New Roman"/>
          <w:sz w:val="24"/>
        </w:rPr>
        <w:t xml:space="preserve"> </w:t>
      </w:r>
      <m:oMath>
        <m:r>
          <m:t>f</m:t>
        </m:r>
        <m:d>
          <m:dPr>
            <m:begChr m:val="("/>
            <m:endChr m:val=")"/>
            <m:sepChr m:val=""/>
            <m:grow/>
          </m:dPr>
          <m:e>
            <m:r>
              <m:t>i</m:t>
            </m:r>
          </m:e>
        </m:d>
      </m:oMath>
      <w:r>
        <w:rPr>
          <w:rFonts w:ascii="Times New Roman" w:hAnsi="Times New Roman" w:eastAsia="Times New Roman"/>
          <w:sz w:val="24"/>
        </w:rPr>
        <w:t xml:space="preserve"> </w:t>
      </w:r>
      <w:r>
        <w:rPr>
          <w:rFonts w:ascii="Times New Roman" w:hAnsi="Times New Roman" w:eastAsia="Times New Roman"/>
          <w:sz w:val="24"/>
        </w:rPr>
        <w:t>is the held-out fold and each mean is estimated without the held-out observation. Multivariate RMSD is</w:t>
      </w:r>
      <w:r>
        <w:rPr>
          <w:rFonts w:ascii="Times New Roman" w:hAnsi="Times New Roman" w:eastAsia="Times New Roman"/>
          <w:sz w:val="24"/>
        </w:rPr>
        <w:t xml:space="preserve"> </w:t>
      </w:r>
      <m:oMath>
        <m:r>
          <m:rPr>
            <m:sty m:val="p"/>
          </m:rPr>
          <m:t>{</m:t>
        </m:r>
        <m:sSup>
          <m:e>
            <m:d>
              <m:dPr>
                <m:begChr m:val="("/>
                <m:endChr m:val=")"/>
                <m:sepChr m:val=""/>
                <m:grow/>
              </m:dPr>
              <m:e>
                <m:r>
                  <m:t>n</m:t>
                </m:r>
                <m:r>
                  <m:t>q</m:t>
                </m:r>
              </m:e>
            </m:d>
          </m:e>
          <m:sup>
            <m:r>
              <m:rPr>
                <m:sty m:val="p"/>
              </m:rPr>
              <m:t>−</m:t>
            </m:r>
            <m:r>
              <m:t>1</m:t>
            </m:r>
          </m:sup>
        </m:sSup>
        <m:nary>
          <m:naryPr>
            <m:chr m:val="∑"/>
            <m:limLoc m:val="undOvr"/>
            <m:subHide m:val="off"/>
            <m:supHide m:val="on"/>
          </m:naryPr>
          <m:sub>
            <m:r>
              <m:t>i</m:t>
            </m:r>
            <m:r>
              <m:rPr>
                <m:sty m:val="p"/>
              </m:rPr>
              <m:t>,</m:t>
            </m:r>
            <m:r>
              <m:t>j</m:t>
            </m:r>
          </m:sub>
          <m:sup>
            <m:r>
              <m:t>​</m:t>
            </m:r>
          </m:sup>
          <m:e>
            <m:sSup>
              <m:e>
                <m:d>
                  <m:dPr>
                    <m:begChr m:val="("/>
                    <m:endChr m:val=")"/>
                    <m:sepChr m:val=""/>
                    <m:grow/>
                  </m:dPr>
                  <m:e>
                    <m:sSub>
                      <m:e>
                        <m:r>
                          <m:t>y</m:t>
                        </m:r>
                      </m:e>
                      <m:sub>
                        <m:r>
                          <m:t>i</m:t>
                        </m:r>
                        <m:r>
                          <m:t>j</m:t>
                        </m:r>
                      </m:sub>
                    </m:sSub>
                    <m:r>
                      <m:rPr>
                        <m:sty m:val="p"/>
                      </m:rPr>
                      <m:t>−</m:t>
                    </m:r>
                    <m:sSub>
                      <m:e>
                        <m:acc>
                          <m:accPr>
                            <m:chr m:val="̂"/>
                          </m:accPr>
                          <m:e>
                            <m:r>
                              <m:t>y</m:t>
                            </m:r>
                          </m:e>
                        </m:acc>
                      </m:e>
                      <m:sub>
                        <m:r>
                          <m:t>i</m:t>
                        </m:r>
                        <m:r>
                          <m:t>j</m:t>
                        </m:r>
                      </m:sub>
                    </m:sSub>
                  </m:e>
                </m:d>
              </m:e>
              <m:sup>
                <m:r>
                  <m:t>2</m:t>
                </m:r>
              </m:sup>
            </m:sSup>
          </m:e>
        </m:nary>
        <m:sSup>
          <m:e>
            <m:r>
              <m:rPr>
                <m:sty m:val="p"/>
              </m:rPr>
              <m:t>}</m:t>
            </m:r>
          </m:e>
          <m:sup>
            <m:r>
              <m:t>1</m:t>
            </m:r>
            <m:r>
              <m:rPr>
                <m:sty m:val="p"/>
              </m:rPr>
              <m:t>/</m:t>
            </m:r>
            <m:r>
              <m:t>2</m:t>
            </m:r>
          </m:sup>
        </m:sSup>
      </m:oMath>
      <w:r>
        <w:rPr>
          <w:rFonts w:ascii="Times New Roman" w:hAnsi="Times New Roman" w:eastAsia="Times New Roman"/>
          <w:sz w:val="24"/>
        </w:rPr>
        <w:t>, i.e. one global error over all response entries. For PLS-DA,</w:t>
      </w:r>
      <w:r>
        <w:rPr>
          <w:rFonts w:ascii="Times New Roman" w:hAnsi="Times New Roman" w:eastAsia="Times New Roman"/>
          <w:sz w:val="24"/>
        </w:rPr>
        <w:t xml:space="preserve"> </w:t>
      </w:r>
      <m:oMath>
        <m:sSup>
          <m:e>
            <m:r>
              <m:t>R</m:t>
            </m:r>
          </m:e>
          <m:sup>
            <m:r>
              <m:t>2</m:t>
            </m:r>
          </m:sup>
        </m:sSup>
      </m:oMath>
      <w:r>
        <w:rPr>
          <w:rFonts w:ascii="Times New Roman" w:hAnsi="Times New Roman" w:eastAsia="Times New Roman"/>
          <w:sz w:val="24"/>
        </w:rPr>
        <w:t xml:space="preserve"> </w:t>
      </w:r>
      <w:r>
        <w:rPr>
          <w:rFonts w:ascii="Times New Roman" w:hAnsi="Times New Roman" w:eastAsia="Times New Roman"/>
          <w:sz w:val="24"/>
        </w:rPr>
        <w:t>and</w:t>
      </w:r>
      <w:r>
        <w:rPr>
          <w:rFonts w:ascii="Times New Roman" w:hAnsi="Times New Roman" w:eastAsia="Times New Roman"/>
          <w:sz w:val="24"/>
        </w:rPr>
        <w:t xml:space="preserve"> </w:t>
      </w:r>
      <m:oMath>
        <m:sSup>
          <m:e>
            <m:r>
              <m:t>Q</m:t>
            </m:r>
          </m:e>
          <m:sup>
            <m:r>
              <m:t>2</m:t>
            </m:r>
          </m:sup>
        </m:sSup>
      </m:oMath>
      <w:r>
        <w:rPr>
          <w:rFonts w:ascii="Times New Roman" w:hAnsi="Times New Roman" w:eastAsia="Times New Roman"/>
          <w:sz w:val="24"/>
        </w:rPr>
        <w:t xml:space="preserve"> </w:t>
      </w:r>
      <w:r>
        <w:rPr>
          <w:rFonts w:ascii="Times New Roman" w:hAnsi="Times New Roman" w:eastAsia="Times New Roman"/>
          <w:sz w:val="24"/>
        </w:rPr>
        <w:t>use the centred indicator response, while accuracy evaluates decoded labels. Fitted-value</w:t>
      </w:r>
      <w:r>
        <w:rPr>
          <w:rFonts w:ascii="Times New Roman" w:hAnsi="Times New Roman" w:eastAsia="Times New Roman"/>
          <w:sz w:val="24"/>
        </w:rPr>
        <w:t xml:space="preserve"> </w:t>
      </w:r>
      <m:oMath>
        <m:sSup>
          <m:e>
            <m:r>
              <m:t>R</m:t>
            </m:r>
          </m:e>
          <m:sup>
            <m:r>
              <m:t>2</m:t>
            </m:r>
          </m:sup>
        </m:sSup>
      </m:oMath>
      <w:r>
        <w:rPr>
          <w:rFonts w:ascii="Times New Roman" w:hAnsi="Times New Roman" w:eastAsia="Times New Roman"/>
          <w:sz w:val="24"/>
        </w:rPr>
        <w:t xml:space="preserve"> </w:t>
      </w:r>
      <w:r>
        <w:rPr>
          <w:rFonts w:ascii="Times New Roman" w:hAnsi="Times New Roman" w:eastAsia="Times New Roman"/>
          <w:sz w:val="24"/>
        </w:rPr>
        <w:t>and held-out</w:t>
      </w:r>
      <w:r>
        <w:rPr>
          <w:rFonts w:ascii="Times New Roman" w:hAnsi="Times New Roman" w:eastAsia="Times New Roman"/>
          <w:sz w:val="24"/>
        </w:rPr>
        <w:t xml:space="preserve"> </w:t>
      </w:r>
      <m:oMath>
        <m:sSup>
          <m:e>
            <m:r>
              <m:t>Q</m:t>
            </m:r>
          </m:e>
          <m:sup>
            <m:r>
              <m:t>2</m:t>
            </m:r>
          </m:sup>
        </m:sSup>
      </m:oMath>
      <w:r>
        <w:rPr>
          <w:rFonts w:ascii="Times New Roman" w:hAnsi="Times New Roman" w:eastAsia="Times New Roman"/>
          <w:sz w:val="24"/>
        </w:rPr>
        <w:t xml:space="preserve"> </w:t>
      </w:r>
      <w:r>
        <w:rPr>
          <w:rFonts w:ascii="Times New Roman" w:hAnsi="Times New Roman" w:eastAsia="Times New Roman"/>
          <w:sz w:val="24"/>
        </w:rPr>
        <w:t>are therefore not interchangeable.</w:t>
      </w:r>
    </w:p>
    <w:bookmarkEnd w:id="36"/>
    <w:bookmarkStart w:id="42" w:name="s5.-real-datasets-and-preprocessing"/>
    <w:p>
      <w:pPr>
        <w:pStyle w:val="Heading1"/>
      </w:pPr>
      <w:r>
        <w:rPr>
          <w:rFonts w:ascii="Times New Roman" w:hAnsi="Times New Roman" w:eastAsia="Times New Roman"/>
        </w:rPr>
        <w:t>S5. Real datasets and preprocessing</w:t>
      </w:r>
    </w:p>
    <w:p>
      <w:pPr>
        <w:pStyle w:val="FirstParagraph"/>
      </w:pPr>
      <w:r>
        <w:rPr>
          <w:rFonts w:ascii="Times New Roman" w:hAnsi="Times New Roman" w:eastAsia="Times New Roman"/>
          <w:sz w:val="24"/>
        </w:rPr>
        <w:t>The benchmark writes a machine-generated dataset manifest containing source, licence, checksum, object names, preprocessing, split seed,</w:t>
      </w:r>
      <w:r>
        <w:rPr>
          <w:rFonts w:ascii="Times New Roman" w:hAnsi="Times New Roman" w:eastAsia="Times New Roman"/>
          <w:sz w:val="24"/>
        </w:rPr>
        <w:t xml:space="preserve"> </w:t>
      </w:r>
      <m:oMath>
        <m:sSub>
          <m:e>
            <m:r>
              <m:t>n</m:t>
            </m:r>
          </m:e>
          <m:sub>
            <m:r>
              <m:t>t</m:t>
            </m:r>
            <m:r>
              <m:t>r</m:t>
            </m:r>
            <m:r>
              <m:t>a</m:t>
            </m:r>
            <m:r>
              <m:t>i</m:t>
            </m:r>
            <m:r>
              <m:t>n</m:t>
            </m:r>
          </m:sub>
        </m:sSub>
      </m:oMath>
      <w:r>
        <w:rPr>
          <w:rFonts w:ascii="Times New Roman" w:hAnsi="Times New Roman" w:eastAsia="Times New Roman"/>
          <w:sz w:val="24"/>
        </w:rPr>
        <w:t>,</w:t>
      </w:r>
      <w:r>
        <w:rPr>
          <w:rFonts w:ascii="Times New Roman" w:hAnsi="Times New Roman" w:eastAsia="Times New Roman"/>
          <w:sz w:val="24"/>
        </w:rPr>
        <w:t xml:space="preserve"> </w:t>
      </w:r>
      <m:oMath>
        <m:sSub>
          <m:e>
            <m:r>
              <m:t>n</m:t>
            </m:r>
          </m:e>
          <m:sub>
            <m:r>
              <m:t>t</m:t>
            </m:r>
            <m:r>
              <m:t>e</m:t>
            </m:r>
            <m:r>
              <m:t>s</m:t>
            </m:r>
            <m:r>
              <m:t>t</m:t>
            </m:r>
          </m:sub>
        </m:sSub>
      </m:oMath>
      <w:r>
        <w:rPr>
          <w:rFonts w:ascii="Times New Roman" w:hAnsi="Times New Roman" w:eastAsia="Times New Roman"/>
          <w:sz w:val="24"/>
        </w:rPr>
        <w:t>,</w:t>
      </w:r>
      <w:r>
        <w:rPr>
          <w:rFonts w:ascii="Times New Roman" w:hAnsi="Times New Roman" w:eastAsia="Times New Roman"/>
          <w:sz w:val="24"/>
        </w:rPr>
        <w:t xml:space="preserve"> </w:t>
      </w:r>
      <m:oMath>
        <m:r>
          <m:t>p</m:t>
        </m:r>
      </m:oMath>
      <w:r>
        <w:rPr>
          <w:rFonts w:ascii="Times New Roman" w:hAnsi="Times New Roman" w:eastAsia="Times New Roman"/>
          <w:sz w:val="24"/>
        </w:rPr>
        <w:t>,</w:t>
      </w:r>
      <w:r>
        <w:rPr>
          <w:rFonts w:ascii="Times New Roman" w:hAnsi="Times New Roman" w:eastAsia="Times New Roman"/>
          <w:sz w:val="24"/>
        </w:rPr>
        <w:t xml:space="preserve"> </w:t>
      </w:r>
      <m:oMath>
        <m:r>
          <m:t>q</m:t>
        </m:r>
      </m:oMath>
      <w:r>
        <w:rPr>
          <w:rFonts w:ascii="Times New Roman" w:hAnsi="Times New Roman" w:eastAsia="Times New Roman"/>
          <w:sz w:val="24"/>
        </w:rPr>
        <w:t>, and component grid. Dataset dimensions are read from the prepared task objects rather than transcribed manually.</w:t>
      </w:r>
    </w:p>
    <w:p>
      <w:pPr>
        <w:pStyle w:val="BodyText"/>
      </w:pPr>
      <w:r>
        <w:t>Table S3. Dataset dimensions represented by the current prepared benchmark objects. The released manifest is the authoritative machine-readable record and reports counts before and after each filtering stage. CBMC CITE-seq q=10 denotes the ten raw ADT count responses; its RMSD is reported in those assay-count units.</w:t>
      </w:r>
    </w:p>
    <w:tbl>
      <w:tblPr>
        <w:tblW w:type="auto" w:w="0"/>
        <w:tblLayout w:type="fixed"/>
        <w:tblLook w:firstColumn="1" w:firstRow="1" w:lastColumn="0" w:lastRow="0" w:noHBand="0" w:noVBand="1" w:val="04A0"/>
        <w:tblBorders>
          <w:top w:val="single" w:sz="4" w:space="0" w:color="B7C2CE"/>
          <w:left w:val="single" w:sz="4" w:space="0" w:color="B7C2CE"/>
          <w:bottom w:val="single" w:sz="4" w:space="0" w:color="B7C2CE"/>
          <w:right w:val="single" w:sz="4" w:space="0" w:color="B7C2CE"/>
          <w:insideH w:val="single" w:sz="4" w:space="0" w:color="B7C2CE"/>
          <w:insideV w:val="single" w:sz="4" w:space="0" w:color="B7C2CE"/>
        </w:tblBorders>
      </w:tblPr>
      <w:tblGrid>
        <w:gridCol w:w="1800"/>
        <w:gridCol w:w="1728"/>
        <w:gridCol w:w="1224"/>
        <w:gridCol w:w="1224"/>
        <w:gridCol w:w="936"/>
        <w:gridCol w:w="936"/>
      </w:tblGrid>
      <w:tr>
        <w:trPr>
          <w:cantSplit/>
          <w:tblHeader w:val="true"/>
        </w:trPr>
        <w:tc>
          <w:tcPr>
            <w:tcW w:type="dxa" w:w="1800"/>
            <w:vAlign w:val="center"/>
            <w:tcMar>
              <w:top w:w="55" w:type="dxa"/>
              <w:start w:w="70" w:type="dxa"/>
              <w:bottom w:w="55" w:type="dxa"/>
              <w:end w:w="70" w:type="dxa"/>
            </w:tcMar>
            <w:shd w:fill="E8EEF5"/>
          </w:tcPr>
          <w:p>
            <w:pPr>
              <w:spacing w:after="0" w:line="240" w:lineRule="auto"/>
            </w:pPr>
            <w:r>
              <w:rPr>
                <w:rFonts w:ascii="Arial" w:hAnsi="Arial"/>
                <w:b/>
                <w:sz w:val="12"/>
              </w:rPr>
              <w:t>Dataset</w:t>
            </w:r>
          </w:p>
        </w:tc>
        <w:tc>
          <w:tcPr>
            <w:tcW w:type="dxa" w:w="1728"/>
            <w:vAlign w:val="center"/>
            <w:tcMar>
              <w:top w:w="55" w:type="dxa"/>
              <w:start w:w="70" w:type="dxa"/>
              <w:bottom w:w="55" w:type="dxa"/>
              <w:end w:w="70" w:type="dxa"/>
            </w:tcMar>
            <w:shd w:fill="E8EEF5"/>
          </w:tcPr>
          <w:p>
            <w:pPr>
              <w:spacing w:after="0" w:line="240" w:lineRule="auto"/>
            </w:pPr>
            <w:r>
              <w:rPr>
                <w:rFonts w:ascii="Arial" w:hAnsi="Arial"/>
                <w:b/>
                <w:sz w:val="12"/>
              </w:rPr>
              <w:t>Task</w:t>
            </w:r>
          </w:p>
        </w:tc>
        <w:tc>
          <w:tcPr>
            <w:tcW w:type="dxa" w:w="1224"/>
            <w:vAlign w:val="center"/>
            <w:tcMar>
              <w:top w:w="55" w:type="dxa"/>
              <w:start w:w="70" w:type="dxa"/>
              <w:bottom w:w="55" w:type="dxa"/>
              <w:end w:w="70" w:type="dxa"/>
            </w:tcMar>
            <w:shd w:fill="E8EEF5"/>
          </w:tcPr>
          <w:p>
            <w:pPr>
              <w:spacing w:after="0" w:line="240" w:lineRule="auto"/>
            </w:pPr>
            <w:r>
              <w:rPr>
                <w:rFonts w:ascii="Arial" w:hAnsi="Arial"/>
                <w:b/>
                <w:sz w:val="12"/>
              </w:rPr>
              <w:t>Prepared n train</w:t>
            </w:r>
          </w:p>
        </w:tc>
        <w:tc>
          <w:tcPr>
            <w:tcW w:type="dxa" w:w="1224"/>
            <w:vAlign w:val="center"/>
            <w:tcMar>
              <w:top w:w="55" w:type="dxa"/>
              <w:start w:w="70" w:type="dxa"/>
              <w:bottom w:w="55" w:type="dxa"/>
              <w:end w:w="70" w:type="dxa"/>
            </w:tcMar>
            <w:shd w:fill="E8EEF5"/>
          </w:tcPr>
          <w:p>
            <w:pPr>
              <w:spacing w:after="0" w:line="240" w:lineRule="auto"/>
            </w:pPr>
            <w:r>
              <w:rPr>
                <w:rFonts w:ascii="Arial" w:hAnsi="Arial"/>
                <w:b/>
                <w:sz w:val="12"/>
              </w:rPr>
              <w:t>Prepared n test</w:t>
            </w:r>
          </w:p>
        </w:tc>
        <w:tc>
          <w:tcPr>
            <w:tcW w:type="dxa" w:w="936"/>
            <w:vAlign w:val="center"/>
            <w:tcMar>
              <w:top w:w="55" w:type="dxa"/>
              <w:start w:w="70" w:type="dxa"/>
              <w:bottom w:w="55" w:type="dxa"/>
              <w:end w:w="70" w:type="dxa"/>
            </w:tcMar>
            <w:shd w:fill="E8EEF5"/>
          </w:tcPr>
          <w:p>
            <w:pPr>
              <w:spacing w:after="0" w:line="240" w:lineRule="auto"/>
            </w:pPr>
            <w:r>
              <w:rPr>
                <w:rFonts w:ascii="Arial" w:hAnsi="Arial"/>
                <w:b/>
                <w:sz w:val="12"/>
              </w:rPr>
              <w:t>Prepared p</w:t>
            </w:r>
          </w:p>
        </w:tc>
        <w:tc>
          <w:tcPr>
            <w:tcW w:type="dxa" w:w="936"/>
            <w:vAlign w:val="center"/>
            <w:tcMar>
              <w:top w:w="55" w:type="dxa"/>
              <w:start w:w="70" w:type="dxa"/>
              <w:bottom w:w="55" w:type="dxa"/>
              <w:end w:w="70" w:type="dxa"/>
            </w:tcMar>
            <w:shd w:fill="E8EEF5"/>
          </w:tcPr>
          <w:p>
            <w:pPr>
              <w:spacing w:after="0" w:line="240" w:lineRule="auto"/>
            </w:pPr>
            <w:r>
              <w:rPr>
                <w:rFonts w:ascii="Arial" w:hAnsi="Arial"/>
                <w:b/>
                <w:sz w:val="12"/>
              </w:rPr>
              <w:t>Prepared q</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TCGA-HNSC methylation</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520</w:t>
            </w:r>
          </w:p>
        </w:tc>
        <w:tc>
          <w:tcPr>
            <w:tcW w:type="dxa" w:w="1224"/>
            <w:vAlign w:val="center"/>
            <w:tcMar>
              <w:top w:w="55" w:type="dxa"/>
              <w:start w:w="70" w:type="dxa"/>
              <w:bottom w:w="55" w:type="dxa"/>
              <w:end w:w="70" w:type="dxa"/>
            </w:tcMar>
          </w:tcPr>
          <w:p>
            <w:pPr>
              <w:spacing w:after="0" w:line="240" w:lineRule="auto"/>
            </w:pPr>
            <w:r>
              <w:rPr>
                <w:rFonts w:ascii="Arial" w:hAnsi="Arial"/>
                <w:sz w:val="12"/>
              </w:rPr>
              <w:t>58</w:t>
            </w:r>
          </w:p>
        </w:tc>
        <w:tc>
          <w:tcPr>
            <w:tcW w:type="dxa" w:w="936"/>
            <w:vAlign w:val="center"/>
            <w:tcMar>
              <w:top w:w="55" w:type="dxa"/>
              <w:start w:w="70" w:type="dxa"/>
              <w:bottom w:w="55" w:type="dxa"/>
              <w:end w:w="70" w:type="dxa"/>
            </w:tcMar>
          </w:tcPr>
          <w:p>
            <w:pPr>
              <w:spacing w:after="0" w:line="240" w:lineRule="auto"/>
            </w:pPr>
            <w:r>
              <w:rPr>
                <w:rFonts w:ascii="Arial" w:hAnsi="Arial"/>
                <w:sz w:val="12"/>
              </w:rPr>
              <w:t>782</w:t>
            </w:r>
          </w:p>
        </w:tc>
        <w:tc>
          <w:tcPr>
            <w:tcW w:type="dxa" w:w="936"/>
            <w:vAlign w:val="center"/>
            <w:tcMar>
              <w:top w:w="55" w:type="dxa"/>
              <w:start w:w="70" w:type="dxa"/>
              <w:bottom w:w="55" w:type="dxa"/>
              <w:end w:w="70" w:type="dxa"/>
            </w:tcMar>
          </w:tcPr>
          <w:p>
            <w:pPr>
              <w:spacing w:after="0" w:line="240" w:lineRule="auto"/>
            </w:pPr>
            <w:r>
              <w:rPr>
                <w:rFonts w:ascii="Arial" w:hAnsi="Arial"/>
                <w:sz w:val="12"/>
              </w:rPr>
              <w:t>2</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CCLE</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547</w:t>
            </w:r>
          </w:p>
        </w:tc>
        <w:tc>
          <w:tcPr>
            <w:tcW w:type="dxa" w:w="1224"/>
            <w:vAlign w:val="center"/>
            <w:tcMar>
              <w:top w:w="55" w:type="dxa"/>
              <w:start w:w="70" w:type="dxa"/>
              <w:bottom w:w="55" w:type="dxa"/>
              <w:end w:w="70" w:type="dxa"/>
            </w:tcMar>
          </w:tcPr>
          <w:p>
            <w:pPr>
              <w:spacing w:after="0" w:line="240" w:lineRule="auto"/>
            </w:pPr>
            <w:r>
              <w:rPr>
                <w:rFonts w:ascii="Arial" w:hAnsi="Arial"/>
                <w:sz w:val="12"/>
              </w:rPr>
              <w:t>71</w:t>
            </w:r>
          </w:p>
        </w:tc>
        <w:tc>
          <w:tcPr>
            <w:tcW w:type="dxa" w:w="936"/>
            <w:vAlign w:val="center"/>
            <w:tcMar>
              <w:top w:w="55" w:type="dxa"/>
              <w:start w:w="70" w:type="dxa"/>
              <w:bottom w:w="55" w:type="dxa"/>
              <w:end w:w="70" w:type="dxa"/>
            </w:tcMar>
          </w:tcPr>
          <w:p>
            <w:pPr>
              <w:spacing w:after="0" w:line="240" w:lineRule="auto"/>
            </w:pPr>
            <w:r>
              <w:rPr>
                <w:rFonts w:ascii="Arial" w:hAnsi="Arial"/>
                <w:sz w:val="12"/>
              </w:rPr>
              <w:t>1,000</w:t>
            </w:r>
          </w:p>
        </w:tc>
        <w:tc>
          <w:tcPr>
            <w:tcW w:type="dxa" w:w="936"/>
            <w:vAlign w:val="center"/>
            <w:tcMar>
              <w:top w:w="55" w:type="dxa"/>
              <w:start w:w="70" w:type="dxa"/>
              <w:bottom w:w="55" w:type="dxa"/>
              <w:end w:w="70" w:type="dxa"/>
            </w:tcMar>
          </w:tcPr>
          <w:p>
            <w:pPr>
              <w:spacing w:after="0" w:line="240" w:lineRule="auto"/>
            </w:pPr>
            <w:r>
              <w:rPr>
                <w:rFonts w:ascii="Arial" w:hAnsi="Arial"/>
                <w:sz w:val="12"/>
              </w:rPr>
              <w:t>18</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TCGA-BRCA</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756</w:t>
            </w:r>
          </w:p>
        </w:tc>
        <w:tc>
          <w:tcPr>
            <w:tcW w:type="dxa" w:w="1224"/>
            <w:vAlign w:val="center"/>
            <w:tcMar>
              <w:top w:w="55" w:type="dxa"/>
              <w:start w:w="70" w:type="dxa"/>
              <w:bottom w:w="55" w:type="dxa"/>
              <w:end w:w="70" w:type="dxa"/>
            </w:tcMar>
          </w:tcPr>
          <w:p>
            <w:pPr>
              <w:spacing w:after="0" w:line="240" w:lineRule="auto"/>
            </w:pPr>
            <w:r>
              <w:rPr>
                <w:rFonts w:ascii="Arial" w:hAnsi="Arial"/>
                <w:sz w:val="12"/>
              </w:rPr>
              <w:t>88</w:t>
            </w:r>
          </w:p>
        </w:tc>
        <w:tc>
          <w:tcPr>
            <w:tcW w:type="dxa" w:w="936"/>
            <w:vAlign w:val="center"/>
            <w:tcMar>
              <w:top w:w="55" w:type="dxa"/>
              <w:start w:w="70" w:type="dxa"/>
              <w:bottom w:w="55" w:type="dxa"/>
              <w:end w:w="70" w:type="dxa"/>
            </w:tcMar>
          </w:tcPr>
          <w:p>
            <w:pPr>
              <w:spacing w:after="0" w:line="240" w:lineRule="auto"/>
            </w:pPr>
            <w:r>
              <w:rPr>
                <w:rFonts w:ascii="Arial" w:hAnsi="Arial"/>
                <w:sz w:val="12"/>
              </w:rPr>
              <w:t>1,000</w:t>
            </w:r>
          </w:p>
        </w:tc>
        <w:tc>
          <w:tcPr>
            <w:tcW w:type="dxa" w:w="936"/>
            <w:vAlign w:val="center"/>
            <w:tcMar>
              <w:top w:w="55" w:type="dxa"/>
              <w:start w:w="70" w:type="dxa"/>
              <w:bottom w:w="55" w:type="dxa"/>
              <w:end w:w="70" w:type="dxa"/>
            </w:tcMar>
          </w:tcPr>
          <w:p>
            <w:pPr>
              <w:spacing w:after="0" w:line="240" w:lineRule="auto"/>
            </w:pPr>
            <w:r>
              <w:rPr>
                <w:rFonts w:ascii="Arial" w:hAnsi="Arial"/>
                <w:sz w:val="12"/>
              </w:rPr>
              <w:t>5</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MetRef</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773</w:t>
            </w:r>
          </w:p>
        </w:tc>
        <w:tc>
          <w:tcPr>
            <w:tcW w:type="dxa" w:w="1224"/>
            <w:vAlign w:val="center"/>
            <w:tcMar>
              <w:top w:w="55" w:type="dxa"/>
              <w:start w:w="70" w:type="dxa"/>
              <w:bottom w:w="55" w:type="dxa"/>
              <w:end w:w="70" w:type="dxa"/>
            </w:tcMar>
          </w:tcPr>
          <w:p>
            <w:pPr>
              <w:spacing w:after="0" w:line="240" w:lineRule="auto"/>
            </w:pPr>
            <w:r>
              <w:rPr>
                <w:rFonts w:ascii="Arial" w:hAnsi="Arial"/>
                <w:sz w:val="12"/>
              </w:rPr>
              <w:t>100</w:t>
            </w:r>
          </w:p>
        </w:tc>
        <w:tc>
          <w:tcPr>
            <w:tcW w:type="dxa" w:w="936"/>
            <w:vAlign w:val="center"/>
            <w:tcMar>
              <w:top w:w="55" w:type="dxa"/>
              <w:start w:w="70" w:type="dxa"/>
              <w:bottom w:w="55" w:type="dxa"/>
              <w:end w:w="70" w:type="dxa"/>
            </w:tcMar>
          </w:tcPr>
          <w:p>
            <w:pPr>
              <w:spacing w:after="0" w:line="240" w:lineRule="auto"/>
            </w:pPr>
            <w:r>
              <w:rPr>
                <w:rFonts w:ascii="Arial" w:hAnsi="Arial"/>
                <w:sz w:val="12"/>
              </w:rPr>
              <w:t>375</w:t>
            </w:r>
          </w:p>
        </w:tc>
        <w:tc>
          <w:tcPr>
            <w:tcW w:type="dxa" w:w="936"/>
            <w:vAlign w:val="center"/>
            <w:tcMar>
              <w:top w:w="55" w:type="dxa"/>
              <w:start w:w="70" w:type="dxa"/>
              <w:bottom w:w="55" w:type="dxa"/>
              <w:end w:w="70" w:type="dxa"/>
            </w:tcMar>
          </w:tcPr>
          <w:p>
            <w:pPr>
              <w:spacing w:after="0" w:line="240" w:lineRule="auto"/>
            </w:pPr>
            <w:r>
              <w:rPr>
                <w:rFonts w:ascii="Arial" w:hAnsi="Arial"/>
                <w:sz w:val="12"/>
              </w:rPr>
              <w:t>22</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TCGA Pan-Cancer</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3,000</w:t>
            </w:r>
          </w:p>
        </w:tc>
        <w:tc>
          <w:tcPr>
            <w:tcW w:type="dxa" w:w="1224"/>
            <w:vAlign w:val="center"/>
            <w:tcMar>
              <w:top w:w="55" w:type="dxa"/>
              <w:start w:w="70" w:type="dxa"/>
              <w:bottom w:w="55" w:type="dxa"/>
              <w:end w:w="70" w:type="dxa"/>
            </w:tcMar>
          </w:tcPr>
          <w:p>
            <w:pPr>
              <w:spacing w:after="0" w:line="240" w:lineRule="auto"/>
            </w:pPr>
            <w:r>
              <w:rPr>
                <w:rFonts w:ascii="Arial" w:hAnsi="Arial"/>
                <w:sz w:val="12"/>
              </w:rPr>
              <w:t>982</w:t>
            </w:r>
          </w:p>
        </w:tc>
        <w:tc>
          <w:tcPr>
            <w:tcW w:type="dxa" w:w="936"/>
            <w:vAlign w:val="center"/>
            <w:tcMar>
              <w:top w:w="55" w:type="dxa"/>
              <w:start w:w="70" w:type="dxa"/>
              <w:bottom w:w="55" w:type="dxa"/>
              <w:end w:w="70" w:type="dxa"/>
            </w:tcMar>
          </w:tcPr>
          <w:p>
            <w:pPr>
              <w:spacing w:after="0" w:line="240" w:lineRule="auto"/>
            </w:pPr>
            <w:r>
              <w:rPr>
                <w:rFonts w:ascii="Arial" w:hAnsi="Arial"/>
                <w:sz w:val="12"/>
              </w:rPr>
              <w:t>850</w:t>
            </w:r>
          </w:p>
        </w:tc>
        <w:tc>
          <w:tcPr>
            <w:tcW w:type="dxa" w:w="936"/>
            <w:vAlign w:val="center"/>
            <w:tcMar>
              <w:top w:w="55" w:type="dxa"/>
              <w:start w:w="70" w:type="dxa"/>
              <w:bottom w:w="55" w:type="dxa"/>
              <w:end w:w="70" w:type="dxa"/>
            </w:tcMar>
          </w:tcPr>
          <w:p>
            <w:pPr>
              <w:spacing w:after="0" w:line="240" w:lineRule="auto"/>
            </w:pPr>
            <w:r>
              <w:rPr>
                <w:rFonts w:ascii="Arial" w:hAnsi="Arial"/>
                <w:sz w:val="12"/>
              </w:rPr>
              <w:t>32</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GTEx v8</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3,000</w:t>
            </w:r>
          </w:p>
        </w:tc>
        <w:tc>
          <w:tcPr>
            <w:tcW w:type="dxa" w:w="1224"/>
            <w:vAlign w:val="center"/>
            <w:tcMar>
              <w:top w:w="55" w:type="dxa"/>
              <w:start w:w="70" w:type="dxa"/>
              <w:bottom w:w="55" w:type="dxa"/>
              <w:end w:w="70" w:type="dxa"/>
            </w:tcMar>
          </w:tcPr>
          <w:p>
            <w:pPr>
              <w:spacing w:after="0" w:line="240" w:lineRule="auto"/>
            </w:pPr>
            <w:r>
              <w:rPr>
                <w:rFonts w:ascii="Arial" w:hAnsi="Arial"/>
                <w:sz w:val="12"/>
              </w:rPr>
              <w:t>797</w:t>
            </w:r>
          </w:p>
        </w:tc>
        <w:tc>
          <w:tcPr>
            <w:tcW w:type="dxa" w:w="936"/>
            <w:vAlign w:val="center"/>
            <w:tcMar>
              <w:top w:w="55" w:type="dxa"/>
              <w:start w:w="70" w:type="dxa"/>
              <w:bottom w:w="55" w:type="dxa"/>
              <w:end w:w="70" w:type="dxa"/>
            </w:tcMar>
          </w:tcPr>
          <w:p>
            <w:pPr>
              <w:spacing w:after="0" w:line="240" w:lineRule="auto"/>
            </w:pPr>
            <w:r>
              <w:rPr>
                <w:rFonts w:ascii="Arial" w:hAnsi="Arial"/>
                <w:sz w:val="12"/>
              </w:rPr>
              <w:t>1,000</w:t>
            </w:r>
          </w:p>
        </w:tc>
        <w:tc>
          <w:tcPr>
            <w:tcW w:type="dxa" w:w="936"/>
            <w:vAlign w:val="center"/>
            <w:tcMar>
              <w:top w:w="55" w:type="dxa"/>
              <w:start w:w="70" w:type="dxa"/>
              <w:bottom w:w="55" w:type="dxa"/>
              <w:end w:w="70" w:type="dxa"/>
            </w:tcMar>
          </w:tcPr>
          <w:p>
            <w:pPr>
              <w:spacing w:after="0" w:line="240" w:lineRule="auto"/>
            </w:pPr>
            <w:r>
              <w:rPr>
                <w:rFonts w:ascii="Arial" w:hAnsi="Arial"/>
                <w:sz w:val="12"/>
              </w:rPr>
              <w:t>32</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Retina</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22,402</w:t>
            </w:r>
          </w:p>
        </w:tc>
        <w:tc>
          <w:tcPr>
            <w:tcW w:type="dxa" w:w="1224"/>
            <w:vAlign w:val="center"/>
            <w:tcMar>
              <w:top w:w="55" w:type="dxa"/>
              <w:start w:w="70" w:type="dxa"/>
              <w:bottom w:w="55" w:type="dxa"/>
              <w:end w:w="70" w:type="dxa"/>
            </w:tcMar>
          </w:tcPr>
          <w:p>
            <w:pPr>
              <w:spacing w:after="0" w:line="240" w:lineRule="auto"/>
            </w:pPr>
            <w:r>
              <w:rPr>
                <w:rFonts w:ascii="Arial" w:hAnsi="Arial"/>
                <w:sz w:val="12"/>
              </w:rPr>
              <w:t>22,406</w:t>
            </w:r>
          </w:p>
        </w:tc>
        <w:tc>
          <w:tcPr>
            <w:tcW w:type="dxa" w:w="936"/>
            <w:vAlign w:val="center"/>
            <w:tcMar>
              <w:top w:w="55" w:type="dxa"/>
              <w:start w:w="70" w:type="dxa"/>
              <w:bottom w:w="55" w:type="dxa"/>
              <w:end w:w="70" w:type="dxa"/>
            </w:tcMar>
          </w:tcPr>
          <w:p>
            <w:pPr>
              <w:spacing w:after="0" w:line="240" w:lineRule="auto"/>
            </w:pPr>
            <w:r>
              <w:rPr>
                <w:rFonts w:ascii="Arial" w:hAnsi="Arial"/>
                <w:sz w:val="12"/>
              </w:rPr>
              <w:t>50</w:t>
            </w:r>
          </w:p>
        </w:tc>
        <w:tc>
          <w:tcPr>
            <w:tcW w:type="dxa" w:w="936"/>
            <w:vAlign w:val="center"/>
            <w:tcMar>
              <w:top w:w="55" w:type="dxa"/>
              <w:start w:w="70" w:type="dxa"/>
              <w:bottom w:w="55" w:type="dxa"/>
              <w:end w:w="70" w:type="dxa"/>
            </w:tcMar>
          </w:tcPr>
          <w:p>
            <w:pPr>
              <w:spacing w:after="0" w:line="240" w:lineRule="auto"/>
            </w:pPr>
            <w:r>
              <w:rPr>
                <w:rFonts w:ascii="Arial" w:hAnsi="Arial"/>
                <w:sz w:val="12"/>
              </w:rPr>
              <w:t>12</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Tabula Muris</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50,043</w:t>
            </w:r>
          </w:p>
        </w:tc>
        <w:tc>
          <w:tcPr>
            <w:tcW w:type="dxa" w:w="1224"/>
            <w:vAlign w:val="center"/>
            <w:tcMar>
              <w:top w:w="55" w:type="dxa"/>
              <w:start w:w="70" w:type="dxa"/>
              <w:bottom w:w="55" w:type="dxa"/>
              <w:end w:w="70" w:type="dxa"/>
            </w:tcMar>
          </w:tcPr>
          <w:p>
            <w:pPr>
              <w:spacing w:after="0" w:line="240" w:lineRule="auto"/>
            </w:pPr>
            <w:r>
              <w:rPr>
                <w:rFonts w:ascii="Arial" w:hAnsi="Arial"/>
                <w:sz w:val="12"/>
              </w:rPr>
              <w:t>50,059</w:t>
            </w:r>
          </w:p>
        </w:tc>
        <w:tc>
          <w:tcPr>
            <w:tcW w:type="dxa" w:w="936"/>
            <w:vAlign w:val="center"/>
            <w:tcMar>
              <w:top w:w="55" w:type="dxa"/>
              <w:start w:w="70" w:type="dxa"/>
              <w:bottom w:w="55" w:type="dxa"/>
              <w:end w:w="70" w:type="dxa"/>
            </w:tcMar>
          </w:tcPr>
          <w:p>
            <w:pPr>
              <w:spacing w:after="0" w:line="240" w:lineRule="auto"/>
            </w:pPr>
            <w:r>
              <w:rPr>
                <w:rFonts w:ascii="Arial" w:hAnsi="Arial"/>
                <w:sz w:val="12"/>
              </w:rPr>
              <w:t>50</w:t>
            </w:r>
          </w:p>
        </w:tc>
        <w:tc>
          <w:tcPr>
            <w:tcW w:type="dxa" w:w="936"/>
            <w:vAlign w:val="center"/>
            <w:tcMar>
              <w:top w:w="55" w:type="dxa"/>
              <w:start w:w="70" w:type="dxa"/>
              <w:bottom w:w="55" w:type="dxa"/>
              <w:end w:w="70" w:type="dxa"/>
            </w:tcMar>
          </w:tcPr>
          <w:p>
            <w:pPr>
              <w:spacing w:after="0" w:line="240" w:lineRule="auto"/>
            </w:pPr>
            <w:r>
              <w:rPr>
                <w:rFonts w:ascii="Arial" w:hAnsi="Arial"/>
                <w:sz w:val="12"/>
              </w:rPr>
              <w:t>32</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CIFAR-100</w:t>
            </w:r>
          </w:p>
        </w:tc>
        <w:tc>
          <w:tcPr>
            <w:tcW w:type="dxa" w:w="1728"/>
            <w:vAlign w:val="center"/>
            <w:tcMar>
              <w:top w:w="55" w:type="dxa"/>
              <w:start w:w="70" w:type="dxa"/>
              <w:bottom w:w="55" w:type="dxa"/>
              <w:end w:w="70" w:type="dxa"/>
            </w:tcMar>
          </w:tcPr>
          <w:p>
            <w:pPr>
              <w:spacing w:after="0" w:line="240" w:lineRule="auto"/>
            </w:pPr>
            <w:r>
              <w:rPr>
                <w:rFonts w:ascii="Arial" w:hAnsi="Arial"/>
                <w:sz w:val="12"/>
              </w:rPr>
              <w:t>Classification</w:t>
            </w:r>
          </w:p>
        </w:tc>
        <w:tc>
          <w:tcPr>
            <w:tcW w:type="dxa" w:w="1224"/>
            <w:vAlign w:val="center"/>
            <w:tcMar>
              <w:top w:w="55" w:type="dxa"/>
              <w:start w:w="70" w:type="dxa"/>
              <w:bottom w:w="55" w:type="dxa"/>
              <w:end w:w="70" w:type="dxa"/>
            </w:tcMar>
          </w:tcPr>
          <w:p>
            <w:pPr>
              <w:spacing w:after="0" w:line="240" w:lineRule="auto"/>
            </w:pPr>
            <w:r>
              <w:rPr>
                <w:rFonts w:ascii="Arial" w:hAnsi="Arial"/>
                <w:sz w:val="12"/>
              </w:rPr>
              <w:t>50,000</w:t>
            </w:r>
          </w:p>
        </w:tc>
        <w:tc>
          <w:tcPr>
            <w:tcW w:type="dxa" w:w="1224"/>
            <w:vAlign w:val="center"/>
            <w:tcMar>
              <w:top w:w="55" w:type="dxa"/>
              <w:start w:w="70" w:type="dxa"/>
              <w:bottom w:w="55" w:type="dxa"/>
              <w:end w:w="70" w:type="dxa"/>
            </w:tcMar>
          </w:tcPr>
          <w:p>
            <w:pPr>
              <w:spacing w:after="0" w:line="240" w:lineRule="auto"/>
            </w:pPr>
            <w:r>
              <w:rPr>
                <w:rFonts w:ascii="Arial" w:hAnsi="Arial"/>
                <w:sz w:val="12"/>
              </w:rPr>
              <w:t>10,000</w:t>
            </w:r>
          </w:p>
        </w:tc>
        <w:tc>
          <w:tcPr>
            <w:tcW w:type="dxa" w:w="936"/>
            <w:vAlign w:val="center"/>
            <w:tcMar>
              <w:top w:w="55" w:type="dxa"/>
              <w:start w:w="70" w:type="dxa"/>
              <w:bottom w:w="55" w:type="dxa"/>
              <w:end w:w="70" w:type="dxa"/>
            </w:tcMar>
          </w:tcPr>
          <w:p>
            <w:pPr>
              <w:spacing w:after="0" w:line="240" w:lineRule="auto"/>
            </w:pPr>
            <w:r>
              <w:rPr>
                <w:rFonts w:ascii="Arial" w:hAnsi="Arial"/>
                <w:sz w:val="12"/>
              </w:rPr>
              <w:t>768</w:t>
            </w:r>
          </w:p>
        </w:tc>
        <w:tc>
          <w:tcPr>
            <w:tcW w:type="dxa" w:w="936"/>
            <w:vAlign w:val="center"/>
            <w:tcMar>
              <w:top w:w="55" w:type="dxa"/>
              <w:start w:w="70" w:type="dxa"/>
              <w:bottom w:w="55" w:type="dxa"/>
              <w:end w:w="70" w:type="dxa"/>
            </w:tcMar>
          </w:tcPr>
          <w:p>
            <w:pPr>
              <w:spacing w:after="0" w:line="240" w:lineRule="auto"/>
            </w:pPr>
            <w:r>
              <w:rPr>
                <w:rFonts w:ascii="Arial" w:hAnsi="Arial"/>
                <w:sz w:val="12"/>
              </w:rPr>
              <w:t>100</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PRISM</w:t>
            </w:r>
          </w:p>
        </w:tc>
        <w:tc>
          <w:tcPr>
            <w:tcW w:type="dxa" w:w="1728"/>
            <w:vAlign w:val="center"/>
            <w:tcMar>
              <w:top w:w="55" w:type="dxa"/>
              <w:start w:w="70" w:type="dxa"/>
              <w:bottom w:w="55" w:type="dxa"/>
              <w:end w:w="70" w:type="dxa"/>
            </w:tcMar>
          </w:tcPr>
          <w:p>
            <w:pPr>
              <w:spacing w:after="0" w:line="240" w:lineRule="auto"/>
            </w:pPr>
            <w:r>
              <w:rPr>
                <w:rFonts w:ascii="Arial" w:hAnsi="Arial"/>
                <w:sz w:val="12"/>
              </w:rPr>
              <w:t>Multivariate regression</w:t>
            </w:r>
          </w:p>
        </w:tc>
        <w:tc>
          <w:tcPr>
            <w:tcW w:type="dxa" w:w="1224"/>
            <w:vAlign w:val="center"/>
            <w:tcMar>
              <w:top w:w="55" w:type="dxa"/>
              <w:start w:w="70" w:type="dxa"/>
              <w:bottom w:w="55" w:type="dxa"/>
              <w:end w:w="70" w:type="dxa"/>
            </w:tcMar>
          </w:tcPr>
          <w:p>
            <w:pPr>
              <w:spacing w:after="0" w:line="240" w:lineRule="auto"/>
            </w:pPr>
            <w:r>
              <w:rPr>
                <w:rFonts w:ascii="Arial" w:hAnsi="Arial"/>
                <w:sz w:val="12"/>
              </w:rPr>
              <w:t>479</w:t>
            </w:r>
          </w:p>
        </w:tc>
        <w:tc>
          <w:tcPr>
            <w:tcW w:type="dxa" w:w="1224"/>
            <w:vAlign w:val="center"/>
            <w:tcMar>
              <w:top w:w="55" w:type="dxa"/>
              <w:start w:w="70" w:type="dxa"/>
              <w:bottom w:w="55" w:type="dxa"/>
              <w:end w:w="70" w:type="dxa"/>
            </w:tcMar>
          </w:tcPr>
          <w:p>
            <w:pPr>
              <w:spacing w:after="0" w:line="240" w:lineRule="auto"/>
            </w:pPr>
            <w:r>
              <w:rPr>
                <w:rFonts w:ascii="Arial" w:hAnsi="Arial"/>
                <w:sz w:val="12"/>
              </w:rPr>
              <w:t>54</w:t>
            </w:r>
          </w:p>
        </w:tc>
        <w:tc>
          <w:tcPr>
            <w:tcW w:type="dxa" w:w="936"/>
            <w:vAlign w:val="center"/>
            <w:tcMar>
              <w:top w:w="55" w:type="dxa"/>
              <w:start w:w="70" w:type="dxa"/>
              <w:bottom w:w="55" w:type="dxa"/>
              <w:end w:w="70" w:type="dxa"/>
            </w:tcMar>
          </w:tcPr>
          <w:p>
            <w:pPr>
              <w:spacing w:after="0" w:line="240" w:lineRule="auto"/>
            </w:pPr>
            <w:r>
              <w:rPr>
                <w:rFonts w:ascii="Arial" w:hAnsi="Arial"/>
                <w:sz w:val="12"/>
              </w:rPr>
              <w:t>1,000</w:t>
            </w:r>
          </w:p>
        </w:tc>
        <w:tc>
          <w:tcPr>
            <w:tcW w:type="dxa" w:w="936"/>
            <w:vAlign w:val="center"/>
            <w:tcMar>
              <w:top w:w="55" w:type="dxa"/>
              <w:start w:w="70" w:type="dxa"/>
              <w:bottom w:w="55" w:type="dxa"/>
              <w:end w:w="70" w:type="dxa"/>
            </w:tcMar>
          </w:tcPr>
          <w:p>
            <w:pPr>
              <w:spacing w:after="0" w:line="240" w:lineRule="auto"/>
            </w:pPr>
            <w:r>
              <w:rPr>
                <w:rFonts w:ascii="Arial" w:hAnsi="Arial"/>
                <w:sz w:val="12"/>
              </w:rPr>
              <w:t>4,686</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NMR</w:t>
            </w:r>
          </w:p>
        </w:tc>
        <w:tc>
          <w:tcPr>
            <w:tcW w:type="dxa" w:w="1728"/>
            <w:vAlign w:val="center"/>
            <w:tcMar>
              <w:top w:w="55" w:type="dxa"/>
              <w:start w:w="70" w:type="dxa"/>
              <w:bottom w:w="55" w:type="dxa"/>
              <w:end w:w="70" w:type="dxa"/>
            </w:tcMar>
          </w:tcPr>
          <w:p>
            <w:pPr>
              <w:spacing w:after="0" w:line="240" w:lineRule="auto"/>
            </w:pPr>
            <w:r>
              <w:rPr>
                <w:rFonts w:ascii="Arial" w:hAnsi="Arial"/>
                <w:sz w:val="12"/>
              </w:rPr>
              <w:t>Multivariate regression</w:t>
            </w:r>
          </w:p>
        </w:tc>
        <w:tc>
          <w:tcPr>
            <w:tcW w:type="dxa" w:w="1224"/>
            <w:vAlign w:val="center"/>
            <w:tcMar>
              <w:top w:w="55" w:type="dxa"/>
              <w:start w:w="70" w:type="dxa"/>
              <w:bottom w:w="55" w:type="dxa"/>
              <w:end w:w="70" w:type="dxa"/>
            </w:tcMar>
          </w:tcPr>
          <w:p>
            <w:pPr>
              <w:spacing w:after="0" w:line="240" w:lineRule="auto"/>
            </w:pPr>
            <w:r>
              <w:rPr>
                <w:rFonts w:ascii="Arial" w:hAnsi="Arial"/>
                <w:sz w:val="12"/>
              </w:rPr>
              <w:t>1,200</w:t>
            </w:r>
          </w:p>
        </w:tc>
        <w:tc>
          <w:tcPr>
            <w:tcW w:type="dxa" w:w="1224"/>
            <w:vAlign w:val="center"/>
            <w:tcMar>
              <w:top w:w="55" w:type="dxa"/>
              <w:start w:w="70" w:type="dxa"/>
              <w:bottom w:w="55" w:type="dxa"/>
              <w:end w:w="70" w:type="dxa"/>
            </w:tcMar>
          </w:tcPr>
          <w:p>
            <w:pPr>
              <w:spacing w:after="0" w:line="240" w:lineRule="auto"/>
            </w:pPr>
            <w:r>
              <w:rPr>
                <w:rFonts w:ascii="Arial" w:hAnsi="Arial"/>
                <w:sz w:val="12"/>
              </w:rPr>
              <w:t>321</w:t>
            </w:r>
          </w:p>
        </w:tc>
        <w:tc>
          <w:tcPr>
            <w:tcW w:type="dxa" w:w="936"/>
            <w:vAlign w:val="center"/>
            <w:tcMar>
              <w:top w:w="55" w:type="dxa"/>
              <w:start w:w="70" w:type="dxa"/>
              <w:bottom w:w="55" w:type="dxa"/>
              <w:end w:w="70" w:type="dxa"/>
            </w:tcMar>
          </w:tcPr>
          <w:p>
            <w:pPr>
              <w:spacing w:after="0" w:line="240" w:lineRule="auto"/>
            </w:pPr>
            <w:r>
              <w:rPr>
                <w:rFonts w:ascii="Arial" w:hAnsi="Arial"/>
                <w:sz w:val="12"/>
              </w:rPr>
              <w:t>13,000</w:t>
            </w:r>
          </w:p>
        </w:tc>
        <w:tc>
          <w:tcPr>
            <w:tcW w:type="dxa" w:w="936"/>
            <w:vAlign w:val="center"/>
            <w:tcMar>
              <w:top w:w="55" w:type="dxa"/>
              <w:start w:w="70" w:type="dxa"/>
              <w:bottom w:w="55" w:type="dxa"/>
              <w:end w:w="70" w:type="dxa"/>
            </w:tcMar>
          </w:tcPr>
          <w:p>
            <w:pPr>
              <w:spacing w:after="0" w:line="240" w:lineRule="auto"/>
            </w:pPr>
            <w:r>
              <w:rPr>
                <w:rFonts w:ascii="Arial" w:hAnsi="Arial"/>
                <w:sz w:val="12"/>
              </w:rPr>
              <w:t>28,355</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CBMC CITE-seq</w:t>
            </w:r>
          </w:p>
        </w:tc>
        <w:tc>
          <w:tcPr>
            <w:tcW w:type="dxa" w:w="1728"/>
            <w:vAlign w:val="center"/>
            <w:tcMar>
              <w:top w:w="55" w:type="dxa"/>
              <w:start w:w="70" w:type="dxa"/>
              <w:bottom w:w="55" w:type="dxa"/>
              <w:end w:w="70" w:type="dxa"/>
            </w:tcMar>
          </w:tcPr>
          <w:p>
            <w:pPr>
              <w:spacing w:after="0" w:line="240" w:lineRule="auto"/>
            </w:pPr>
            <w:r>
              <w:rPr>
                <w:rFonts w:ascii="Arial" w:hAnsi="Arial"/>
                <w:sz w:val="12"/>
              </w:rPr>
              <w:t>Multivariate regression</w:t>
            </w:r>
          </w:p>
        </w:tc>
        <w:tc>
          <w:tcPr>
            <w:tcW w:type="dxa" w:w="1224"/>
            <w:vAlign w:val="center"/>
            <w:tcMar>
              <w:top w:w="55" w:type="dxa"/>
              <w:start w:w="70" w:type="dxa"/>
              <w:bottom w:w="55" w:type="dxa"/>
              <w:end w:w="70" w:type="dxa"/>
            </w:tcMar>
          </w:tcPr>
          <w:p>
            <w:pPr>
              <w:spacing w:after="0" w:line="240" w:lineRule="auto"/>
            </w:pPr>
            <w:r>
              <w:rPr>
                <w:rFonts w:ascii="Arial" w:hAnsi="Arial"/>
                <w:sz w:val="12"/>
              </w:rPr>
              <w:t>7,755</w:t>
            </w:r>
          </w:p>
        </w:tc>
        <w:tc>
          <w:tcPr>
            <w:tcW w:type="dxa" w:w="1224"/>
            <w:vAlign w:val="center"/>
            <w:tcMar>
              <w:top w:w="55" w:type="dxa"/>
              <w:start w:w="70" w:type="dxa"/>
              <w:bottom w:w="55" w:type="dxa"/>
              <w:end w:w="70" w:type="dxa"/>
            </w:tcMar>
          </w:tcPr>
          <w:p>
            <w:pPr>
              <w:spacing w:after="0" w:line="240" w:lineRule="auto"/>
            </w:pPr>
            <w:r>
              <w:rPr>
                <w:rFonts w:ascii="Arial" w:hAnsi="Arial"/>
                <w:sz w:val="12"/>
              </w:rPr>
              <w:t>862</w:t>
            </w:r>
          </w:p>
        </w:tc>
        <w:tc>
          <w:tcPr>
            <w:tcW w:type="dxa" w:w="936"/>
            <w:vAlign w:val="center"/>
            <w:tcMar>
              <w:top w:w="55" w:type="dxa"/>
              <w:start w:w="70" w:type="dxa"/>
              <w:bottom w:w="55" w:type="dxa"/>
              <w:end w:w="70" w:type="dxa"/>
            </w:tcMar>
          </w:tcPr>
          <w:p>
            <w:pPr>
              <w:spacing w:after="0" w:line="240" w:lineRule="auto"/>
            </w:pPr>
            <w:r>
              <w:rPr>
                <w:rFonts w:ascii="Arial" w:hAnsi="Arial"/>
                <w:sz w:val="12"/>
              </w:rPr>
              <w:t>1,000</w:t>
            </w:r>
          </w:p>
        </w:tc>
        <w:tc>
          <w:tcPr>
            <w:tcW w:type="dxa" w:w="936"/>
            <w:vAlign w:val="center"/>
            <w:tcMar>
              <w:top w:w="55" w:type="dxa"/>
              <w:start w:w="70" w:type="dxa"/>
              <w:bottom w:w="55" w:type="dxa"/>
              <w:end w:w="70" w:type="dxa"/>
            </w:tcMar>
          </w:tcPr>
          <w:p>
            <w:pPr>
              <w:spacing w:after="0" w:line="240" w:lineRule="auto"/>
            </w:pPr>
            <w:r>
              <w:rPr>
                <w:rFonts w:ascii="Arial" w:hAnsi="Arial"/>
                <w:sz w:val="12"/>
              </w:rPr>
              <w:t>10</w:t>
            </w:r>
          </w:p>
        </w:tc>
      </w:tr>
      <w:tr>
        <w:trPr>
          <w:cantSplit/>
        </w:trPr>
        <w:tc>
          <w:tcPr>
            <w:tcW w:type="dxa" w:w="1800"/>
            <w:vAlign w:val="center"/>
            <w:tcMar>
              <w:top w:w="55" w:type="dxa"/>
              <w:start w:w="70" w:type="dxa"/>
              <w:bottom w:w="55" w:type="dxa"/>
              <w:end w:w="70" w:type="dxa"/>
            </w:tcMar>
          </w:tcPr>
          <w:p>
            <w:pPr>
              <w:spacing w:after="0" w:line="240" w:lineRule="auto"/>
            </w:pPr>
            <w:r>
              <w:rPr>
                <w:rFonts w:ascii="Arial" w:hAnsi="Arial"/>
                <w:sz w:val="12"/>
              </w:rPr>
              <w:t>ImageNet/DINOv2</w:t>
            </w:r>
          </w:p>
        </w:tc>
        <w:tc>
          <w:tcPr>
            <w:tcW w:type="dxa" w:w="1728"/>
            <w:vAlign w:val="center"/>
            <w:tcMar>
              <w:top w:w="55" w:type="dxa"/>
              <w:start w:w="70" w:type="dxa"/>
              <w:bottom w:w="55" w:type="dxa"/>
              <w:end w:w="70" w:type="dxa"/>
            </w:tcMar>
          </w:tcPr>
          <w:p>
            <w:r>
              <w:t>Exploratory classification/retrieval stress test</w:t>
            </w:r>
          </w:p>
        </w:tc>
        <w:tc>
          <w:tcPr>
            <w:tcW w:type="dxa" w:w="1224"/>
            <w:vAlign w:val="center"/>
            <w:tcMar>
              <w:top w:w="55" w:type="dxa"/>
              <w:start w:w="70" w:type="dxa"/>
              <w:bottom w:w="55" w:type="dxa"/>
              <w:end w:w="70" w:type="dxa"/>
            </w:tcMar>
          </w:tcPr>
          <w:p>
            <w:pPr>
              <w:spacing w:after="0" w:line="240" w:lineRule="auto"/>
            </w:pPr>
            <w:r>
              <w:rPr>
                <w:rFonts w:ascii="Arial" w:hAnsi="Arial"/>
                <w:sz w:val="12"/>
              </w:rPr>
              <w:t>1,000,000</w:t>
            </w:r>
          </w:p>
        </w:tc>
        <w:tc>
          <w:tcPr>
            <w:tcW w:type="dxa" w:w="1224"/>
            <w:vAlign w:val="center"/>
            <w:tcMar>
              <w:top w:w="55" w:type="dxa"/>
              <w:start w:w="70" w:type="dxa"/>
              <w:bottom w:w="55" w:type="dxa"/>
              <w:end w:w="70" w:type="dxa"/>
            </w:tcMar>
          </w:tcPr>
          <w:p>
            <w:pPr>
              <w:spacing w:after="0" w:line="240" w:lineRule="auto"/>
            </w:pPr>
            <w:r>
              <w:rPr>
                <w:rFonts w:ascii="Arial" w:hAnsi="Arial"/>
                <w:sz w:val="12"/>
              </w:rPr>
              <w:t>281,167</w:t>
            </w:r>
          </w:p>
        </w:tc>
        <w:tc>
          <w:tcPr>
            <w:tcW w:type="dxa" w:w="936"/>
            <w:vAlign w:val="center"/>
            <w:tcMar>
              <w:top w:w="55" w:type="dxa"/>
              <w:start w:w="70" w:type="dxa"/>
              <w:bottom w:w="55" w:type="dxa"/>
              <w:end w:w="70" w:type="dxa"/>
            </w:tcMar>
          </w:tcPr>
          <w:p>
            <w:pPr>
              <w:spacing w:after="0" w:line="240" w:lineRule="auto"/>
            </w:pPr>
            <w:r>
              <w:rPr>
                <w:rFonts w:ascii="Arial" w:hAnsi="Arial"/>
                <w:sz w:val="12"/>
              </w:rPr>
              <w:t>1,024</w:t>
            </w:r>
          </w:p>
        </w:tc>
        <w:tc>
          <w:tcPr>
            <w:tcW w:type="dxa" w:w="936"/>
            <w:vAlign w:val="center"/>
            <w:tcMar>
              <w:top w:w="55" w:type="dxa"/>
              <w:start w:w="70" w:type="dxa"/>
              <w:bottom w:w="55" w:type="dxa"/>
              <w:end w:w="70" w:type="dxa"/>
            </w:tcMar>
          </w:tcPr>
          <w:p>
            <w:pPr>
              <w:spacing w:after="0" w:line="240" w:lineRule="auto"/>
            </w:pPr>
            <w:r>
              <w:rPr>
                <w:rFonts w:ascii="Arial" w:hAnsi="Arial"/>
                <w:sz w:val="12"/>
              </w:rPr>
              <w:t>1,000</w:t>
            </w:r>
          </w:p>
        </w:tc>
      </w:tr>
    </w:tbl>
    <w:bookmarkStart w:id="37" w:name="s5.1-metref"/>
    <w:p>
      <w:pPr>
        <w:pStyle w:val="Heading2"/>
      </w:pPr>
      <w:r>
        <w:rPr>
          <w:rFonts w:ascii="Times New Roman" w:hAnsi="Times New Roman" w:eastAsia="Times New Roman"/>
        </w:rPr>
        <w:t>S5.1 MetRef</w:t>
      </w:r>
    </w:p>
    <w:p>
      <w:pPr>
        <w:pStyle w:val="FirstParagraph"/>
      </w:pPr>
      <w:r>
        <w:rPr>
          <w:rFonts w:ascii="Times New Roman" w:hAnsi="Times New Roman" w:eastAsia="Times New Roman"/>
          <w:sz w:val="24"/>
        </w:rPr>
        <w:t>MetRef comprises longitudinal urine proton-NMR spectra from 22 donors. Zero-signal variables are removed, spectra are normalized and scaled with training-derived statistics, and donor is the class label. The manifest identifies the normalization function and retained bins.</w:t>
      </w:r>
    </w:p>
    <w:bookmarkEnd w:id="37"/>
    <w:bookmarkStart w:id="38" w:name="s5.2-cifar-100-and-imagenet"/>
    <w:p>
      <w:pPr>
        <w:pStyle w:val="Heading2"/>
      </w:pPr>
      <w:r>
        <w:rPr>
          <w:rFonts w:ascii="Times New Roman" w:hAnsi="Times New Roman" w:eastAsia="Times New Roman"/>
        </w:rPr>
        <w:t>S5.2 CIFAR-100 and ImageNet</w:t>
      </w:r>
    </w:p>
    <w:p>
      <w:pPr>
        <w:pStyle w:val="FirstParagraph"/>
      </w:pPr>
      <w:r>
        <w:t>CIFAR-100 and ImageNet were evaluated as precomputed image embeddings rather than by training image encoders. CIFAR-100 used its standard 50,000/10,000 partition [30]. The ImageNet archive contained 1,281,167 rows, 1,024 DINOv2 features, and 1,000 labels [28,29], but no authoritative canonical train/validation flag. The feature archive was reformatted without normalization or dimensionality reduction. Its exact DINOv2 checkpoint and pooling rule were not retained in independently auditable metadata, which limits representation-level reproducibility and is stated explicitly. Feature extraction was completed before the fastPLS benchmark and excluded from timing.</w:t>
      </w:r>
    </w:p>
    <w:p>
      <w:pPr>
        <w:pStyle w:val="BodyText"/>
      </w:pPr>
      <w:r>
        <w:t>ImageNet is included as a large-scale foundation-model embedding stress test, not as a biomedical validation set. This distinction is relevant because computational pathology foundation models such as UNI and Prov-GigaPath produce large collections of dense tile or slide representations for supervised downstream analysis [31,32]. The ImageNet experiment tests whether fastPLS can process the corresponding post-extraction matrix regime. It does not establish transfer of natural-image accuracy to pathology, and pathology-specific predictive claims require direct pathology data.</w:t>
      </w:r>
    </w:p>
    <w:bookmarkEnd w:id="38"/>
    <w:bookmarkStart w:id="39" w:name="s5.3-gtex-tcga-and-ccle"/>
    <w:p>
      <w:pPr>
        <w:pStyle w:val="Heading2"/>
      </w:pPr>
      <w:r>
        <w:rPr>
          <w:rFonts w:ascii="Times New Roman" w:hAnsi="Times New Roman" w:eastAsia="Times New Roman"/>
        </w:rPr>
        <w:t>S5.3 GTEx, TCGA, and CCLE</w:t>
      </w:r>
    </w:p>
    <w:p>
      <w:pPr>
        <w:pStyle w:val="FirstParagraph"/>
      </w:pPr>
      <w:r>
        <w:rPr>
          <w:rFonts w:ascii="Times New Roman" w:hAnsi="Times New Roman" w:eastAsia="Times New Roman"/>
          <w:sz w:val="24"/>
        </w:rPr>
        <w:t>GTEx v8 tissue labels, TCGA Pan-Cancer disease labels, TCGA-BRCA PAM50 subtypes, TCGA-HNSC sample type, and CCLE lineage labels define classification outcomes. Outcome eligibility filtering and sample matching occur before the split; predictor imputation, zero-variance filtering, normalization, scaling, and any data-derived feature selection are estimated from training data only. Dataset-specific minimum-class rules and the number of removed observations are recorded in the manifest. Legacy descriptions such as</w:t>
      </w:r>
      <w:r>
        <w:rPr>
          <w:rFonts w:ascii="Times New Roman" w:hAnsi="Times New Roman" w:eastAsia="Times New Roman"/>
          <w:sz w:val="24"/>
        </w:rPr>
        <w:t xml:space="preserve"> </w:t>
      </w:r>
      <w:r>
        <w:rPr>
          <w:rFonts w:ascii="Times New Roman" w:hAnsi="Times New Roman" w:eastAsia="Times New Roman"/>
          <w:sz w:val="24"/>
        </w:rPr>
        <w:t>“the first 1,000 features”</w:t>
      </w:r>
      <w:r>
        <w:rPr>
          <w:rFonts w:ascii="Times New Roman" w:hAnsi="Times New Roman" w:eastAsia="Times New Roman"/>
          <w:sz w:val="24"/>
        </w:rPr>
        <w:t xml:space="preserve"> </w:t>
      </w:r>
      <w:r>
        <w:rPr>
          <w:rFonts w:ascii="Times New Roman" w:hAnsi="Times New Roman" w:eastAsia="Times New Roman"/>
          <w:sz w:val="24"/>
        </w:rPr>
        <w:t>denote a target maximum rather than the final matrix width: matching, finite-value checks, and zero-variance removal can reduce</w:t>
      </w:r>
      <w:r>
        <w:rPr>
          <w:rFonts w:ascii="Times New Roman" w:hAnsi="Times New Roman" w:eastAsia="Times New Roman"/>
          <w:sz w:val="24"/>
        </w:rPr>
        <w:t xml:space="preserve"> </w:t>
      </w:r>
      <m:oMath>
        <m:r>
          <m:t>p</m:t>
        </m:r>
      </m:oMath>
      <w:r>
        <w:rPr>
          <w:rFonts w:ascii="Times New Roman" w:hAnsi="Times New Roman" w:eastAsia="Times New Roman"/>
          <w:sz w:val="24"/>
        </w:rPr>
        <w:t>, explaining prepared widths such as 850 or 782. The ordered retained identifiers, not the source-file column positions alone, define the reproducible feature set.</w:t>
      </w:r>
    </w:p>
    <w:bookmarkEnd w:id="39"/>
    <w:bookmarkStart w:id="40" w:name="s5.4-cbmc-cite-seq-and-singlecell"/>
    <w:p>
      <w:pPr>
        <w:pStyle w:val="Heading2"/>
      </w:pPr>
      <w:r>
        <w:t>S5.4 CBMC CITE-seq, Retina, and Tabula Muris</w:t>
      </w:r>
    </w:p>
    <w:p>
      <w:pPr>
        <w:pStyle w:val="FirstParagraph"/>
      </w:pPr>
      <w:r>
        <w:t>CBMC CITE-seq [21] used the prepared SeuratData CBMC object (dataset version 3.1.4; 8,617 matched cells). X was the stored untransformed integer RNA assay-count matrix restricted before benchmarking to 1,000 preselected genes. Y was the stored untransformed integer ADT assay-count matrix for CD3, CD4, CD8, CD45RA, CD56, CD16, CD11c, CD14, CD19, and CD34. The stored split contained 7,755 training and 862 held-out cells and was loaded unchanged. The benchmark loader applied no library-size normalization, log transformation, centred-log-ratio transformation, or additional feature selection. The PLS call used mean centering without variance scaling: training means were subtracted from X and Y, held-out X was centered with the training X means, and the training Y means were restored to predictions. Consequently, the reported global RMSD is the square root of the mean squared error across all 8,620 held-out response entries (862 cells x 10 markers), in original ADT assay-count units per cell. The marker scales are heterogeneous, so this pooled RMSD is weighted toward high-count markers and is not numerically comparable with RMSD measured on normalized responses in another dataset. For the selected CUDA SIMPLS result, the global RMSD of 1,056.461 combined marker-wise RMSE values from 56.4 for CD34 to 3,191.3 for CD45RA. Retina and Tabula Muris are separate single-cell classification benchmarks and are named separately throughout the released manifest.</w:t>
      </w:r>
    </w:p>
    <w:bookmarkEnd w:id="40"/>
    <w:bookmarkStart w:id="41" w:name="s5.5-prism-and-nmr"/>
    <w:p>
      <w:pPr>
        <w:pStyle w:val="Heading2"/>
      </w:pPr>
      <w:r>
        <w:rPr>
          <w:rFonts w:ascii="Times New Roman" w:hAnsi="Times New Roman" w:eastAsia="Times New Roman"/>
        </w:rPr>
        <w:t>S5.5 PRISM and NMR</w:t>
      </w:r>
    </w:p>
    <w:p>
      <w:pPr>
        <w:pStyle w:val="FirstParagraph"/>
      </w:pPr>
      <w:r>
        <w:rPr>
          <w:rFonts w:ascii="Times New Roman" w:hAnsi="Times New Roman" w:eastAsia="Times New Roman"/>
          <w:sz w:val="24"/>
        </w:rPr>
        <w:t>PRISM matches molecular profiles of cancer cell lines to multivariate drug-response measurements. NMR predicts a high-dimensional response spectrum from the input spectral representation. Both are multivariate regression tasks and are evaluated by RMSD rather than classification accuracy. The NMR source cohort and the prepared benchmark object are distinct: Table S3 reports the 1,521 matched, analysis-ready observations in the prepared object, not the complete source cohort. The released manifest must enumerate exclusions and train/test allocation so that these counts can be reconciled without inference. The NMR data are associated with the study of Vignoli, Cacciatore, and Tenori; source-study ethics and access conditions follow the cited source study.</w:t>
      </w:r>
    </w:p>
    <w:p>
      <w:pPr>
        <w:pStyle w:val="Heading2"/>
        <w:keepNext/>
      </w:pPr>
      <w:r>
        <w:t>S5.6 Redistribution and executable acquisition</w:t>
      </w:r>
    </w:p>
    <w:p>
      <w:pPr>
        <w:pStyle w:val="BodyText"/>
      </w:pPr>
      <w:r>
        <w:t>Redistribution status was determined separately from source access status. A publicly downloadable source was not treated as permission to redistribute the processed benchmark matrix under the fastPLS licence. Only the GPL-compatible breast and colon package examples, synthetic generators and generated synthetic results, and aggregate tables, figures, manifests, split indices, and checksums are redistributed. None of the prepared real-data matrices in Table S3 is bundled. The executable workflow benchmark/acquire_publication_datasets.R downloads authoritative public sources or validates user-supplied local files, writes paths, sizes, access classes, and checksums to acquisition_manifest.csv, and refuses silent release substitution. Exact commands and preprocessing contracts are documented in benchmark/DATA_ACQUISITION.md.</w:t>
      </w:r>
    </w:p>
    <w:p>
      <w:pPr>
        <w:pStyle w:val="Caption"/>
        <w:keepNext/>
      </w:pPr>
      <w:r>
        <w:t>Table S3a. Redistribution and acquisition status. 'No' means that fastPLS does not redistribute the prepared real-data matrix, even when the upstream source is public. The acquisition command is run from the repository root; restricted validation requires the environment variable shown.</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val="true"/>
        </w:trPr>
        <w:tc>
          <w:tcPr>
            <w:tcW w:type="dxa" w:w="1267"/>
            <w:vAlign w:val="center"/>
            <w:shd w:fill="D9EAF7"/>
            <w:tcMar>
              <w:top w:w="45" w:type="dxa"/>
              <w:start w:w="55" w:type="dxa"/>
              <w:bottom w:w="45" w:type="dxa"/>
              <w:end w:w="55" w:type="dxa"/>
            </w:tcMar>
          </w:tcPr>
          <w:p>
            <w:pPr>
              <w:spacing w:before="0" w:after="0" w:line="240" w:lineRule="auto"/>
              <w:jc w:val="center"/>
            </w:pPr>
            <w:r/>
            <w:r>
              <w:rPr>
                <w:rFonts w:ascii="Arial" w:hAnsi="Arial"/>
                <w:b/>
                <w:sz w:val="14"/>
              </w:rPr>
              <w:t>Dataset/object</w:t>
            </w:r>
          </w:p>
        </w:tc>
        <w:tc>
          <w:tcPr>
            <w:tcW w:type="dxa" w:w="2088"/>
            <w:vAlign w:val="center"/>
            <w:shd w:fill="D9EAF7"/>
            <w:tcMar>
              <w:top w:w="45" w:type="dxa"/>
              <w:start w:w="55" w:type="dxa"/>
              <w:bottom w:w="45" w:type="dxa"/>
              <w:end w:w="55" w:type="dxa"/>
            </w:tcMar>
          </w:tcPr>
          <w:p>
            <w:pPr>
              <w:spacing w:before="0" w:after="0" w:line="240" w:lineRule="auto"/>
              <w:jc w:val="center"/>
            </w:pPr>
            <w:r/>
            <w:r>
              <w:rPr>
                <w:rFonts w:ascii="Arial" w:hAnsi="Arial"/>
                <w:b/>
                <w:sz w:val="14"/>
              </w:rPr>
              <w:t>Authoritative source</w:t>
            </w:r>
          </w:p>
        </w:tc>
        <w:tc>
          <w:tcPr>
            <w:tcW w:type="dxa" w:w="1512"/>
            <w:vAlign w:val="center"/>
            <w:shd w:fill="D9EAF7"/>
            <w:tcMar>
              <w:top w:w="45" w:type="dxa"/>
              <w:start w:w="55" w:type="dxa"/>
              <w:bottom w:w="45" w:type="dxa"/>
              <w:end w:w="55" w:type="dxa"/>
            </w:tcMar>
          </w:tcPr>
          <w:p>
            <w:pPr>
              <w:spacing w:before="0" w:after="0" w:line="240" w:lineRule="auto"/>
              <w:jc w:val="center"/>
            </w:pPr>
            <w:r/>
            <w:r>
              <w:rPr>
                <w:rFonts w:ascii="Arial" w:hAnsi="Arial"/>
                <w:b/>
                <w:sz w:val="14"/>
              </w:rPr>
              <w:t>Access class</w:t>
            </w:r>
          </w:p>
        </w:tc>
        <w:tc>
          <w:tcPr>
            <w:tcW w:type="dxa" w:w="1411"/>
            <w:vAlign w:val="center"/>
            <w:shd w:fill="D9EAF7"/>
            <w:tcMar>
              <w:top w:w="45" w:type="dxa"/>
              <w:start w:w="55" w:type="dxa"/>
              <w:bottom w:w="45" w:type="dxa"/>
              <w:end w:w="55" w:type="dxa"/>
            </w:tcMar>
          </w:tcPr>
          <w:p>
            <w:pPr>
              <w:spacing w:before="0" w:after="0" w:line="240" w:lineRule="auto"/>
              <w:jc w:val="center"/>
            </w:pPr>
            <w:r/>
            <w:r>
              <w:rPr>
                <w:rFonts w:ascii="Arial" w:hAnsi="Arial"/>
                <w:b/>
                <w:sz w:val="14"/>
              </w:rPr>
              <w:t>Prepared object redistributed?</w:t>
            </w:r>
          </w:p>
        </w:tc>
        <w:tc>
          <w:tcPr>
            <w:tcW w:type="dxa" w:w="3082"/>
            <w:vAlign w:val="center"/>
            <w:shd w:fill="D9EAF7"/>
            <w:tcMar>
              <w:top w:w="45" w:type="dxa"/>
              <w:start w:w="55" w:type="dxa"/>
              <w:bottom w:w="45" w:type="dxa"/>
              <w:end w:w="55" w:type="dxa"/>
            </w:tcMar>
          </w:tcPr>
          <w:p>
            <w:pPr>
              <w:spacing w:before="0" w:after="0" w:line="240" w:lineRule="auto"/>
              <w:jc w:val="center"/>
            </w:pPr>
            <w:r/>
            <w:r>
              <w:rPr>
                <w:rFonts w:ascii="Arial" w:hAnsi="Arial"/>
                <w:b/>
                <w:sz w:val="14"/>
              </w:rPr>
              <w:t>Executable route</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breast; colon</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mixOmics; plsgenomics</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GPL-compatible package data</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Yes</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data(breast); data(colon)</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Synthetic and aggregate outputs</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fastPLS generators/results</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Project-generated</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Yes</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Run published benchmark scripts</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MetRef</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KODAMA::MetRef</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Public R package</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--dataset=metref</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CIFAR-100</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University of Toronto</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Public download</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--dataset=cifar100</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CBMC CITE-seq</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GEO GSE100866</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Public repository</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--dataset=cbmc_citeseq</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Retina</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GEO GSE63472; openTSNE pca_50</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Public repositories</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--dataset=retina</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Tabula Muris</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ExperimentHub EH1617</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Public Bioconductor data</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--dataset=tabula</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GTEx v8</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GTEx open access via UCSC Xena</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Open expression/phenotype</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--dataset=gtex_v8</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TCGA tasks</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TCGA open access via UCSC Xena</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Open molecular/phenotype</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--dataset=tcga_brca,tcga_hnsc_methylation,tcga_pan_cancer</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CCLE</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DepMap/CCLE 18Q2</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Historical release</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FASTPLS_CCLE_RDATA=... --dataset=ccle</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PRISM</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DepMap PRISM 19Q4</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Release-controlled</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FASTPLS_PRISM_RDATA=... --dataset=prism</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NMR</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Figshare share; MTBLS242/395/424</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Source-study terms</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FASTPLS_NMR_RDATA=... --dataset=nmr</w:t>
            </w:r>
          </w:p>
        </w:tc>
      </w:tr>
      <w:tr>
        <w:trPr>
          <w:cantSplit w:val="true"/>
        </w:trPr>
        <w:tc>
          <w:tcPr>
            <w:tcW w:type="dxa" w:w="1267"/>
            <w:vAlign w:val="center"/>
            <w:tcMar>
              <w:top w:w="45" w:type="dxa"/>
              <w:start w:w="55" w:type="dxa"/>
              <w:bottom w:w="45" w:type="dxa"/>
              <w:end w:w="55" w:type="dxa"/>
            </w:tcMar>
          </w:tcPr>
          <w:p>
            <w:pPr>
              <w:spacing w:before="0" w:after="0" w:line="240" w:lineRule="auto"/>
              <w:jc w:val="left"/>
            </w:pPr>
            <w:r/>
            <w:r>
              <w:rPr>
                <w:rFonts w:ascii="Arial" w:hAnsi="Arial"/>
                <w:b w:val="0"/>
                <w:sz w:val="13"/>
              </w:rPr>
              <w:t>ImageNet/DINOv2</w:t>
            </w:r>
          </w:p>
        </w:tc>
        <w:tc>
          <w:tcPr>
            <w:tcW w:type="dxa" w:w="2088"/>
            <w:vAlign w:val="center"/>
            <w:tcMar>
              <w:top w:w="45" w:type="dxa"/>
              <w:start w:w="55" w:type="dxa"/>
              <w:bottom w:w="45" w:type="dxa"/>
              <w:end w:w="55" w:type="dxa"/>
            </w:tcMar>
          </w:tcPr>
          <w:p>
            <w:pPr>
              <w:spacing w:before="0" w:after="0" w:line="240" w:lineRule="auto"/>
              <w:jc w:val="left"/>
            </w:pPr>
            <w:r/>
            <w:r>
              <w:rPr>
                <w:rFonts w:ascii="Arial" w:hAnsi="Arial"/>
                <w:b w:val="0"/>
                <w:sz w:val="13"/>
              </w:rPr>
              <w:t>ImageNet authorized copy; local extraction</w:t>
            </w:r>
          </w:p>
        </w:tc>
        <w:tc>
          <w:tcPr>
            <w:tcW w:type="dxa" w:w="1512"/>
            <w:vAlign w:val="center"/>
            <w:tcMar>
              <w:top w:w="45" w:type="dxa"/>
              <w:start w:w="55" w:type="dxa"/>
              <w:bottom w:w="45" w:type="dxa"/>
              <w:end w:w="55" w:type="dxa"/>
            </w:tcMar>
          </w:tcPr>
          <w:p>
            <w:pPr>
              <w:spacing w:before="0" w:after="0" w:line="240" w:lineRule="auto"/>
              <w:jc w:val="center"/>
            </w:pPr>
            <w:r/>
            <w:r>
              <w:rPr>
                <w:rFonts w:ascii="Arial" w:hAnsi="Arial"/>
                <w:b w:val="0"/>
                <w:sz w:val="13"/>
              </w:rPr>
              <w:t>Gated/non-commercial terms</w:t>
            </w:r>
          </w:p>
        </w:tc>
        <w:tc>
          <w:tcPr>
            <w:tcW w:type="dxa" w:w="1411"/>
            <w:vAlign w:val="center"/>
            <w:tcMar>
              <w:top w:w="45" w:type="dxa"/>
              <w:start w:w="55" w:type="dxa"/>
              <w:bottom w:w="45" w:type="dxa"/>
              <w:end w:w="55" w:type="dxa"/>
            </w:tcMar>
          </w:tcPr>
          <w:p>
            <w:pPr>
              <w:spacing w:before="0" w:after="0" w:line="240" w:lineRule="auto"/>
              <w:jc w:val="center"/>
            </w:pPr>
            <w:r/>
            <w:r>
              <w:rPr>
                <w:rFonts w:ascii="Arial" w:hAnsi="Arial"/>
                <w:b w:val="0"/>
                <w:sz w:val="13"/>
              </w:rPr>
              <w:t>No</w:t>
            </w:r>
          </w:p>
        </w:tc>
        <w:tc>
          <w:tcPr>
            <w:tcW w:type="dxa" w:w="3082"/>
            <w:vAlign w:val="center"/>
            <w:tcMar>
              <w:top w:w="45" w:type="dxa"/>
              <w:start w:w="55" w:type="dxa"/>
              <w:bottom w:w="45" w:type="dxa"/>
              <w:end w:w="55" w:type="dxa"/>
            </w:tcMar>
          </w:tcPr>
          <w:p>
            <w:pPr>
              <w:spacing w:before="0" w:after="0" w:line="240" w:lineRule="auto"/>
              <w:jc w:val="left"/>
            </w:pPr>
            <w:r/>
            <w:r>
              <w:rPr>
                <w:rFonts w:ascii="Arial" w:hAnsi="Arial"/>
                <w:b w:val="0"/>
                <w:sz w:val="13"/>
              </w:rPr>
              <w:t>FASTPLS_IMAGENET_RDATA=... --dataset=imagenet</w:t>
            </w:r>
          </w:p>
        </w:tc>
      </w:tr>
    </w:tbl>
    <w:p>
      <w:pPr>
        <w:pStyle w:val="BodyText"/>
      </w:pPr>
      <w:r>
        <w:t>The public acquisition command is Rscript benchmark/acquire_publication_datasets.R --dataset=&lt;id&gt; --out=&lt;directory&gt;. For ImageNet, NMR, CCLE, and PRISM, the listed environment variable points to a user-authorized local file. The workflow records a checksum but does not copy that file into the repository. GTEx uses only open-access expression and phenotype data; protected sequence and full donor-level files are outside the benchmark. The ImageNet embeddings remain a derived object subject to the source-image terms and are not redistributed.</w:t>
      </w:r>
    </w:p>
    <w:bookmarkEnd w:id="41"/>
    <w:bookmarkEnd w:id="42"/>
    <w:bookmarkStart w:id="43" w:name="s6.-simulated-data"/>
    <w:p>
      <w:pPr>
        <w:pStyle w:val="Heading1"/>
      </w:pPr>
      <w:r>
        <w:t>S6. Synthetic datasets and corresponding numerical results</w:t>
      </w:r>
    </w:p>
    <w:p>
      <w:pPr>
        <w:pStyle w:val="FirstParagraph"/>
      </w:pPr>
      <w:r>
        <w:t>The simulated datasets were used only for the formal SIMPLS estimator-comparison and rSVD reliability analyses; no separate n/p/q performance-scaling sweep is claimed. Five multivariate regression regimes and three dummy-response classification regimes were generated with seeds 101, 202, and 303. Regression data used independent standard-normal latent scores and Gaussian predictor and response loading matrices. Predictor and response matrices were formed by multiplying the latent-score matrix by the transposed loading matrices and adding independent Gaussian noise with standard deviation 0.05. The regimes covered p &lt; n, p &gt; n, low- and high-rank Y, near-collinear predictors, and exact rank deficiency. Near-collinearity was created by making two loading columns linear combinations of the first loading column plus noise with standard deviation 1 × 10⁻⁷; exact rank deficiency was created by duplicating ten predictor columns. Training and held-out rows were generated in one draw and separated before model fitting. The authoritative deterministic and approximate summaries are Tables S7 and S8; exact regime dimensions remain in the repository result archive.</w:t>
      </w:r>
    </w:p>
    <w:p>
      <w:pPr>
        <w:pStyle w:val="BodyText"/>
      </w:pPr>
      <w:r>
        <w:t>Classification regimes used balanced shuffled class labels and Gaussian class-specific latent prototypes. Each latent observation was its class prototype plus Gaussian noise with standard deviation 0.45; predictors were obtained through a Gaussian loading matrix with additional noise of standard deviation 0.08, and responses were one-hot class indicators. The three regimes covered p &lt; n with a low-rank response, p &gt; n with a higher-rank response, and near-collinear predictors. Every compared implementation received identical matrices, splits, component grids, folds, and seeds.</w:t>
      </w:r>
    </w:p>
    <w:p>
      <w:pPr>
        <w:pStyle w:val="FirstParagraph"/>
      </w:pPr>
      <w:r>
        <w:t>The corresponding deterministic results comprised 117 component-level comparisons. All met the prespecified numerical tolerances. Within synthetic classification, the worst relative prediction and coefficient errors were 2.55 × 10⁻⁸ and 4.91 × 10⁻⁸; within synthetic regression they were 1.09 × 10⁻⁵ and 1.13 × 10⁻⁵. Maximum score-subspace angles were 2.09 × 10⁻⁶ degrees for classification and 0.00143 degrees for regression. Fixed 5-fold component selection agreed with pls::simpls.fit in all eight synthetic tasks. The authoritative deterministic summary is Table S7; complete task-level endpoints and curves are retained in the repository archive.</w:t>
      </w:r>
    </w:p>
    <w:p>
      <w:pPr>
        <w:pStyle w:val="BodyText"/>
      </w:pPr>
      <w:r>
        <w:t>For approximate rSVD, oversampling 10 with one power iteration met the prespecified numerical tolerances in 101 of 117 component-level checks, whereas two power iterations met them in 117 of 117. The focused CUDA audit met the prespecified numerical tolerances at all evaluated points with either four power iterations at oversampling 10 or oversampling 20. The authoritative numerical audit is Table S8; full endpoints remain in the repository archive. These are solver-reliability results, not estimator-equivalence evidence.</w:t>
      </w:r>
    </w:p>
    <w:bookmarkEnd w:id="43"/>
    <w:bookmarkStart w:id="44" w:name="X9c9cacb866e0a162e3870f84eb127d5e13fc4ee"/>
    <w:p>
      <w:pPr>
        <w:pStyle w:val="Heading1"/>
      </w:pPr>
      <w:r>
        <w:rPr>
          <w:rFonts w:ascii="Times New Roman" w:hAnsi="Times New Roman" w:eastAsia="Times New Roman"/>
        </w:rPr>
        <w:t>S7. Benchmark execution and memory measurement</w:t>
      </w:r>
    </w:p>
    <w:p>
      <w:pPr>
        <w:pStyle w:val="FirstParagraph"/>
      </w:pPr>
      <w:r>
        <w:t>Each fit is run in an isolated R process. Total time is fitting plus prediction and excludes package installation, dataset acquisition and loading, package initialization, and metric calculation after prediction. The fit timer starts immediately before the public pls() call and stops after the fitted R model is returned. For CUDA routes, this interval includes host-side argument marshalling, host-to-device transfer of training matrices, device allocation, CUDA kernels and library calls, synchronization, and device-to-host transfer of model components exposed in the returned R object. The prediction timer starts immediately before predict() and stops after predictions or class scores are available in R. It includes host-to-device transfer of the test matrix and any model arrays not retained on the device, CUDA execution and synchronization, and device-to-host result transfer. Routes supporting resident workspaces reuse them; the benchmark does not add an artificial host round trip, but the public R model remains the interface between the separately timed fit and prediction calls. Therefore, reported CUDA time is end-to-end backend time rather than kernel-only time. After data and libraries are loaded, garbage collection is completed and host RSS and process-specific GPU memory are recorded immediately before fitting. The R process then signals a synchronized external sampler, which polls host RSS and PID-matched nvidia-smi device memory every 0.02 s throughout fitting and prediction. /usr/bin/time records the absolute maximum RSS over the complete isolated process. Incremental host memory is the maximum of fit-window samples and post-fit/post-prediction snapshots minus the pre-fit baseline; incremental process-level GPU memory is the PID-specific sampled peak minus its pre-fit baseline. Negative differences are truncated at zero. CUDA contexts were not preinitialized, so a zero pre-fit GPU baseline does not remove context creation, CUDA-library handles, allocator pools, persistent device objects, data/model storage, or workspaces created by the measured call. The GPU increment therefore measures the end-to-end device footprint triggered by the workflow and is not an isolated algorithmic-workspace measurement. Isolating workspace would require CUDA-API instrumentation after persistent runtime state had been initialized, which was not performed.</w:t>
      </w:r>
    </w:p>
    <w:p>
      <w:pPr>
        <w:pStyle w:val="BodyText"/>
      </w:pPr>
      <w:r>
        <w:t>Current benchmark workflows record repository state, benchmark-script checksum, package version, source-archive SHA-256, compiler, BLAS/LAPACK, thread settings, accelerator libraries, seeds, rSVD controls, and data/split identifiers. Table S15 maps each analysis to its exact evidence archive. NMR and ImageNet used fastPLS_0.99.6.tar.gz (SHA-256 c868770fee196af24bfb15b4da9fad1d7765deaf68c0ef1fd3e5a15670ecaa85) from base commit 6e50bd318f20289101f6b723953830aefa8b95d6. The audited 0.99.10 archive (SHA-256 163ac7bd5c0c241f3817fac989e219f71b3956b388f6fcefa2f3420c45051b25) changes installation, API cleanup, documentation, and metric-selection behavior; benchmark values are not relabelled as 0.99.10 reruns.</w:t>
      </w:r>
    </w:p>
    <w:p>
      <w:pPr>
        <w:pStyle w:val="Caption"/>
        <w:keepNext/>
      </w:pPr>
      <w:r>
        <w:t>Table S4a. Exact reproducibility environment for the primary CUDA workstation and the Apple Metal validation system. Values were read from benchmark manifests, sessionInfo(), R configuration, package installation logs, linked runtime libraries, and operating-system queries. The CUDA and Metal columns are not direct hardware comparisons.</w:t>
      </w:r>
    </w:p>
    <w:tbl>
      <w:tblPr>
        <w:tblW w:type="auto" w:w="0"/>
        <w:tblLayout w:type="fixed"/>
        <w:tblLook w:firstColumn="1" w:firstRow="1" w:lastColumn="0" w:lastRow="0" w:noHBand="0" w:noVBand="1" w:val="04A0"/>
        <w:tblBorders>
          <w:top w:val="single" w:sz="4" w:space="0" w:color="B7C2CE"/>
          <w:left w:val="single" w:sz="4" w:space="0" w:color="B7C2CE"/>
          <w:bottom w:val="single" w:sz="4" w:space="0" w:color="B7C2CE"/>
          <w:right w:val="single" w:sz="4" w:space="0" w:color="B7C2CE"/>
          <w:insideH w:val="single" w:sz="4" w:space="0" w:color="B7C2CE"/>
          <w:insideV w:val="single" w:sz="4" w:space="0" w:color="B7C2CE"/>
        </w:tblBorders>
      </w:tblPr>
      <w:tblGrid>
        <w:gridCol w:w="1584"/>
        <w:gridCol w:w="3772"/>
        <w:gridCol w:w="3772"/>
      </w:tblGrid>
      <w:tr>
        <w:trPr>
          <w:cantSplit/>
          <w:tblHeader w:val="true"/>
          <w:tblHeader/>
          <w:cantSplit/>
        </w:trPr>
        <w:tc>
          <w:tcPr>
            <w:tcW w:type="dxa" w:w="1584"/>
            <w:vAlign w:val="center"/>
            <w:tcMar>
              <w:top w:w="55" w:type="dxa"/>
              <w:start w:w="70" w:type="dxa"/>
              <w:bottom w:w="55" w:type="dxa"/>
              <w:end w:w="70" w:type="dxa"/>
            </w:tcMar>
            <w:shd w:fill="E8EEF5"/>
          </w:tcPr>
          <w:p>
            <w:pPr>
              <w:spacing w:after="0" w:line="240" w:lineRule="auto" w:before="0"/>
              <w:jc w:val="left"/>
            </w:pPr>
            <w:r>
              <w:rPr>
                <w:rFonts w:ascii="Arial" w:hAnsi="Arial"/>
                <w:b/>
                <w:sz w:val="10"/>
              </w:rPr>
              <w:t>Item</w:t>
            </w:r>
          </w:p>
        </w:tc>
        <w:tc>
          <w:tcPr>
            <w:tcW w:type="dxa" w:w="3772"/>
            <w:vAlign w:val="center"/>
            <w:tcMar>
              <w:top w:w="55" w:type="dxa"/>
              <w:start w:w="70" w:type="dxa"/>
              <w:bottom w:w="55" w:type="dxa"/>
              <w:end w:w="70" w:type="dxa"/>
            </w:tcMar>
            <w:shd w:fill="E8EEF5"/>
          </w:tcPr>
          <w:p>
            <w:pPr>
              <w:spacing w:after="0" w:line="240" w:lineRule="auto" w:before="0"/>
              <w:jc w:val="left"/>
            </w:pPr>
            <w:r>
              <w:rPr>
                <w:rFonts w:ascii="Arial" w:hAnsi="Arial"/>
                <w:b/>
                <w:sz w:val="10"/>
              </w:rPr>
              <w:t>CUDA workstation</w:t>
            </w:r>
          </w:p>
        </w:tc>
        <w:tc>
          <w:tcPr>
            <w:tcW w:type="dxa" w:w="3772"/>
            <w:vAlign w:val="center"/>
            <w:tcMar>
              <w:top w:w="55" w:type="dxa"/>
              <w:start w:w="70" w:type="dxa"/>
              <w:bottom w:w="55" w:type="dxa"/>
              <w:end w:w="70" w:type="dxa"/>
            </w:tcMar>
            <w:shd w:fill="E8EEF5"/>
          </w:tcPr>
          <w:p>
            <w:pPr>
              <w:spacing w:after="0" w:line="240" w:lineRule="auto" w:before="0"/>
              <w:jc w:val="left"/>
            </w:pPr>
            <w:r>
              <w:rPr>
                <w:rFonts w:ascii="Arial" w:hAnsi="Arial"/>
                <w:b/>
                <w:sz w:val="10"/>
              </w:rPr>
              <w:t>Metal validation system</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Platform</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Intel Core i7-13700 (16 cores, 24 logical CPUs); 32,526,480 kB RAM; NVIDIA GeForce RTX 5060 Ti, 16,311 MiB VRAM</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macOS 14.5 (23F79); Apple M3 (8 CPU cores, 10 GPU cores); 8,589,934,592 bytes unified memory; Metal 3</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R and fastPLS</w:t>
            </w:r>
          </w:p>
        </w:tc>
        <w:tc>
          <w:tcPr>
            <w:tcW w:type="dxa" w:w="3772"/>
            <w:vAlign w:val="center"/>
            <w:tcMar>
              <w:top w:w="55" w:type="dxa"/>
              <w:start w:w="70" w:type="dxa"/>
              <w:bottom w:w="55" w:type="dxa"/>
              <w:end w:w="70" w:type="dxa"/>
            </w:tcMar>
          </w:tcPr>
          <w:p>
            <w:pPr>
              <w:spacing w:before="0" w:after="0"/>
              <w:jc w:val="left"/>
            </w:pPr>
            <w:r>
              <w:rPr>
                <w:rFonts w:ascii="Arial" w:hAnsi="Arial"/>
                <w:sz w:val="10"/>
              </w:rPr>
              <w:t>R 4.6.0 and R 4.5.1 across campaigns; fastPLS 0.99.6. See Table S15 for analysis-specific source provenance.</w:t>
            </w:r>
          </w:p>
        </w:tc>
        <w:tc>
          <w:tcPr>
            <w:tcW w:type="dxa" w:w="3772"/>
            <w:vAlign w:val="center"/>
            <w:tcMar>
              <w:top w:w="55" w:type="dxa"/>
              <w:start w:w="70" w:type="dxa"/>
              <w:bottom w:w="55" w:type="dxa"/>
              <w:end w:w="70" w:type="dxa"/>
            </w:tcMar>
          </w:tcPr>
          <w:p>
            <w:pPr>
              <w:spacing w:before="0" w:after="0"/>
              <w:jc w:val="left"/>
            </w:pPr>
            <w:r>
              <w:rPr>
                <w:rFonts w:ascii="Arial" w:hAnsi="Arial"/>
                <w:sz w:val="10"/>
              </w:rPr>
              <w:t>R 4.6.0; fastPLS 0.99.6; package commit recorded by each Metal run. See Table S15.</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Core R packages</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Rcpp 1.1.1-1.1; RcppArmadillo 15.2.7-1; RcppEigen 0.3.4.0.2; Matrix 1.7-5; float 0.3-3; pls 2.9-0</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Rcpp 1.1.2; RcppArmadillo 15.4.0-1; RcppEigen 0.3.4.0.2; Matrix 1.7-5; float 0.3-3; pls 2.9-0</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External comparison packages</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mdatools 0.15.0; chemometrics 1.4.4; pcv 1.1.0; plsdepot 0.3.1; plsgenomics 1.5-3; mixOmics 6.36.0; spls 2.3-2; ropls 1.44.0</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Not used for the external-package comparison</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C/C++ compiler</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GCC/G++ 11.4.0; C++17</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Homebrew Clang/Clang++ 22.1.1; C++17; macOS SDK 15.2</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Effective C/C++ flags</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-std=gnu++17 -fpic -g -O2 -ffile-prefix-map=/build/r-base-gN72Ro/r-base-4.6.0=. -fstack-protector-strong -Wformat -Werror=format-security -Wdate-time -D_FORTIFY_SOURCE=2; package definitions: -DRANN -DARMA_64BIT_WORD=1 -DFASTPLS_HAS_CUDA -DFASTPLS_HAS_CUDA_KERNELS</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-std=gnu++17 -fPIC -falign-functions=64 -Wall -g -O2; Objective-C++: -x objective-c++ -fobjc-arc; package definitions: -DRANN -DARMA_64BIT_WORD=1 -DFASTPLS_HAS_Metal</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Accelerator build/link</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NVCC 13.0.88: -std=c++17 --extended-lambda --expt-relaxed-constexpr -DFASTPLS_HAS_CUDA -DFASTPLS_HAS_CUDA_KERNELS -Xcompiler -fPIC; linked with -lcudart -lcublas -lcusolver -lcurand</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Linked frameworks: Foundation, Metal, and MetalPerformanceShaders</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BLAS/LAPACK</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Reference BLAS 3.10.0; LAPACK 3.10.0</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R BLAS (/Library/Frameworks/R.framework/Versions/4.6/Resources/lib/libRblas.0.dylib); R LAPACK 3.12.1 (libRlapack.dylib)</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CPU thread setting</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1 effective BLAS thread; reference BLAS and no OpenMP; OMP_NUM_THREADS, OPENBLAS_NUM_THREADS, and MKL_NUM_THREADS unset</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1 effective R-BLAS thread; no OpenMP; OMP_NUM_THREADS and VECLIB_MAXIMUM_THREADS unset</w:t>
            </w:r>
          </w:p>
        </w:tc>
      </w:tr>
      <w:tr>
        <w:trPr>
          <w:cantSplit/>
          <w:cantSplit/>
        </w:trPr>
        <w:tc>
          <w:tcPr>
            <w:tcW w:type="dxa" w:w="1584"/>
            <w:vAlign w:val="center"/>
            <w:tcMar>
              <w:top w:w="55" w:type="dxa"/>
              <w:start w:w="70" w:type="dxa"/>
              <w:bottom w:w="55" w:type="dxa"/>
              <w:end w:w="70" w:type="dxa"/>
            </w:tcMar>
          </w:tcPr>
          <w:p>
            <w:pPr>
              <w:spacing w:after="0" w:line="240" w:lineRule="auto" w:before="0"/>
              <w:jc w:val="left"/>
            </w:pPr>
            <w:r>
              <w:rPr>
                <w:rFonts w:ascii="Arial" w:hAnsi="Arial"/>
                <w:sz w:val="10"/>
              </w:rPr>
              <w:t>GPU runtime/libraries</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NVIDIA driver 595.71.05; CUDA SDK 13.0.3; CUDA runtime 13.0.96; cuBLAS 13.1.1.3; cuSOLVER 12.0.4.66; cuRAND 10.4.0.35</w:t>
            </w:r>
          </w:p>
        </w:tc>
        <w:tc>
          <w:tcPr>
            <w:tcW w:type="dxa" w:w="3772"/>
            <w:vAlign w:val="center"/>
            <w:tcMar>
              <w:top w:w="55" w:type="dxa"/>
              <w:start w:w="70" w:type="dxa"/>
              <w:bottom w:w="55" w:type="dxa"/>
              <w:end w:w="70" w:type="dxa"/>
            </w:tcMar>
          </w:tcPr>
          <w:p>
            <w:pPr>
              <w:spacing w:after="0" w:line="240" w:lineRule="auto" w:before="0"/>
              <w:jc w:val="left"/>
            </w:pPr>
            <w:r>
              <w:rPr>
                <w:rFonts w:ascii="Arial" w:hAnsi="Arial"/>
                <w:sz w:val="10"/>
              </w:rPr>
              <w:t>Metal 3; Metal.framework and MetalPerformanceShaders.framework from macOS SDK 15.2</w:t>
            </w:r>
          </w:p>
        </w:tc>
      </w:tr>
    </w:tbl>
    <w:p>
      <w:pPr>
        <w:pStyle w:val="BodyText"/>
      </w:pPr>
      <w:r>
        <w:t>Table S4b. External implementation scope. Exact package versions and execution errors are captured by the run manifest.</w:t>
      </w:r>
    </w:p>
    <w:tbl>
      <w:tblPr>
        <w:tblStyle w:val="Table"/>
        <w:tblW w:type="dxa" w:w="9360"/>
        <w:jc w:val="center"/>
        <w:tblLayout w:type="fixed"/>
        <w:tblLook w:firstRow="1" w:lastRow="0" w:firstColumn="0" w:lastColumn="0" w:noHBand="0" w:noVBand="0" w:val="0020"/>
        <w:tblInd w:w="120" w:type="dxa"/>
      </w:tblPr>
      <w:tblGrid>
        <w:gridCol w:w="3120"/>
        <w:gridCol w:w="3120"/>
        <w:gridCol w:w="3120"/>
      </w:tblGrid>
      <w:tr>
        <w:trPr>
          <w:tblHeader w:val="on"/>
        </w:trPr>
        <w:tc>
          <w:tcPr>
            <w:tcW w:w="3120" w:type="dxa"/>
            <w:vAlign w:val="center"/>
            <w:tcMar>
              <w:top w:w="80" w:type="dxa"/>
              <w:start w:w="120" w:type="dxa"/>
              <w:bottom w:w="80" w:type="dxa"/>
              <w:end w:w="120" w:type="dxa"/>
            </w:tcMar>
            <w:shd w:fill="E7E6E6"/>
          </w:tcPr>
          <w:p>
            <w:pPr>
              <w:pStyle w:val="Compact"/>
              <w:spacing w:line="240" w:lineRule="auto" w:after="40"/>
            </w:pPr>
            <w:r>
              <w:rPr>
                <w:rFonts w:ascii="Times New Roman" w:hAnsi="Times New Roman" w:eastAsia="Times New Roman"/>
                <w:b/>
                <w:sz w:val="18"/>
              </w:rPr>
              <w:t>Package</w:t>
            </w:r>
          </w:p>
        </w:tc>
        <w:tc>
          <w:tcPr>
            <w:tcW w:w="3120" w:type="dxa"/>
            <w:vAlign w:val="center"/>
            <w:tcMar>
              <w:top w:w="80" w:type="dxa"/>
              <w:start w:w="120" w:type="dxa"/>
              <w:bottom w:w="80" w:type="dxa"/>
              <w:end w:w="120" w:type="dxa"/>
            </w:tcMar>
            <w:shd w:fill="E7E6E6"/>
          </w:tcPr>
          <w:p>
            <w:pPr>
              <w:pStyle w:val="Compact"/>
              <w:spacing w:line="240" w:lineRule="auto" w:after="40"/>
            </w:pPr>
            <w:r>
              <w:rPr>
                <w:rFonts w:ascii="Times New Roman" w:hAnsi="Times New Roman" w:eastAsia="Times New Roman"/>
                <w:b/>
                <w:sz w:val="18"/>
              </w:rPr>
              <w:t>Functions evaluated where compatible</w:t>
            </w:r>
          </w:p>
        </w:tc>
        <w:tc>
          <w:tcPr>
            <w:tcW w:w="3120" w:type="dxa"/>
            <w:vAlign w:val="center"/>
            <w:tcMar>
              <w:top w:w="80" w:type="dxa"/>
              <w:start w:w="120" w:type="dxa"/>
              <w:bottom w:w="80" w:type="dxa"/>
              <w:end w:w="120" w:type="dxa"/>
            </w:tcMar>
            <w:shd w:fill="E7E6E6"/>
          </w:tcPr>
          <w:p>
            <w:pPr>
              <w:pStyle w:val="Compact"/>
              <w:spacing w:line="240" w:lineRule="auto" w:after="40"/>
            </w:pPr>
            <w:r>
              <w:rPr>
                <w:rFonts w:ascii="Times New Roman" w:hAnsi="Times New Roman" w:eastAsia="Times New Roman"/>
                <w:b/>
                <w:sz w:val="18"/>
              </w:rPr>
              <w:t>Comparison scope</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pls</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plsr(method="simpls")</w:t>
            </w:r>
            <w:r>
              <w:rPr>
                <w:rFonts w:ascii="Times New Roman" w:hAnsi="Times New Roman" w:eastAsia="Times New Roman"/>
                <w:sz w:val="18"/>
              </w:rPr>
              <w:t>,</w:t>
            </w:r>
            <w:r>
              <w:rPr>
                <w:rFonts w:ascii="Times New Roman" w:hAnsi="Times New Roman" w:eastAsia="Times New Roman"/>
                <w:sz w:val="18"/>
              </w:rPr>
              <w:t xml:space="preserve"> </w:t>
            </w:r>
            <w:r>
              <w:rPr>
                <w:rStyle w:val="VerbatimChar"/>
                <w:rFonts w:ascii="Times New Roman" w:hAnsi="Times New Roman" w:eastAsia="Times New Roman"/>
                <w:sz w:val="18"/>
              </w:rPr>
              <w:t>simpls.fit</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SIMPLS reference for supported regression or dummy-response tasks</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mdatools</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pls</w:t>
            </w:r>
            <w:r>
              <w:rPr>
                <w:rFonts w:ascii="Times New Roman" w:hAnsi="Times New Roman" w:eastAsia="Times New Roman"/>
                <w:sz w:val="18"/>
              </w:rPr>
              <w:t>,</w:t>
            </w:r>
            <w:r>
              <w:rPr>
                <w:rFonts w:ascii="Times New Roman" w:hAnsi="Times New Roman" w:eastAsia="Times New Roman"/>
                <w:sz w:val="18"/>
              </w:rPr>
              <w:t xml:space="preserve"> </w:t>
            </w:r>
            <w:r>
              <w:rPr>
                <w:rStyle w:val="VerbatimChar"/>
                <w:rFonts w:ascii="Times New Roman" w:hAnsi="Times New Roman" w:eastAsia="Times New Roman"/>
                <w:sz w:val="18"/>
              </w:rPr>
              <w:t>plsda</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PLS regression or PLS-DA when the installed API supports the task</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plsdepot</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simpls</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Independent SIMPLS fit</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pcv</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simpls</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Independent SIMPLS fit where response shape is supported</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plsgenomics</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pls.regression</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Genomics-oriented PLS regression/classification where installable</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chemometrics</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pls_eigen</w:t>
            </w:r>
            <w:r>
              <w:rPr>
                <w:rFonts w:ascii="Times New Roman" w:hAnsi="Times New Roman" w:eastAsia="Times New Roman"/>
                <w:sz w:val="18"/>
              </w:rPr>
              <w:t>,</w:t>
            </w:r>
            <w:r>
              <w:rPr>
                <w:rFonts w:ascii="Times New Roman" w:hAnsi="Times New Roman" w:eastAsia="Times New Roman"/>
                <w:sz w:val="18"/>
              </w:rPr>
              <w:t xml:space="preserve"> </w:t>
            </w:r>
            <w:r>
              <w:rPr>
                <w:rStyle w:val="VerbatimChar"/>
                <w:rFonts w:ascii="Times New Roman" w:hAnsi="Times New Roman" w:eastAsia="Times New Roman"/>
                <w:sz w:val="18"/>
              </w:rPr>
              <w:t>pls2_nipals</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Eigen- and NIPALS-based PLS references</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mixOmics</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plsda</w:t>
            </w:r>
            <w:r>
              <w:rPr>
                <w:rFonts w:ascii="Times New Roman" w:hAnsi="Times New Roman" w:eastAsia="Times New Roman"/>
                <w:sz w:val="18"/>
              </w:rPr>
              <w:t>,</w:t>
            </w:r>
            <w:r>
              <w:rPr>
                <w:rFonts w:ascii="Times New Roman" w:hAnsi="Times New Roman" w:eastAsia="Times New Roman"/>
                <w:sz w:val="18"/>
              </w:rPr>
              <w:t xml:space="preserve"> </w:t>
            </w:r>
            <w:r>
              <w:rPr>
                <w:rStyle w:val="VerbatimChar"/>
                <w:rFonts w:ascii="Times New Roman" w:hAnsi="Times New Roman" w:eastAsia="Times New Roman"/>
                <w:sz w:val="18"/>
              </w:rPr>
              <w:t>splsda</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PLS-DA and sparse PLS-DA; model differences are labelled</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spls</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spls</w:t>
            </w:r>
            <w:r>
              <w:rPr>
                <w:rFonts w:ascii="Times New Roman" w:hAnsi="Times New Roman" w:eastAsia="Times New Roman"/>
                <w:sz w:val="18"/>
              </w:rPr>
              <w:t>,</w:t>
            </w:r>
            <w:r>
              <w:rPr>
                <w:rFonts w:ascii="Times New Roman" w:hAnsi="Times New Roman" w:eastAsia="Times New Roman"/>
                <w:sz w:val="18"/>
              </w:rPr>
              <w:t xml:space="preserve"> </w:t>
            </w:r>
            <w:r>
              <w:rPr>
                <w:rStyle w:val="VerbatimChar"/>
                <w:rFonts w:ascii="Times New Roman" w:hAnsi="Times New Roman" w:eastAsia="Times New Roman"/>
                <w:sz w:val="18"/>
              </w:rPr>
              <w:t>splsda</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Sparse estimators; not treated as identical to dense SIMPLS</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ropls</w:t>
            </w:r>
          </w:p>
        </w:tc>
        <w:tc>
          <w:tcPr>
            <w:tcW w:w="3120" w:type="dxa"/>
            <w:vAlign w:val="center"/>
            <w:tcMar>
              <w:top w:w="80" w:type="dxa"/>
              <w:start w:w="120" w:type="dxa"/>
              <w:bottom w:w="80" w:type="dxa"/>
              <w:end w:w="120" w:type="dxa"/>
            </w:tcMar>
          </w:tcPr>
          <w:p>
            <w:pPr>
              <w:pStyle w:val="Compact"/>
              <w:spacing w:line="240" w:lineRule="auto" w:after="40"/>
            </w:pPr>
            <w:r>
              <w:rPr>
                <w:rStyle w:val="VerbatimChar"/>
                <w:rFonts w:ascii="Times New Roman" w:hAnsi="Times New Roman" w:eastAsia="Times New Roman"/>
                <w:sz w:val="18"/>
              </w:rPr>
              <w:t>opls</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PLS/OPLS where task type and class-count restrictions permit</w:t>
            </w:r>
          </w:p>
        </w:tc>
      </w:tr>
    </w:tbl>
    <w:p>
      <w:pPr>
        <w:pStyle w:val="BodyText"/>
      </w:pPr>
      <w:r>
        <w:rPr>
          <w:rFonts w:ascii="Times New Roman" w:hAnsi="Times New Roman" w:eastAsia="Times New Roman"/>
          <w:sz w:val="24"/>
        </w:rPr>
        <w:t>Only estimator/task combinations with compatible outputs are used for speed-and-prediction comparisons. Estimator-matched tables require the same preprocessing, response representation, component count, prediction head, precision, thread setting, and timed work. A separate complete-workflow table may compare different estimators or heads, but is not interpreted as an implementation-only speed test. Unsupported multivariate responses, binary-only restrictions, timeouts, memory kills, and numerical failures remain in the final table rather than being dropped. Adapter errors are corrected before comparison or labelled as benchmark-code failures; they are not described as limitations of the external package.</w:t>
      </w:r>
    </w:p>
    <w:bookmarkEnd w:id="44"/>
    <w:bookmarkStart w:id="45" w:name="s8.-backend-reproducibility"/>
    <w:p>
      <w:pPr>
        <w:pStyle w:val="Heading1"/>
      </w:pPr>
      <w:r>
        <w:rPr>
          <w:rFonts w:ascii="Times New Roman" w:hAnsi="Times New Roman" w:eastAsia="Times New Roman"/>
        </w:rPr>
        <w:t>S8. Backend reproducibility</w:t>
      </w:r>
    </w:p>
    <w:p>
      <w:pPr>
        <w:pStyle w:val="FirstParagraph"/>
      </w:pPr>
      <w:r>
        <w:t>Reproducibility experiments use identical data, preprocessing, folds, requested components, and seeds for the configured CPU, CUDA, and Metal routes. CPU builds delegate dense linear algebra to the BLAS/LAPACK implementation linked to R and can use OpenBLAS where it is installed. That build capability is recorded separately from measured performance. The primary software-comparison runs used one effective BLAS thread. No controlled one-thread versus multiple-thread scaling experiment was conducted, and no multicore speed-up is inferred. Because rSVD is stochastic and nearly tied singular values can rotate an equivalent basis, raw component columns are sign-aligned only for descriptive comparisons. Primary endpoints are prediction agreement, absolute predictive-metric difference, relative Frobenius prediction error, selected component count, numerical failures, and run-to-run variability. Principal angles compare latent subspaces.</w:t>
      </w:r>
    </w:p>
    <w:p>
      <w:pPr>
        <w:pStyle w:val="BodyText"/>
      </w:pPr>
      <w:r>
        <w:rPr>
          <w:rFonts w:ascii="Times New Roman" w:hAnsi="Times New Roman" w:eastAsia="Times New Roman"/>
          <w:b/>
          <w:bCs/>
          <w:sz w:val="24"/>
        </w:rPr>
        <w:t>Table S5. Backend reproducibility endpoints.</w:t>
      </w:r>
    </w:p>
    <w:tbl>
      <w:tblPr>
        <w:tblStyle w:val="Table"/>
        <w:tblW w:type="dxa" w:w="9360"/>
        <w:jc w:val="center"/>
        <w:tblLayout w:type="fixed"/>
        <w:tblLook w:firstRow="1" w:lastRow="0" w:firstColumn="0" w:lastColumn="0" w:noHBand="0" w:noVBand="0" w:val="0020"/>
        <w:tblInd w:w="120" w:type="dxa"/>
      </w:tblPr>
      <w:tblGrid>
        <w:gridCol w:w="3120"/>
        <w:gridCol w:w="3120"/>
        <w:gridCol w:w="3120"/>
      </w:tblGrid>
      <w:tr>
        <w:trPr>
          <w:tblHeader w:val="on"/>
        </w:trPr>
        <w:tc>
          <w:tcPr>
            <w:tcW w:w="3120" w:type="dxa"/>
            <w:vAlign w:val="center"/>
            <w:tcMar>
              <w:top w:w="80" w:type="dxa"/>
              <w:start w:w="120" w:type="dxa"/>
              <w:bottom w:w="80" w:type="dxa"/>
              <w:end w:w="120" w:type="dxa"/>
            </w:tcMar>
            <w:shd w:fill="E7E6E6"/>
          </w:tcPr>
          <w:p>
            <w:pPr>
              <w:pStyle w:val="Compact"/>
              <w:spacing w:line="240" w:lineRule="auto" w:after="40"/>
            </w:pPr>
            <w:r>
              <w:rPr>
                <w:rFonts w:ascii="Times New Roman" w:hAnsi="Times New Roman" w:eastAsia="Times New Roman"/>
                <w:b/>
                <w:sz w:val="18"/>
              </w:rPr>
              <w:t>Endpoint</w:t>
            </w:r>
          </w:p>
        </w:tc>
        <w:tc>
          <w:tcPr>
            <w:tcW w:w="3120" w:type="dxa"/>
            <w:vAlign w:val="center"/>
            <w:tcMar>
              <w:top w:w="80" w:type="dxa"/>
              <w:start w:w="120" w:type="dxa"/>
              <w:bottom w:w="80" w:type="dxa"/>
              <w:end w:w="120" w:type="dxa"/>
            </w:tcMar>
            <w:shd w:fill="E7E6E6"/>
          </w:tcPr>
          <w:p>
            <w:pPr>
              <w:pStyle w:val="Compact"/>
              <w:spacing w:line="240" w:lineRule="auto" w:after="40"/>
            </w:pPr>
            <w:r>
              <w:rPr>
                <w:rFonts w:ascii="Times New Roman" w:hAnsi="Times New Roman" w:eastAsia="Times New Roman"/>
                <w:b/>
                <w:sz w:val="18"/>
              </w:rPr>
              <w:t>Definition</w:t>
            </w:r>
          </w:p>
        </w:tc>
        <w:tc>
          <w:tcPr>
            <w:tcW w:w="3120" w:type="dxa"/>
            <w:vAlign w:val="center"/>
            <w:tcMar>
              <w:top w:w="80" w:type="dxa"/>
              <w:start w:w="120" w:type="dxa"/>
              <w:bottom w:w="80" w:type="dxa"/>
              <w:end w:w="120" w:type="dxa"/>
            </w:tcMar>
            <w:shd w:fill="E7E6E6"/>
          </w:tcPr>
          <w:p>
            <w:pPr>
              <w:pStyle w:val="Compact"/>
              <w:spacing w:line="240" w:lineRule="auto" w:after="40"/>
            </w:pPr>
            <w:r>
              <w:rPr>
                <w:rFonts w:ascii="Times New Roman" w:hAnsi="Times New Roman" w:eastAsia="Times New Roman"/>
                <w:b/>
                <w:sz w:val="18"/>
              </w:rPr>
              <w:t>Interpretation</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Prediction agreement</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Fraction of identical decoded labels, or relative Frobenius difference for numeric predictions</w:t>
            </w:r>
          </w:p>
        </w:tc>
        <w:tc>
          <w:tcPr>
            <w:tcW w:w="3120" w:type="dxa"/>
            <w:vAlign w:val="center"/>
            <w:tcMar>
              <w:top w:w="80" w:type="dxa"/>
              <w:start w:w="120" w:type="dxa"/>
              <w:bottom w:w="80" w:type="dxa"/>
              <w:end w:w="120" w:type="dxa"/>
            </w:tcMar>
          </w:tcPr>
          <w:p>
            <w:pPr>
              <w:pStyle w:val="Compact"/>
              <w:spacing w:line="240" w:lineRule="auto" w:after="40"/>
            </w:pPr>
            <w:r>
              <w:t>Primary check of model-output agreement under backend changes</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Predictive-metric difference</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Absolute difference in accuracy,</w:t>
            </w:r>
            <w:r>
              <w:rPr>
                <w:rFonts w:ascii="Times New Roman" w:hAnsi="Times New Roman" w:eastAsia="Times New Roman"/>
                <w:sz w:val="18"/>
              </w:rPr>
              <w:t xml:space="preserve"> </w:t>
            </w:r>
            <m:oMath>
              <m:sSup>
                <m:e>
                  <m:r>
                    <m:t>Q</m:t>
                  </m:r>
                </m:e>
                <m:sup>
                  <m:r>
                    <m:t>2</m:t>
                  </m:r>
                </m:sup>
              </m:sSup>
            </m:oMath>
            <w:r>
              <w:rPr>
                <w:rFonts w:ascii="Times New Roman" w:hAnsi="Times New Roman" w:eastAsia="Times New Roman"/>
                <w:sz w:val="18"/>
              </w:rPr>
              <w:t>, or RMSD</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Statistical rather than bitwise equivalence</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Principal angles</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Angles between fitted latent subspaces</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Robust to sign changes and rotations of nearly tied singular vectors</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Selected-component agreement</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Equality of the component count chosen on fixed folds</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Checks downstream reproducibility of tuning</w:t>
            </w:r>
          </w:p>
        </w:tc>
      </w:tr>
      <w:tr>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Numerical failures</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Non-convergence, Cholesky fallback, non-finite output, timeout, or memory failure</w:t>
            </w:r>
          </w:p>
        </w:tc>
        <w:tc>
          <w:tcPr>
            <w:tcW w:w="3120" w:type="dxa"/>
            <w:vAlign w:val="center"/>
            <w:tcMar>
              <w:top w:w="80" w:type="dxa"/>
              <w:start w:w="120" w:type="dxa"/>
              <w:bottom w:w="80" w:type="dxa"/>
              <w:end w:w="120" w:type="dxa"/>
            </w:tcMar>
          </w:tcPr>
          <w:p>
            <w:pPr>
              <w:pStyle w:val="Compact"/>
              <w:spacing w:line="240" w:lineRule="auto" w:after="40"/>
            </w:pPr>
            <w:r>
              <w:rPr>
                <w:rFonts w:ascii="Times New Roman" w:hAnsi="Times New Roman" w:eastAsia="Times New Roman"/>
                <w:sz w:val="18"/>
              </w:rPr>
              <w:t>Retained explicitly rather than excluded</w:t>
            </w:r>
          </w:p>
        </w:tc>
      </w:tr>
    </w:tbl>
    <w:p>
      <w:pPr>
        <w:pStyle w:val="BodyText"/>
      </w:pPr>
      <w:r>
        <w:t>The completed fixed-score LDA validation used MetRef, CIFAR-100, Retina, and Tabula Muris. CPU and CUDA float32 predictions were compared at fixed component counts; classifier-level agreement is reported separately from upstream rSVD variation.</w:t>
      </w:r>
    </w:p>
    <w:p>
      <w:pPr>
        <w:pStyle w:val="Heading1"/>
      </w:pPr>
      <w:r>
        <w:t>S9. ImageNet computational role</w:t>
      </w:r>
    </w:p>
    <w:p>
      <w:pPr>
        <w:pStyle w:val="BodyText"/>
      </w:pPr>
      <w:r>
        <w:t>The scientific role of this experiment is computational. ImageNet supplies a large, public, multiclass embedding matrix with the same broad data form as the tile-embedding matrices generated by modern computational pathology foundation models [31,32]. It therefore tests the feasibility, memory behaviour, and prediction throughput of PLS after feature extraction. It does not substitute for pathology validation, and no ImageNet result is interpreted as evidence of diagnostic performance.</w:t>
      </w:r>
    </w:p>
    <w:bookmarkEnd w:id="45"/>
    <w:bookmarkStart w:id="46" w:name="s9.-imagenet-interpretation-and-cknn"/>
    <w:bookmarkEnd w:id="46"/>
    <w:bookmarkStart w:id="47" w:name="s10.-reporting-conventions"/>
    <w:p>
      <w:pPr>
        <w:pStyle w:val="Heading1"/>
      </w:pPr>
      <w:r>
        <w:rPr>
          <w:rFonts w:ascii="Times New Roman" w:hAnsi="Times New Roman" w:eastAsia="Times New Roman"/>
        </w:rPr>
        <w:t>S10. Reporting conventions</w:t>
      </w:r>
    </w:p>
    <w:p>
      <w:pPr>
        <w:pStyle w:val="BodyText"/>
      </w:pPr>
      <w:r>
        <w:t>Completed, failed, timed-out, memory-killed, and unavailable routes remain explicit. Component counts at a tested boundary are described as best within the evaluated grid. Deterministic estimator validation is not pooled with approximate rSVD agreement, and speed-up is summarized only for numerically concordant paired routes.</w:t>
      </w:r>
    </w:p>
    <w:p>
      <w:pPr>
        <w:pStyle w:val="Heading1"/>
      </w:pPr>
      <w:r>
        <w:t>S11. Authoritative evidence map</w:t>
      </w:r>
    </w:p>
    <w:p>
      <w:r>
        <w:t>This compact supplement contains one authoritative table for each central evidence class. Expanded component paths, intermediate review-cycle summaries, sensitivity analyses, and diagnostic figures remain available through benchmark/MANUSCRIPT_EVIDENCE_ARCHIVE.md. They are reproducibility records, not parallel sources for manuscript claims.</w:t>
      </w:r>
    </w:p>
    <w:p>
      <w:pPr>
        <w:pStyle w:val="Caption"/>
      </w:pPr>
      <w:r>
        <w:t>Table S6. Claim-to-evidence map. Each central main-text claim is assigned to one authoritative Supplementary source.</w:t>
      </w:r>
    </w:p>
    <w:tbl>
      <w:tblPr>
        <w:tblW w:type="auto" w:w="0"/>
        <w:tblLayout w:type="autofit"/>
        <w:tblLook w:firstColumn="1" w:firstRow="1" w:lastColumn="0" w:lastRow="0" w:noHBand="0" w:noVBand="1" w:val="04A0"/>
      </w:tblPr>
      <w:tblGrid>
        <w:gridCol w:w="4752"/>
        <w:gridCol w:w="4752"/>
        <w:gridCol w:w="4752"/>
      </w:tblGrid>
      <w:tr>
        <w:trPr>
          <w:tblHeader w:val="true"/>
          <w:cantSplit/>
        </w:trPr>
        <w:tc>
          <w:tcPr>
            <w:tcW w:type="dxa" w:w="4752"/>
            <w:vAlign w:val="center"/>
          </w:tcPr>
          <w:p>
            <w:pPr>
              <w:spacing w:before="0" w:after="0" w:line="240" w:lineRule="auto"/>
              <w:jc w:val="left"/>
            </w:pPr>
            <w:r>
              <w:rPr>
                <w:b/>
                <w:sz w:val="13"/>
              </w:rPr>
              <w:t>Main-text claim</w:t>
            </w:r>
          </w:p>
        </w:tc>
        <w:tc>
          <w:tcPr>
            <w:tcW w:type="dxa" w:w="4752"/>
            <w:vAlign w:val="center"/>
          </w:tcPr>
          <w:p>
            <w:pPr>
              <w:spacing w:before="0" w:after="0" w:line="240" w:lineRule="auto"/>
              <w:jc w:val="center"/>
            </w:pPr>
            <w:r>
              <w:rPr>
                <w:b/>
                <w:sz w:val="13"/>
              </w:rPr>
              <w:t>Authority</w:t>
            </w:r>
          </w:p>
        </w:tc>
        <w:tc>
          <w:tcPr>
            <w:tcW w:type="dxa" w:w="4752"/>
            <w:vAlign w:val="center"/>
          </w:tcPr>
          <w:p>
            <w:pPr>
              <w:spacing w:before="0" w:after="0" w:line="240" w:lineRule="auto"/>
              <w:jc w:val="center"/>
            </w:pPr>
            <w:r>
              <w:rPr>
                <w:b/>
                <w:sz w:val="13"/>
              </w:rPr>
              <w:t>Evidence scope</w:t>
            </w:r>
          </w:p>
        </w:tc>
      </w:tr>
      <w:tr>
        <w:trPr>
          <w:cantSplit/>
        </w:trPr>
        <w:tc>
          <w:tcPr>
            <w:tcW w:type="dxa" w:w="4752"/>
            <w:vAlign w:val="center"/>
          </w:tcPr>
          <w:p>
            <w:pPr>
              <w:spacing w:before="0" w:after="0" w:line="240" w:lineRule="auto"/>
              <w:jc w:val="left"/>
            </w:pPr>
            <w:r>
              <w:t>Deterministic SIMPLS meets the prespecified numerical tolerances against de Jong SIMPLS</w:t>
            </w:r>
          </w:p>
        </w:tc>
        <w:tc>
          <w:tcPr>
            <w:tcW w:type="dxa" w:w="4752"/>
            <w:vAlign w:val="center"/>
          </w:tcPr>
          <w:p>
            <w:pPr>
              <w:spacing w:before="0" w:after="0" w:line="240" w:lineRule="auto"/>
              <w:jc w:val="center"/>
            </w:pPr>
            <w:r>
              <w:rPr>
                <w:b w:val="0"/>
                <w:sz w:val="13"/>
              </w:rPr>
              <w:t>Table S7</w:t>
            </w:r>
          </w:p>
        </w:tc>
        <w:tc>
          <w:tcPr>
            <w:tcW w:type="dxa" w:w="4752"/>
            <w:vAlign w:val="center"/>
          </w:tcPr>
          <w:p>
            <w:pPr>
              <w:spacing w:before="0" w:after="0" w:line="240" w:lineRule="auto"/>
              <w:jc w:val="center"/>
            </w:pPr>
            <w:r>
              <w:rPr>
                <w:b w:val="0"/>
                <w:sz w:val="13"/>
              </w:rPr>
              <w:t>117 component-level endpoints and 12 fixed-fold selections</w:t>
            </w:r>
          </w:p>
        </w:tc>
      </w:tr>
      <w:tr>
        <w:trPr>
          <w:cantSplit/>
        </w:trPr>
        <w:tc>
          <w:tcPr>
            <w:tcW w:type="dxa" w:w="4752"/>
            <w:vAlign w:val="center"/>
          </w:tcPr>
          <w:p>
            <w:pPr>
              <w:spacing w:before="0" w:after="0" w:line="240" w:lineRule="auto"/>
              <w:jc w:val="left"/>
            </w:pPr>
            <w:r>
              <w:rPr>
                <w:b w:val="0"/>
                <w:sz w:val="13"/>
              </w:rPr>
              <w:t>OPLS and kernel-PLS implementation reliability</w:t>
            </w:r>
          </w:p>
        </w:tc>
        <w:tc>
          <w:tcPr>
            <w:tcW w:type="dxa" w:w="4752"/>
            <w:vAlign w:val="center"/>
          </w:tcPr>
          <w:p>
            <w:pPr>
              <w:spacing w:before="0" w:after="0" w:line="240" w:lineRule="auto"/>
              <w:jc w:val="center"/>
            </w:pPr>
            <w:r>
              <w:rPr>
                <w:b w:val="0"/>
                <w:sz w:val="13"/>
              </w:rPr>
              <w:t>Table S7</w:t>
            </w:r>
          </w:p>
        </w:tc>
        <w:tc>
          <w:tcPr>
            <w:tcW w:type="dxa" w:w="4752"/>
            <w:vAlign w:val="center"/>
          </w:tcPr>
          <w:p>
            <w:pPr>
              <w:spacing w:before="0" w:after="0" w:line="240" w:lineRule="auto"/>
              <w:jc w:val="center"/>
            </w:pPr>
            <w:r>
              <w:rPr>
                <w:b w:val="0"/>
                <w:sz w:val="13"/>
              </w:rPr>
              <w:t>66 setting/task endpoints, 66 selections, 1,540 fold-component fits</w:t>
            </w:r>
          </w:p>
        </w:tc>
      </w:tr>
      <w:tr>
        <w:trPr>
          <w:cantSplit/>
        </w:trPr>
        <w:tc>
          <w:tcPr>
            <w:tcW w:type="dxa" w:w="4752"/>
            <w:vAlign w:val="center"/>
          </w:tcPr>
          <w:p>
            <w:pPr>
              <w:spacing w:before="0" w:after="0" w:line="240" w:lineRule="auto"/>
              <w:jc w:val="left"/>
            </w:pPr>
            <w:r>
              <w:rPr>
                <w:b w:val="0"/>
                <w:sz w:val="13"/>
              </w:rPr>
              <w:t>rSVD is approximate and requires numerical qualification</w:t>
            </w:r>
          </w:p>
        </w:tc>
        <w:tc>
          <w:tcPr>
            <w:tcW w:type="dxa" w:w="4752"/>
            <w:vAlign w:val="center"/>
          </w:tcPr>
          <w:p>
            <w:pPr>
              <w:spacing w:before="0" w:after="0" w:line="240" w:lineRule="auto"/>
              <w:jc w:val="center"/>
            </w:pPr>
            <w:r>
              <w:rPr>
                <w:b w:val="0"/>
                <w:sz w:val="13"/>
              </w:rPr>
              <w:t>Table S8</w:t>
            </w:r>
          </w:p>
        </w:tc>
        <w:tc>
          <w:tcPr>
            <w:tcW w:type="dxa" w:w="4752"/>
            <w:vAlign w:val="center"/>
          </w:tcPr>
          <w:p>
            <w:pPr>
              <w:spacing w:before="0" w:after="0" w:line="240" w:lineRule="auto"/>
              <w:jc w:val="center"/>
            </w:pPr>
            <w:r>
              <w:rPr>
                <w:b w:val="0"/>
                <w:sz w:val="13"/>
              </w:rPr>
              <w:t>CPU and CUDA oversampling/power-iteration audits</w:t>
            </w:r>
          </w:p>
        </w:tc>
      </w:tr>
      <w:tr>
        <w:trPr>
          <w:cantSplit/>
        </w:trPr>
        <w:tc>
          <w:tcPr>
            <w:tcW w:type="dxa" w:w="4752"/>
            <w:vAlign w:val="center"/>
          </w:tcPr>
          <w:p>
            <w:pPr>
              <w:spacing w:before="0" w:after="0" w:line="240" w:lineRule="auto"/>
              <w:jc w:val="left"/>
            </w:pPr>
            <w:r>
              <w:rPr>
                <w:b w:val="0"/>
                <w:sz w:val="13"/>
              </w:rPr>
              <w:t>Backend stages are native, hybrid, or host-resident</w:t>
            </w:r>
          </w:p>
        </w:tc>
        <w:tc>
          <w:tcPr>
            <w:tcW w:type="dxa" w:w="4752"/>
            <w:vAlign w:val="center"/>
          </w:tcPr>
          <w:p>
            <w:pPr>
              <w:spacing w:before="0" w:after="0" w:line="240" w:lineRule="auto"/>
              <w:jc w:val="center"/>
            </w:pPr>
            <w:r>
              <w:rPr>
                <w:b w:val="0"/>
                <w:sz w:val="13"/>
              </w:rPr>
              <w:t>Table S1</w:t>
            </w:r>
          </w:p>
        </w:tc>
        <w:tc>
          <w:tcPr>
            <w:tcW w:type="dxa" w:w="4752"/>
            <w:vAlign w:val="center"/>
          </w:tcPr>
          <w:p>
            <w:pPr>
              <w:spacing w:before="0" w:after="0" w:line="240" w:lineRule="auto"/>
              <w:jc w:val="center"/>
            </w:pPr>
            <w:r>
              <w:rPr>
                <w:b w:val="0"/>
                <w:sz w:val="13"/>
              </w:rPr>
              <w:t>Stage-level CPU, CUDA, and Metal residency</w:t>
            </w:r>
          </w:p>
        </w:tc>
      </w:tr>
      <w:tr>
        <w:trPr>
          <w:cantSplit/>
        </w:trPr>
        <w:tc>
          <w:tcPr>
            <w:tcW w:type="dxa" w:w="4752"/>
            <w:vAlign w:val="center"/>
          </w:tcPr>
          <w:p>
            <w:pPr>
              <w:spacing w:before="0" w:after="0" w:line="240" w:lineRule="auto"/>
              <w:jc w:val="left"/>
            </w:pPr>
            <w:r>
              <w:rPr>
                <w:b w:val="0"/>
                <w:sz w:val="13"/>
              </w:rPr>
              <w:t>float32 support is route conditional</w:t>
            </w:r>
          </w:p>
        </w:tc>
        <w:tc>
          <w:tcPr>
            <w:tcW w:type="dxa" w:w="4752"/>
            <w:vAlign w:val="center"/>
          </w:tcPr>
          <w:p>
            <w:pPr>
              <w:spacing w:before="0" w:after="0" w:line="240" w:lineRule="auto"/>
              <w:jc w:val="center"/>
            </w:pPr>
            <w:r>
              <w:rPr>
                <w:b w:val="0"/>
                <w:sz w:val="13"/>
              </w:rPr>
              <w:t>Table S9</w:t>
            </w:r>
          </w:p>
        </w:tc>
        <w:tc>
          <w:tcPr>
            <w:tcW w:type="dxa" w:w="4752"/>
            <w:vAlign w:val="center"/>
          </w:tcPr>
          <w:p>
            <w:pPr>
              <w:spacing w:before="0" w:after="0" w:line="240" w:lineRule="auto"/>
              <w:jc w:val="center"/>
            </w:pPr>
            <w:r>
              <w:rPr>
                <w:b w:val="0"/>
                <w:sz w:val="13"/>
              </w:rPr>
              <w:t>Family/backend/endpoint capability and warning policy</w:t>
            </w:r>
          </w:p>
        </w:tc>
      </w:tr>
      <w:tr>
        <w:trPr>
          <w:cantSplit/>
        </w:trPr>
        <w:tc>
          <w:tcPr>
            <w:tcW w:type="dxa" w:w="4752"/>
            <w:vAlign w:val="center"/>
          </w:tcPr>
          <w:p>
            <w:pPr>
              <w:spacing w:before="0" w:after="0" w:line="240" w:lineRule="auto"/>
              <w:jc w:val="left"/>
            </w:pPr>
            <w:r>
              <w:rPr>
                <w:b w:val="0"/>
                <w:sz w:val="13"/>
              </w:rPr>
              <w:t>fastPLS versus independent R implementations</w:t>
            </w:r>
          </w:p>
        </w:tc>
        <w:tc>
          <w:tcPr>
            <w:tcW w:type="dxa" w:w="4752"/>
            <w:vAlign w:val="center"/>
          </w:tcPr>
          <w:p>
            <w:pPr>
              <w:spacing w:before="0" w:after="0" w:line="240" w:lineRule="auto"/>
              <w:jc w:val="center"/>
            </w:pPr>
            <w:r>
              <w:rPr>
                <w:b w:val="0"/>
                <w:sz w:val="13"/>
              </w:rPr>
              <w:t>Table S10</w:t>
            </w:r>
          </w:p>
        </w:tc>
        <w:tc>
          <w:tcPr>
            <w:tcW w:type="dxa" w:w="4752"/>
            <w:vAlign w:val="center"/>
          </w:tcPr>
          <w:p>
            <w:pPr>
              <w:spacing w:before="0" w:after="0" w:line="240" w:lineRule="auto"/>
              <w:jc w:val="center"/>
            </w:pPr>
            <w:r>
              <w:rPr>
                <w:b w:val="0"/>
                <w:sz w:val="13"/>
              </w:rPr>
              <w:t>Matched float64 one-CPU SIMPLS workflows</w:t>
            </w:r>
          </w:p>
        </w:tc>
      </w:tr>
      <w:tr>
        <w:trPr>
          <w:cantSplit/>
        </w:trPr>
        <w:tc>
          <w:tcPr>
            <w:tcW w:type="dxa" w:w="4752"/>
            <w:vAlign w:val="center"/>
          </w:tcPr>
          <w:p>
            <w:pPr>
              <w:spacing w:before="0" w:after="0" w:line="240" w:lineRule="auto"/>
              <w:jc w:val="left"/>
            </w:pPr>
            <w:r>
              <w:rPr>
                <w:b w:val="0"/>
                <w:sz w:val="13"/>
              </w:rPr>
              <w:t>Selected-point predictive, time, and memory performance</w:t>
            </w:r>
          </w:p>
        </w:tc>
        <w:tc>
          <w:tcPr>
            <w:tcW w:type="dxa" w:w="4752"/>
            <w:vAlign w:val="center"/>
          </w:tcPr>
          <w:p>
            <w:pPr>
              <w:spacing w:before="0" w:after="0" w:line="240" w:lineRule="auto"/>
              <w:jc w:val="center"/>
            </w:pPr>
            <w:r>
              <w:rPr>
                <w:b w:val="0"/>
                <w:sz w:val="13"/>
              </w:rPr>
              <w:t>Table S11</w:t>
            </w:r>
          </w:p>
        </w:tc>
        <w:tc>
          <w:tcPr>
            <w:tcW w:type="dxa" w:w="4752"/>
            <w:vAlign w:val="center"/>
          </w:tcPr>
          <w:p>
            <w:pPr>
              <w:spacing w:before="0" w:after="0" w:line="240" w:lineRule="auto"/>
              <w:jc w:val="center"/>
            </w:pPr>
            <w:r>
              <w:rPr>
                <w:b w:val="0"/>
                <w:sz w:val="13"/>
              </w:rPr>
              <w:t>Paired CPU/CUDA dataset-family rows</w:t>
            </w:r>
          </w:p>
        </w:tc>
      </w:tr>
      <w:tr>
        <w:trPr>
          <w:cantSplit/>
        </w:trPr>
        <w:tc>
          <w:tcPr>
            <w:tcW w:type="dxa" w:w="4752"/>
            <w:vAlign w:val="center"/>
          </w:tcPr>
          <w:p>
            <w:pPr>
              <w:spacing w:before="0" w:after="0" w:line="240" w:lineRule="auto"/>
              <w:jc w:val="left"/>
            </w:pPr>
            <w:r>
              <w:rPr>
                <w:b w:val="0"/>
                <w:sz w:val="13"/>
              </w:rPr>
              <w:t>NMR predictive selection and backend attribution are separate</w:t>
            </w:r>
          </w:p>
        </w:tc>
        <w:tc>
          <w:tcPr>
            <w:tcW w:type="dxa" w:w="4752"/>
            <w:vAlign w:val="center"/>
          </w:tcPr>
          <w:p>
            <w:pPr>
              <w:spacing w:before="0" w:after="0" w:line="240" w:lineRule="auto"/>
              <w:jc w:val="center"/>
            </w:pPr>
            <w:r>
              <w:rPr>
                <w:b w:val="0"/>
                <w:sz w:val="13"/>
              </w:rPr>
              <w:t>Table S12</w:t>
            </w:r>
          </w:p>
        </w:tc>
        <w:tc>
          <w:tcPr>
            <w:tcW w:type="dxa" w:w="4752"/>
            <w:vAlign w:val="center"/>
          </w:tcPr>
          <w:p>
            <w:pPr>
              <w:spacing w:before="0" w:after="0" w:line="240" w:lineRule="auto"/>
              <w:jc w:val="center"/>
            </w:pPr>
            <w:r>
              <w:rPr>
                <w:b w:val="0"/>
                <w:sz w:val="13"/>
              </w:rPr>
              <w:t>Family-selected errors, paired backends, historical workflow</w:t>
            </w:r>
          </w:p>
        </w:tc>
      </w:tr>
      <w:tr>
        <w:trPr>
          <w:cantSplit/>
        </w:trPr>
        <w:tc>
          <w:tcPr>
            <w:tcW w:type="dxa" w:w="4752"/>
            <w:vAlign w:val="center"/>
          </w:tcPr>
          <w:p>
            <w:pPr>
              <w:spacing w:before="0" w:after="0" w:line="240" w:lineRule="auto"/>
              <w:jc w:val="left"/>
            </w:pPr>
            <w:r>
              <w:rPr>
                <w:b w:val="0"/>
                <w:sz w:val="13"/>
              </w:rPr>
              <w:t>ImageNet feasibility and supervised compression are exploratory</w:t>
            </w:r>
          </w:p>
        </w:tc>
        <w:tc>
          <w:tcPr>
            <w:tcW w:type="dxa" w:w="4752"/>
            <w:vAlign w:val="center"/>
          </w:tcPr>
          <w:p>
            <w:pPr>
              <w:spacing w:before="0" w:after="0" w:line="240" w:lineRule="auto"/>
              <w:jc w:val="center"/>
            </w:pPr>
            <w:r>
              <w:rPr>
                <w:b w:val="0"/>
                <w:sz w:val="13"/>
              </w:rPr>
              <w:t>Table S13</w:t>
            </w:r>
          </w:p>
        </w:tc>
        <w:tc>
          <w:tcPr>
            <w:tcW w:type="dxa" w:w="4752"/>
            <w:vAlign w:val="center"/>
          </w:tcPr>
          <w:p>
            <w:pPr>
              <w:spacing w:before="0" w:after="0" w:line="240" w:lineRule="auto"/>
              <w:jc w:val="center"/>
            </w:pPr>
            <w:r>
              <w:rPr>
                <w:b w:val="0"/>
                <w:sz w:val="13"/>
              </w:rPr>
              <w:t>Component path and matched FAISS representation study</w:t>
            </w:r>
          </w:p>
        </w:tc>
      </w:tr>
      <w:tr>
        <w:trPr>
          <w:cantSplit/>
        </w:trPr>
        <w:tc>
          <w:tcPr>
            <w:tcW w:type="dxa" w:w="4752"/>
            <w:vAlign w:val="center"/>
          </w:tcPr>
          <w:p>
            <w:pPr>
              <w:spacing w:before="0" w:after="0" w:line="240" w:lineRule="auto"/>
              <w:jc w:val="left"/>
            </w:pPr>
            <w:r>
              <w:rPr>
                <w:b w:val="0"/>
                <w:sz w:val="13"/>
              </w:rPr>
              <w:t>Predictive dispersion includes training-sample variation</w:t>
            </w:r>
          </w:p>
        </w:tc>
        <w:tc>
          <w:tcPr>
            <w:tcW w:type="dxa" w:w="4752"/>
            <w:vAlign w:val="center"/>
          </w:tcPr>
          <w:p>
            <w:pPr>
              <w:spacing w:before="0" w:after="0" w:line="240" w:lineRule="auto"/>
              <w:jc w:val="center"/>
            </w:pPr>
            <w:r>
              <w:rPr>
                <w:b w:val="0"/>
                <w:sz w:val="13"/>
              </w:rPr>
              <w:t>Table S14</w:t>
            </w:r>
          </w:p>
        </w:tc>
        <w:tc>
          <w:tcPr>
            <w:tcW w:type="dxa" w:w="4752"/>
            <w:vAlign w:val="center"/>
          </w:tcPr>
          <w:p>
            <w:pPr>
              <w:spacing w:before="0" w:after="0" w:line="240" w:lineRule="auto"/>
              <w:jc w:val="center"/>
            </w:pPr>
            <w:r>
              <w:rPr>
                <w:b w:val="0"/>
                <w:sz w:val="13"/>
              </w:rPr>
              <w:t>Repeated outer partitions and selection frequencies</w:t>
            </w:r>
          </w:p>
        </w:tc>
      </w:tr>
      <w:tr>
        <w:trPr>
          <w:cantSplit/>
        </w:trPr>
        <w:tc>
          <w:tcPr>
            <w:tcW w:type="dxa" w:w="4752"/>
            <w:vAlign w:val="center"/>
          </w:tcPr>
          <w:p>
            <w:pPr>
              <w:spacing w:before="0" w:after="0" w:line="240" w:lineRule="auto"/>
              <w:jc w:val="left"/>
            </w:pPr>
            <w:r>
              <w:rPr>
                <w:b w:val="0"/>
                <w:sz w:val="13"/>
              </w:rPr>
              <w:t>Each analysis maps to a reproducible archive</w:t>
            </w:r>
          </w:p>
        </w:tc>
        <w:tc>
          <w:tcPr>
            <w:tcW w:type="dxa" w:w="4752"/>
            <w:vAlign w:val="center"/>
          </w:tcPr>
          <w:p>
            <w:pPr>
              <w:spacing w:before="0" w:after="0" w:line="240" w:lineRule="auto"/>
              <w:jc w:val="center"/>
            </w:pPr>
            <w:r>
              <w:rPr>
                <w:b w:val="0"/>
                <w:sz w:val="13"/>
              </w:rPr>
              <w:t>Table S15</w:t>
            </w:r>
          </w:p>
        </w:tc>
        <w:tc>
          <w:tcPr>
            <w:tcW w:type="dxa" w:w="4752"/>
            <w:vAlign w:val="center"/>
          </w:tcPr>
          <w:p>
            <w:pPr>
              <w:spacing w:before="0" w:after="0" w:line="240" w:lineRule="auto"/>
              <w:jc w:val="center"/>
            </w:pPr>
            <w:r>
              <w:rPr>
                <w:b w:val="0"/>
                <w:sz w:val="13"/>
              </w:rPr>
              <w:t>Script, package metadata, split provenance, and archive digest</w:t>
            </w:r>
          </w:p>
        </w:tc>
      </w:tr>
      <w:tr>
        <w:tc>
          <w:tcPr>
            <w:tcW w:type="dxa" w:w="4752"/>
            <w:vAlign w:val="center"/>
          </w:tcPr>
          <w:p>
            <w:pPr>
              <w:spacing w:before="0" w:after="0"/>
            </w:pPr>
            <w:r>
              <w:rPr>
                <w:b w:val="0"/>
                <w:sz w:val="14"/>
              </w:rPr>
              <w:t>SIMPLS speed and storage gains arise from specific execution changes</w:t>
            </w:r>
          </w:p>
        </w:tc>
        <w:tc>
          <w:tcPr>
            <w:tcW w:type="dxa" w:w="4752"/>
            <w:vAlign w:val="center"/>
          </w:tcPr>
          <w:p>
            <w:pPr>
              <w:spacing w:before="0" w:after="0"/>
            </w:pPr>
            <w:r>
              <w:rPr>
                <w:b w:val="0"/>
                <w:sz w:val="14"/>
              </w:rPr>
              <w:t>Table S7a</w:t>
            </w:r>
          </w:p>
        </w:tc>
        <w:tc>
          <w:tcPr>
            <w:tcW w:type="dxa" w:w="4752"/>
            <w:vAlign w:val="center"/>
          </w:tcPr>
          <w:p>
            <w:pPr>
              <w:spacing w:before="0" w:after="0"/>
            </w:pPr>
            <w:r>
              <w:rPr>
                <w:b w:val="0"/>
                <w:sz w:val="14"/>
              </w:rPr>
              <w:t>Five same-code ablations on four matrix regimes</w:t>
            </w:r>
          </w:p>
        </w:tc>
      </w:tr>
      <w:tr>
        <w:tc>
          <w:tcPr>
            <w:tcW w:type="dxa" w:w="4752"/>
            <w:vAlign w:val="center"/>
          </w:tcPr>
          <w:p>
            <w:pPr>
              <w:spacing w:before="0" w:after="0"/>
            </w:pPr>
            <w:r>
              <w:rPr>
                <w:b w:val="0"/>
                <w:sz w:val="14"/>
              </w:rPr>
              <w:t>SIMPLS runtime relative to one-shot PLS-SVD is shape dependent</w:t>
            </w:r>
          </w:p>
        </w:tc>
        <w:tc>
          <w:tcPr>
            <w:tcW w:type="dxa" w:w="4752"/>
            <w:vAlign w:val="center"/>
          </w:tcPr>
          <w:p>
            <w:pPr>
              <w:spacing w:before="0" w:after="0"/>
            </w:pPr>
            <w:r>
              <w:rPr>
                <w:b w:val="0"/>
                <w:sz w:val="14"/>
              </w:rPr>
              <w:t>Table S7b</w:t>
            </w:r>
          </w:p>
        </w:tc>
        <w:tc>
          <w:tcPr>
            <w:tcW w:type="dxa" w:w="4752"/>
            <w:vAlign w:val="center"/>
          </w:tcPr>
          <w:p>
            <w:pPr>
              <w:spacing w:before="0" w:after="0"/>
            </w:pPr>
            <w:r>
              <w:rPr>
                <w:b w:val="0"/>
                <w:sz w:val="14"/>
              </w:rPr>
              <w:t>Five matched synthetic shapes on CPU and CUDA</w:t>
            </w:r>
          </w:p>
        </w:tc>
      </w:tr>
    </w:tbl>
    <w:p>
      <w:pPr>
        <w:pStyle w:val="Heading1"/>
      </w:pPr>
      <w:r>
        <w:t>S12. Deterministic estimator validation</w:t>
      </w:r>
    </w:p>
    <w:p>
      <w:pPr/>
      <w:r>
        <w:t>Deterministic estimator comparison and approximate-solver agreement are separate questions. Table S7 contains only deterministic float64 CPU validation. rSVD is excluded and evaluated in Section S13.</w:t>
      </w:r>
    </w:p>
    <w:p>
      <w:pPr>
        <w:pStyle w:val="Caption"/>
      </w:pPr>
      <w:r>
        <w:t>Table S7. Definitive deterministic estimator-validation summary. Errors are worst observed values; angles are in degrees.</w:t>
      </w:r>
    </w:p>
    <w:tbl>
      <w:tblPr>
        <w:tblW w:type="auto" w:w="0"/>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cantSplit/>
        </w:trPr>
        <w:tc>
          <w:tcPr>
            <w:tcW w:type="dxa" w:w="1584"/>
            <w:vAlign w:val="center"/>
          </w:tcPr>
          <w:p>
            <w:pPr>
              <w:spacing w:before="0" w:after="0" w:line="240" w:lineRule="auto"/>
              <w:jc w:val="left"/>
            </w:pPr>
            <w:r>
              <w:rPr>
                <w:b/>
                <w:sz w:val="11"/>
              </w:rPr>
              <w:t>fastPLS scope</w:t>
            </w:r>
          </w:p>
        </w:tc>
        <w:tc>
          <w:tcPr>
            <w:tcW w:type="dxa" w:w="1584"/>
            <w:vAlign w:val="center"/>
          </w:tcPr>
          <w:p>
            <w:pPr>
              <w:spacing w:before="0" w:after="0" w:line="240" w:lineRule="auto"/>
              <w:jc w:val="center"/>
            </w:pPr>
            <w:r>
              <w:rPr>
                <w:b/>
                <w:sz w:val="11"/>
              </w:rPr>
              <w:t>Reference</w:t>
            </w:r>
          </w:p>
        </w:tc>
        <w:tc>
          <w:tcPr>
            <w:tcW w:type="dxa" w:w="1584"/>
            <w:vAlign w:val="center"/>
          </w:tcPr>
          <w:p>
            <w:pPr>
              <w:spacing w:before="0" w:after="0" w:line="240" w:lineRule="auto"/>
              <w:jc w:val="center"/>
            </w:pPr>
            <w:r>
              <w:t>Endpoint tolerance status</w:t>
            </w:r>
          </w:p>
        </w:tc>
        <w:tc>
          <w:tcPr>
            <w:tcW w:type="dxa" w:w="1584"/>
            <w:vAlign w:val="center"/>
          </w:tcPr>
          <w:p>
            <w:pPr>
              <w:spacing w:before="0" w:after="0" w:line="240" w:lineRule="auto"/>
              <w:jc w:val="center"/>
            </w:pPr>
            <w:r>
              <w:rPr>
                <w:b/>
                <w:sz w:val="11"/>
              </w:rPr>
              <w:t>Selection agreement</w:t>
            </w:r>
          </w:p>
        </w:tc>
        <w:tc>
          <w:tcPr>
            <w:tcW w:type="dxa" w:w="1584"/>
            <w:vAlign w:val="center"/>
          </w:tcPr>
          <w:p>
            <w:pPr>
              <w:spacing w:before="0" w:after="0" w:line="240" w:lineRule="auto"/>
              <w:jc w:val="center"/>
            </w:pPr>
            <w:r>
              <w:rPr>
                <w:b/>
                <w:sz w:val="11"/>
              </w:rPr>
              <w:t>Max pred. rel. error</w:t>
            </w:r>
          </w:p>
        </w:tc>
        <w:tc>
          <w:tcPr>
            <w:tcW w:type="dxa" w:w="1584"/>
            <w:vAlign w:val="center"/>
          </w:tcPr>
          <w:p>
            <w:pPr>
              <w:spacing w:before="0" w:after="0" w:line="240" w:lineRule="auto"/>
              <w:jc w:val="center"/>
            </w:pPr>
            <w:r>
              <w:rPr>
                <w:b/>
                <w:sz w:val="11"/>
              </w:rPr>
              <w:t>Max coef. rel. error</w:t>
            </w:r>
          </w:p>
        </w:tc>
        <w:tc>
          <w:tcPr>
            <w:tcW w:type="dxa" w:w="1584"/>
            <w:vAlign w:val="center"/>
          </w:tcPr>
          <w:p>
            <w:pPr>
              <w:spacing w:before="0" w:after="0" w:line="240" w:lineRule="auto"/>
              <w:jc w:val="center"/>
            </w:pPr>
            <w:r>
              <w:rPr>
                <w:b/>
                <w:sz w:val="11"/>
              </w:rPr>
              <w:t>Max angle</w:t>
            </w:r>
          </w:p>
        </w:tc>
        <w:tc>
          <w:tcPr>
            <w:tcW w:type="dxa" w:w="1584"/>
            <w:vAlign w:val="center"/>
          </w:tcPr>
          <w:p>
            <w:pPr>
              <w:spacing w:before="0" w:after="0" w:line="240" w:lineRule="auto"/>
              <w:jc w:val="center"/>
            </w:pPr>
            <w:r>
              <w:rPr>
                <w:b/>
                <w:sz w:val="11"/>
              </w:rPr>
              <w:t>Max metric diff.</w:t>
            </w:r>
          </w:p>
        </w:tc>
        <w:tc>
          <w:tcPr>
            <w:tcW w:type="dxa" w:w="1584"/>
            <w:vAlign w:val="center"/>
          </w:tcPr>
          <w:p>
            <w:pPr>
              <w:spacing w:before="0" w:after="0" w:line="240" w:lineRule="auto"/>
              <w:jc w:val="center"/>
            </w:pPr>
            <w:r>
              <w:rPr>
                <w:b/>
                <w:sz w:val="11"/>
              </w:rPr>
              <w:t>Conclusion</w:t>
            </w:r>
          </w:p>
        </w:tc>
      </w:tr>
      <w:tr>
        <w:trPr>
          <w:cantSplit/>
        </w:trPr>
        <w:tc>
          <w:tcPr>
            <w:tcW w:type="dxa" w:w="1584"/>
            <w:vAlign w:val="center"/>
          </w:tcPr>
          <w:p>
            <w:pPr>
              <w:spacing w:before="0" w:after="0" w:line="240" w:lineRule="auto"/>
              <w:jc w:val="left"/>
            </w:pPr>
            <w:r>
              <w:rPr>
                <w:b w:val="0"/>
                <w:sz w:val="11"/>
              </w:rPr>
              <w:t>SIMPLS / deterministic IRLBA</w:t>
            </w:r>
          </w:p>
        </w:tc>
        <w:tc>
          <w:tcPr>
            <w:tcW w:type="dxa" w:w="1584"/>
            <w:vAlign w:val="center"/>
          </w:tcPr>
          <w:p>
            <w:pPr>
              <w:spacing w:before="0" w:after="0" w:line="240" w:lineRule="auto"/>
              <w:jc w:val="center"/>
            </w:pPr>
            <w:r>
              <w:rPr>
                <w:b w:val="0"/>
                <w:sz w:val="11"/>
              </w:rPr>
              <w:t>pls::simpls.fit / de Jong</w:t>
            </w:r>
          </w:p>
        </w:tc>
        <w:tc>
          <w:tcPr>
            <w:tcW w:type="dxa" w:w="1584"/>
            <w:vAlign w:val="center"/>
          </w:tcPr>
          <w:p>
            <w:pPr>
              <w:spacing w:before="0" w:after="0" w:line="240" w:lineRule="auto"/>
              <w:jc w:val="center"/>
            </w:pPr>
            <w:r>
              <w:rPr>
                <w:b w:val="0"/>
                <w:sz w:val="11"/>
              </w:rPr>
              <w:t>117 / 117</w:t>
            </w:r>
          </w:p>
        </w:tc>
        <w:tc>
          <w:tcPr>
            <w:tcW w:type="dxa" w:w="1584"/>
            <w:vAlign w:val="center"/>
          </w:tcPr>
          <w:p>
            <w:pPr>
              <w:spacing w:before="0" w:after="0" w:line="240" w:lineRule="auto"/>
              <w:jc w:val="center"/>
            </w:pPr>
            <w:r>
              <w:rPr>
                <w:b w:val="0"/>
                <w:sz w:val="11"/>
              </w:rPr>
              <w:t>24 / 24</w:t>
            </w:r>
          </w:p>
        </w:tc>
        <w:tc>
          <w:tcPr>
            <w:tcW w:type="dxa" w:w="1584"/>
            <w:vAlign w:val="center"/>
          </w:tcPr>
          <w:p>
            <w:pPr>
              <w:spacing w:before="0" w:after="0" w:line="240" w:lineRule="auto"/>
              <w:jc w:val="center"/>
            </w:pPr>
            <w:r>
              <w:rPr>
                <w:b w:val="0"/>
                <w:sz w:val="11"/>
              </w:rPr>
              <w:t>1.09e-05</w:t>
            </w:r>
          </w:p>
        </w:tc>
        <w:tc>
          <w:tcPr>
            <w:tcW w:type="dxa" w:w="1584"/>
            <w:vAlign w:val="center"/>
          </w:tcPr>
          <w:p>
            <w:pPr>
              <w:spacing w:before="0" w:after="0" w:line="240" w:lineRule="auto"/>
              <w:jc w:val="center"/>
            </w:pPr>
            <w:r>
              <w:rPr>
                <w:b w:val="0"/>
                <w:sz w:val="11"/>
              </w:rPr>
              <w:t>1.13e-05</w:t>
            </w:r>
          </w:p>
        </w:tc>
        <w:tc>
          <w:tcPr>
            <w:tcW w:type="dxa" w:w="1584"/>
            <w:vAlign w:val="center"/>
          </w:tcPr>
          <w:p>
            <w:pPr>
              <w:spacing w:before="0" w:after="0" w:line="240" w:lineRule="auto"/>
              <w:jc w:val="center"/>
            </w:pPr>
            <w:r>
              <w:rPr>
                <w:b w:val="0"/>
                <w:sz w:val="11"/>
              </w:rPr>
              <w:t>0.0015</w:t>
            </w:r>
          </w:p>
        </w:tc>
        <w:tc>
          <w:tcPr>
            <w:tcW w:type="dxa" w:w="1584"/>
            <w:vAlign w:val="center"/>
          </w:tcPr>
          <w:p>
            <w:pPr>
              <w:spacing w:before="0" w:after="0" w:line="240" w:lineRule="auto"/>
              <w:jc w:val="center"/>
            </w:pPr>
            <w:r>
              <w:rPr>
                <w:b w:val="0"/>
                <w:sz w:val="11"/>
              </w:rPr>
              <w:t>1.92e-06</w:t>
            </w:r>
          </w:p>
        </w:tc>
        <w:tc>
          <w:tcPr>
            <w:tcW w:type="dxa" w:w="1584"/>
            <w:vAlign w:val="center"/>
          </w:tcPr>
          <w:p>
            <w:pPr>
              <w:spacing w:before="0" w:after="0" w:line="240" w:lineRule="auto"/>
              <w:jc w:val="center"/>
            </w:pPr>
            <w:r>
              <w:t>Met deterministic tolerances</w:t>
            </w:r>
          </w:p>
        </w:tc>
      </w:tr>
      <w:tr>
        <w:trPr>
          <w:cantSplit/>
        </w:trPr>
        <w:tc>
          <w:tcPr>
            <w:tcW w:type="dxa" w:w="1584"/>
            <w:vAlign w:val="center"/>
          </w:tcPr>
          <w:p>
            <w:pPr>
              <w:spacing w:before="0" w:after="0" w:line="240" w:lineRule="auto"/>
              <w:jc w:val="left"/>
            </w:pPr>
            <w:r>
              <w:rPr>
                <w:b w:val="0"/>
                <w:sz w:val="11"/>
              </w:rPr>
              <w:t>OPLS (north 1-3) and kernel PLS (8 settings)</w:t>
            </w:r>
          </w:p>
        </w:tc>
        <w:tc>
          <w:tcPr>
            <w:tcW w:type="dxa" w:w="1584"/>
            <w:vAlign w:val="center"/>
          </w:tcPr>
          <w:p>
            <w:pPr>
              <w:spacing w:before="0" w:after="0" w:line="240" w:lineRule="auto"/>
              <w:jc w:val="center"/>
            </w:pPr>
            <w:r>
              <w:rPr>
                <w:b w:val="0"/>
                <w:sz w:val="11"/>
              </w:rPr>
              <w:t>Independent filter/kernel + pls::simpls.fit</w:t>
            </w:r>
          </w:p>
        </w:tc>
        <w:tc>
          <w:tcPr>
            <w:tcW w:type="dxa" w:w="1584"/>
            <w:vAlign w:val="center"/>
          </w:tcPr>
          <w:p>
            <w:pPr>
              <w:spacing w:before="0" w:after="0" w:line="240" w:lineRule="auto"/>
              <w:jc w:val="center"/>
            </w:pPr>
            <w:r>
              <w:rPr>
                <w:b w:val="0"/>
                <w:sz w:val="11"/>
              </w:rPr>
              <w:t>66 / 66</w:t>
            </w:r>
          </w:p>
        </w:tc>
        <w:tc>
          <w:tcPr>
            <w:tcW w:type="dxa" w:w="1584"/>
            <w:vAlign w:val="center"/>
          </w:tcPr>
          <w:p>
            <w:pPr>
              <w:spacing w:before="0" w:after="0" w:line="240" w:lineRule="auto"/>
              <w:jc w:val="center"/>
            </w:pPr>
            <w:r>
              <w:rPr>
                <w:b w:val="0"/>
                <w:sz w:val="11"/>
              </w:rPr>
              <w:t>66 / 66</w:t>
            </w:r>
          </w:p>
        </w:tc>
        <w:tc>
          <w:tcPr>
            <w:tcW w:type="dxa" w:w="1584"/>
            <w:vAlign w:val="center"/>
          </w:tcPr>
          <w:p>
            <w:pPr>
              <w:spacing w:before="0" w:after="0" w:line="240" w:lineRule="auto"/>
              <w:jc w:val="center"/>
            </w:pPr>
            <w:r>
              <w:rPr>
                <w:b w:val="0"/>
                <w:sz w:val="11"/>
              </w:rPr>
              <w:t>9.48e-12</w:t>
            </w:r>
          </w:p>
        </w:tc>
        <w:tc>
          <w:tcPr>
            <w:tcW w:type="dxa" w:w="1584"/>
            <w:vAlign w:val="center"/>
          </w:tcPr>
          <w:p>
            <w:pPr>
              <w:spacing w:before="0" w:after="0" w:line="240" w:lineRule="auto"/>
              <w:jc w:val="center"/>
            </w:pPr>
            <w:r>
              <w:rPr>
                <w:b w:val="0"/>
                <w:sz w:val="11"/>
              </w:rPr>
              <w:t>3.07e-10</w:t>
            </w:r>
          </w:p>
        </w:tc>
        <w:tc>
          <w:tcPr>
            <w:tcW w:type="dxa" w:w="1584"/>
            <w:vAlign w:val="center"/>
          </w:tcPr>
          <w:p>
            <w:pPr>
              <w:spacing w:before="0" w:after="0" w:line="240" w:lineRule="auto"/>
              <w:jc w:val="center"/>
            </w:pPr>
            <w:r>
              <w:rPr>
                <w:b w:val="0"/>
                <w:sz w:val="11"/>
              </w:rPr>
              <w:t>2.41e-06</w:t>
            </w:r>
          </w:p>
        </w:tc>
        <w:tc>
          <w:tcPr>
            <w:tcW w:type="dxa" w:w="1584"/>
            <w:vAlign w:val="center"/>
          </w:tcPr>
          <w:p>
            <w:pPr>
              <w:spacing w:before="0" w:after="0" w:line="240" w:lineRule="auto"/>
              <w:jc w:val="center"/>
            </w:pPr>
            <w:r>
              <w:rPr>
                <w:b w:val="0"/>
                <w:sz w:val="11"/>
              </w:rPr>
              <w:t>3.19e-12</w:t>
            </w:r>
          </w:p>
        </w:tc>
        <w:tc>
          <w:tcPr>
            <w:tcW w:type="dxa" w:w="1584"/>
            <w:vAlign w:val="center"/>
          </w:tcPr>
          <w:p>
            <w:pPr>
              <w:spacing w:before="0" w:after="0" w:line="240" w:lineRule="auto"/>
              <w:jc w:val="center"/>
            </w:pPr>
            <w:r>
              <w:rPr>
                <w:b w:val="0"/>
                <w:sz w:val="11"/>
              </w:rPr>
              <w:t>Reliable in deterministic float64 CPU scope</w:t>
            </w:r>
          </w:p>
        </w:tc>
      </w:tr>
    </w:tbl>
    <w:p>
      <w:pPr>
        <w:pStyle w:val="Heading2"/>
      </w:pPr>
      <w:r>
        <w:t>S12.1 Execution ablation and direct PLS-family timing</w:t>
      </w:r>
    </w:p>
    <w:p>
      <w:r>
        <w:t>Each ablation changed one internal execution feature while keeping the data, split, SIMPLS estimator, deterministic IRLBA solver, component count, seed, and prediction head fixed. Three isolated runs were used per configuration. Speed-up is reference time divided by optimized time; positive RSS reduction denotes a lower fit-window incremental peak. Results show that memory reduction and speed are separate and matrix-shape dependent.</w:t>
      </w:r>
    </w:p>
    <w:p>
      <w:r>
        <w:t>Table S7a. Same-code SIMPLS execution ablation. All endpoint metric differences were zero and minimum classification agreement was 1.000.</w:t>
      </w:r>
    </w:p>
    <w:tbl>
      <w:tblPr>
        <w:tblW w:type="auto" w:w="0"/>
        <w:tblLook w:firstColumn="1" w:firstRow="1" w:lastColumn="0" w:lastRow="0" w:noHBand="0" w:noVBand="1" w:val="04A0"/>
      </w:tblPr>
      <w:tblGrid>
        <w:gridCol w:w="2851"/>
        <w:gridCol w:w="2851"/>
        <w:gridCol w:w="2851"/>
        <w:gridCol w:w="2851"/>
        <w:gridCol w:w="2851"/>
      </w:tblGrid>
      <w:tr>
        <w:tc>
          <w:tcPr>
            <w:tcW w:type="dxa" w:w="1800"/>
            <w:vAlign w:val="center"/>
          </w:tcPr>
          <w:p>
            <w:pPr>
              <w:spacing w:before="0" w:after="0"/>
            </w:pPr>
            <w:r>
              <w:rPr>
                <w:b/>
                <w:sz w:val="14"/>
              </w:rPr>
              <w:t>Optimization</w:t>
            </w:r>
          </w:p>
        </w:tc>
        <w:tc>
          <w:tcPr>
            <w:tcW w:type="dxa" w:w="936"/>
            <w:vAlign w:val="center"/>
          </w:tcPr>
          <w:p>
            <w:pPr>
              <w:spacing w:before="0" w:after="0"/>
            </w:pPr>
            <w:r>
              <w:rPr>
                <w:b/>
                <w:sz w:val="14"/>
              </w:rPr>
              <w:t>Datasets</w:t>
            </w:r>
          </w:p>
        </w:tc>
        <w:tc>
          <w:tcPr>
            <w:tcW w:type="dxa" w:w="1440"/>
            <w:vAlign w:val="center"/>
          </w:tcPr>
          <w:p>
            <w:pPr>
              <w:spacing w:before="0" w:after="0"/>
            </w:pPr>
            <w:r>
              <w:rPr>
                <w:b/>
                <w:sz w:val="14"/>
              </w:rPr>
              <w:t>Time speed-up range</w:t>
            </w:r>
          </w:p>
        </w:tc>
        <w:tc>
          <w:tcPr>
            <w:tcW w:type="dxa" w:w="1584"/>
            <w:vAlign w:val="center"/>
          </w:tcPr>
          <w:p>
            <w:pPr>
              <w:spacing w:before="0" w:after="0"/>
            </w:pPr>
            <w:r>
              <w:rPr>
                <w:b/>
                <w:sz w:val="14"/>
              </w:rPr>
              <w:t>Incremental RSS reduction</w:t>
            </w:r>
          </w:p>
        </w:tc>
        <w:tc>
          <w:tcPr>
            <w:tcW w:type="dxa" w:w="3168"/>
            <w:vAlign w:val="center"/>
          </w:tcPr>
          <w:p>
            <w:pPr>
              <w:spacing w:before="0" w:after="0"/>
            </w:pPr>
            <w:r>
              <w:rPr>
                <w:b/>
                <w:sz w:val="14"/>
              </w:rPr>
              <w:t>Interpretation</w:t>
            </w:r>
          </w:p>
        </w:tc>
      </w:tr>
      <w:tr>
        <w:tc>
          <w:tcPr>
            <w:tcW w:type="dxa" w:w="1800"/>
            <w:vAlign w:val="center"/>
          </w:tcPr>
          <w:p>
            <w:pPr>
              <w:spacing w:before="0" w:after="0"/>
            </w:pPr>
            <w:r>
              <w:rPr>
                <w:b w:val="0"/>
                <w:sz w:val="13"/>
              </w:rPr>
              <w:t>Cached deflation products</w:t>
            </w:r>
          </w:p>
        </w:tc>
        <w:tc>
          <w:tcPr>
            <w:tcW w:type="dxa" w:w="936"/>
            <w:vAlign w:val="center"/>
          </w:tcPr>
          <w:p>
            <w:pPr>
              <w:spacing w:before="0" w:after="0"/>
            </w:pPr>
            <w:r>
              <w:rPr>
                <w:b w:val="0"/>
                <w:sz w:val="13"/>
              </w:rPr>
              <w:t>4</w:t>
            </w:r>
          </w:p>
        </w:tc>
        <w:tc>
          <w:tcPr>
            <w:tcW w:type="dxa" w:w="1440"/>
            <w:vAlign w:val="center"/>
          </w:tcPr>
          <w:p>
            <w:pPr>
              <w:spacing w:before="0" w:after="0"/>
            </w:pPr>
            <w:r>
              <w:rPr>
                <w:b w:val="0"/>
                <w:sz w:val="13"/>
              </w:rPr>
              <w:t>0.94-1.02x</w:t>
            </w:r>
          </w:p>
        </w:tc>
        <w:tc>
          <w:tcPr>
            <w:tcW w:type="dxa" w:w="1584"/>
            <w:vAlign w:val="center"/>
          </w:tcPr>
          <w:p>
            <w:pPr>
              <w:spacing w:before="0" w:after="0"/>
            </w:pPr>
            <w:r>
              <w:rPr>
                <w:b w:val="0"/>
                <w:sz w:val="13"/>
              </w:rPr>
              <w:t>0.16-70.60%</w:t>
            </w:r>
          </w:p>
        </w:tc>
        <w:tc>
          <w:tcPr>
            <w:tcW w:type="dxa" w:w="3168"/>
            <w:vAlign w:val="center"/>
          </w:tcPr>
          <w:p>
            <w:pPr>
              <w:spacing w:before="0" w:after="0"/>
            </w:pPr>
            <w:r>
              <w:rPr>
                <w:b w:val="0"/>
                <w:sz w:val="13"/>
              </w:rPr>
              <w:t>Memory benefit; no uniform time gain</w:t>
            </w:r>
          </w:p>
        </w:tc>
      </w:tr>
      <w:tr>
        <w:tc>
          <w:tcPr>
            <w:tcW w:type="dxa" w:w="1800"/>
            <w:vAlign w:val="center"/>
          </w:tcPr>
          <w:p>
            <w:pPr>
              <w:spacing w:before="0" w:after="0"/>
            </w:pPr>
            <w:r>
              <w:rPr>
                <w:b w:val="0"/>
                <w:sz w:val="13"/>
              </w:rPr>
              <w:t>Cached X-transpose-X</w:t>
            </w:r>
          </w:p>
        </w:tc>
        <w:tc>
          <w:tcPr>
            <w:tcW w:type="dxa" w:w="936"/>
            <w:vAlign w:val="center"/>
          </w:tcPr>
          <w:p>
            <w:pPr>
              <w:spacing w:before="0" w:after="0"/>
            </w:pPr>
            <w:r>
              <w:rPr>
                <w:b w:val="0"/>
                <w:sz w:val="13"/>
              </w:rPr>
              <w:t>4 (active in 1)</w:t>
            </w:r>
          </w:p>
        </w:tc>
        <w:tc>
          <w:tcPr>
            <w:tcW w:type="dxa" w:w="1440"/>
            <w:vAlign w:val="center"/>
          </w:tcPr>
          <w:p>
            <w:pPr>
              <w:spacing w:before="0" w:after="0"/>
            </w:pPr>
            <w:r>
              <w:rPr>
                <w:b w:val="0"/>
                <w:sz w:val="13"/>
              </w:rPr>
              <w:t>0.99-1.00x</w:t>
            </w:r>
          </w:p>
        </w:tc>
        <w:tc>
          <w:tcPr>
            <w:tcW w:type="dxa" w:w="1584"/>
            <w:vAlign w:val="center"/>
          </w:tcPr>
          <w:p>
            <w:pPr>
              <w:spacing w:before="0" w:after="0"/>
            </w:pPr>
            <w:r>
              <w:rPr>
                <w:b w:val="0"/>
                <w:sz w:val="13"/>
              </w:rPr>
              <w:t>-0.06-0.57%</w:t>
            </w:r>
          </w:p>
        </w:tc>
        <w:tc>
          <w:tcPr>
            <w:tcW w:type="dxa" w:w="3168"/>
            <w:vAlign w:val="center"/>
          </w:tcPr>
          <w:p>
            <w:pPr>
              <w:spacing w:before="0" w:after="0"/>
            </w:pPr>
            <w:r>
              <w:rPr>
                <w:b w:val="0"/>
                <w:sz w:val="13"/>
              </w:rPr>
              <w:t>Shape-gated; negligible in this panel</w:t>
            </w:r>
          </w:p>
        </w:tc>
      </w:tr>
      <w:tr>
        <w:tc>
          <w:tcPr>
            <w:tcW w:type="dxa" w:w="1800"/>
            <w:vAlign w:val="center"/>
          </w:tcPr>
          <w:p>
            <w:pPr>
              <w:spacing w:before="0" w:after="0"/>
            </w:pPr>
            <w:r>
              <w:rPr>
                <w:b w:val="0"/>
                <w:sz w:val="13"/>
              </w:rPr>
              <w:t>Compact prediction</w:t>
            </w:r>
          </w:p>
        </w:tc>
        <w:tc>
          <w:tcPr>
            <w:tcW w:type="dxa" w:w="936"/>
            <w:vAlign w:val="center"/>
          </w:tcPr>
          <w:p>
            <w:pPr>
              <w:spacing w:before="0" w:after="0"/>
            </w:pPr>
            <w:r>
              <w:rPr>
                <w:b w:val="0"/>
                <w:sz w:val="13"/>
              </w:rPr>
              <w:t>4</w:t>
            </w:r>
          </w:p>
        </w:tc>
        <w:tc>
          <w:tcPr>
            <w:tcW w:type="dxa" w:w="1440"/>
            <w:vAlign w:val="center"/>
          </w:tcPr>
          <w:p>
            <w:pPr>
              <w:spacing w:before="0" w:after="0"/>
            </w:pPr>
            <w:r>
              <w:rPr>
                <w:b w:val="0"/>
                <w:sz w:val="13"/>
              </w:rPr>
              <w:t>0.97-1.24x</w:t>
            </w:r>
          </w:p>
        </w:tc>
        <w:tc>
          <w:tcPr>
            <w:tcW w:type="dxa" w:w="1584"/>
            <w:vAlign w:val="center"/>
          </w:tcPr>
          <w:p>
            <w:pPr>
              <w:spacing w:before="0" w:after="0"/>
            </w:pPr>
            <w:r>
              <w:rPr>
                <w:b w:val="0"/>
                <w:sz w:val="13"/>
              </w:rPr>
              <w:t>-0.02-77.71%</w:t>
            </w:r>
          </w:p>
        </w:tc>
        <w:tc>
          <w:tcPr>
            <w:tcW w:type="dxa" w:w="3168"/>
            <w:vAlign w:val="center"/>
          </w:tcPr>
          <w:p>
            <w:pPr>
              <w:spacing w:before="0" w:after="0"/>
            </w:pPr>
            <w:r>
              <w:rPr>
                <w:b w:val="0"/>
                <w:sz w:val="13"/>
              </w:rPr>
              <w:t>Largest benefit for high-response PRISM</w:t>
            </w:r>
          </w:p>
        </w:tc>
      </w:tr>
      <w:tr>
        <w:tc>
          <w:tcPr>
            <w:tcW w:type="dxa" w:w="1800"/>
            <w:vAlign w:val="center"/>
          </w:tcPr>
          <w:p>
            <w:pPr>
              <w:spacing w:before="0" w:after="0"/>
            </w:pPr>
            <w:r>
              <w:rPr>
                <w:b w:val="0"/>
                <w:sz w:val="13"/>
              </w:rPr>
              <w:t>Incremental coefficients</w:t>
            </w:r>
          </w:p>
        </w:tc>
        <w:tc>
          <w:tcPr>
            <w:tcW w:type="dxa" w:w="936"/>
            <w:vAlign w:val="center"/>
          </w:tcPr>
          <w:p>
            <w:pPr>
              <w:spacing w:before="0" w:after="0"/>
            </w:pPr>
            <w:r>
              <w:rPr>
                <w:b w:val="0"/>
                <w:sz w:val="13"/>
              </w:rPr>
              <w:t>4</w:t>
            </w:r>
          </w:p>
        </w:tc>
        <w:tc>
          <w:tcPr>
            <w:tcW w:type="dxa" w:w="1440"/>
            <w:vAlign w:val="center"/>
          </w:tcPr>
          <w:p>
            <w:pPr>
              <w:spacing w:before="0" w:after="0"/>
            </w:pPr>
            <w:r>
              <w:rPr>
                <w:b w:val="0"/>
                <w:sz w:val="13"/>
              </w:rPr>
              <w:t>0.99-1.07x</w:t>
            </w:r>
          </w:p>
        </w:tc>
        <w:tc>
          <w:tcPr>
            <w:tcW w:type="dxa" w:w="1584"/>
            <w:vAlign w:val="center"/>
          </w:tcPr>
          <w:p>
            <w:pPr>
              <w:spacing w:before="0" w:after="0"/>
            </w:pPr>
            <w:r>
              <w:rPr>
                <w:b w:val="0"/>
                <w:sz w:val="13"/>
              </w:rPr>
              <w:t>-3.66-2.68%</w:t>
            </w:r>
          </w:p>
        </w:tc>
        <w:tc>
          <w:tcPr>
            <w:tcW w:type="dxa" w:w="3168"/>
            <w:vAlign w:val="center"/>
          </w:tcPr>
          <w:p>
            <w:pPr>
              <w:spacing w:before="0" w:after="0"/>
            </w:pPr>
            <w:r>
              <w:rPr>
                <w:b w:val="0"/>
                <w:sz w:val="13"/>
              </w:rPr>
              <w:t>Small isolated effect</w:t>
            </w:r>
          </w:p>
        </w:tc>
      </w:tr>
      <w:tr>
        <w:tc>
          <w:tcPr>
            <w:tcW w:type="dxa" w:w="1800"/>
            <w:vAlign w:val="center"/>
          </w:tcPr>
          <w:p>
            <w:pPr>
              <w:spacing w:before="0" w:after="0"/>
            </w:pPr>
            <w:r>
              <w:rPr>
                <w:b w:val="0"/>
                <w:sz w:val="13"/>
              </w:rPr>
              <w:t>Implicit cross-covariance</w:t>
            </w:r>
          </w:p>
        </w:tc>
        <w:tc>
          <w:tcPr>
            <w:tcW w:type="dxa" w:w="936"/>
            <w:vAlign w:val="center"/>
          </w:tcPr>
          <w:p>
            <w:pPr>
              <w:spacing w:before="0" w:after="0"/>
            </w:pPr>
            <w:r>
              <w:rPr>
                <w:b w:val="0"/>
                <w:sz w:val="13"/>
              </w:rPr>
              <w:t>4</w:t>
            </w:r>
          </w:p>
        </w:tc>
        <w:tc>
          <w:tcPr>
            <w:tcW w:type="dxa" w:w="1440"/>
            <w:vAlign w:val="center"/>
          </w:tcPr>
          <w:p>
            <w:pPr>
              <w:spacing w:before="0" w:after="0"/>
            </w:pPr>
            <w:r>
              <w:rPr>
                <w:b w:val="0"/>
                <w:sz w:val="13"/>
              </w:rPr>
              <w:t>0.065-6.24x</w:t>
            </w:r>
          </w:p>
        </w:tc>
        <w:tc>
          <w:tcPr>
            <w:tcW w:type="dxa" w:w="1584"/>
            <w:vAlign w:val="center"/>
          </w:tcPr>
          <w:p>
            <w:pPr>
              <w:spacing w:before="0" w:after="0"/>
            </w:pPr>
            <w:r>
              <w:rPr>
                <w:b w:val="0"/>
                <w:sz w:val="13"/>
              </w:rPr>
              <w:t>0.12-70.64%</w:t>
            </w:r>
          </w:p>
        </w:tc>
        <w:tc>
          <w:tcPr>
            <w:tcW w:type="dxa" w:w="3168"/>
            <w:vAlign w:val="center"/>
          </w:tcPr>
          <w:p>
            <w:pPr>
              <w:spacing w:before="0" w:after="0"/>
            </w:pPr>
            <w:r>
              <w:rPr>
                <w:b w:val="0"/>
                <w:sz w:val="13"/>
              </w:rPr>
              <w:t>Faster only in the high-response regime</w:t>
            </w:r>
          </w:p>
        </w:tc>
      </w:tr>
    </w:tbl>
    <w:p>
      <w:r>
        <w:t>The matched PLS-family timing study used the same synthetic matrices, requested components, rSVD controls (oversampling 10, one power iteration, seeds 101-103), split, and backend for PLS-SVD and SIMPLS. The two estimators can differ predictively; this experiment compares execution time only.</w:t>
      </w:r>
    </w:p>
    <w:p>
      <w:r>
        <w:t>Table S7b. Direct matched-shape runtime comparison. Ratios are SIMPLS time divided by PLS-SVD time; values below one favor SIMPLS.</w:t>
      </w:r>
    </w:p>
    <w:tbl>
      <w:tblPr>
        <w:tblW w:type="auto" w:w="0"/>
        <w:tblLook w:firstColumn="1" w:firstRow="1" w:lastColumn="0" w:lastRow="0" w:noHBand="0" w:noVBand="1" w:val="04A0"/>
      </w:tblPr>
      <w:tblGrid>
        <w:gridCol w:w="2851"/>
        <w:gridCol w:w="2851"/>
        <w:gridCol w:w="2851"/>
        <w:gridCol w:w="2851"/>
        <w:gridCol w:w="2851"/>
      </w:tblGrid>
      <w:tr>
        <w:tc>
          <w:tcPr>
            <w:tcW w:type="dxa" w:w="1656"/>
            <w:vAlign w:val="center"/>
          </w:tcPr>
          <w:p>
            <w:pPr>
              <w:spacing w:before="0" w:after="0"/>
            </w:pPr>
            <w:r>
              <w:rPr>
                <w:b/>
                <w:sz w:val="14"/>
              </w:rPr>
              <w:t>Shape</w:t>
            </w:r>
          </w:p>
        </w:tc>
        <w:tc>
          <w:tcPr>
            <w:tcW w:type="dxa" w:w="2088"/>
            <w:vAlign w:val="center"/>
          </w:tcPr>
          <w:p>
            <w:pPr>
              <w:spacing w:before="0" w:after="0"/>
            </w:pPr>
            <w:r>
              <w:rPr>
                <w:b/>
                <w:sz w:val="14"/>
              </w:rPr>
              <w:t>n / p / q / A</w:t>
            </w:r>
          </w:p>
        </w:tc>
        <w:tc>
          <w:tcPr>
            <w:tcW w:type="dxa" w:w="1152"/>
            <w:vAlign w:val="center"/>
          </w:tcPr>
          <w:p>
            <w:pPr>
              <w:spacing w:before="0" w:after="0"/>
            </w:pPr>
            <w:r>
              <w:rPr>
                <w:b/>
                <w:sz w:val="14"/>
              </w:rPr>
              <w:t>CPU ratio</w:t>
            </w:r>
          </w:p>
        </w:tc>
        <w:tc>
          <w:tcPr>
            <w:tcW w:type="dxa" w:w="1152"/>
            <w:vAlign w:val="center"/>
          </w:tcPr>
          <w:p>
            <w:pPr>
              <w:spacing w:before="0" w:after="0"/>
            </w:pPr>
            <w:r>
              <w:rPr>
                <w:b/>
                <w:sz w:val="14"/>
              </w:rPr>
              <w:t>CUDA ratio</w:t>
            </w:r>
          </w:p>
        </w:tc>
        <w:tc>
          <w:tcPr>
            <w:tcW w:type="dxa" w:w="2448"/>
            <w:vAlign w:val="center"/>
          </w:tcPr>
          <w:p>
            <w:pPr>
              <w:spacing w:before="0" w:after="0"/>
            </w:pPr>
            <w:r>
              <w:rPr>
                <w:b/>
                <w:sz w:val="14"/>
              </w:rPr>
              <w:t>Interpretation</w:t>
            </w:r>
          </w:p>
        </w:tc>
      </w:tr>
      <w:tr>
        <w:tc>
          <w:tcPr>
            <w:tcW w:type="dxa" w:w="1656"/>
            <w:vAlign w:val="center"/>
          </w:tcPr>
          <w:p>
            <w:pPr>
              <w:spacing w:before="0" w:after="0"/>
            </w:pPr>
            <w:r>
              <w:rPr>
                <w:b w:val="0"/>
                <w:sz w:val="13"/>
              </w:rPr>
              <w:t>Wide</w:t>
            </w:r>
          </w:p>
        </w:tc>
        <w:tc>
          <w:tcPr>
            <w:tcW w:type="dxa" w:w="2088"/>
            <w:vAlign w:val="center"/>
          </w:tcPr>
          <w:p>
            <w:pPr>
              <w:spacing w:before="0" w:after="0"/>
            </w:pPr>
            <w:r>
              <w:rPr>
                <w:b w:val="0"/>
                <w:sz w:val="13"/>
              </w:rPr>
              <w:t>400 / 2000 / 20 / 10</w:t>
            </w:r>
          </w:p>
        </w:tc>
        <w:tc>
          <w:tcPr>
            <w:tcW w:type="dxa" w:w="1152"/>
            <w:vAlign w:val="center"/>
          </w:tcPr>
          <w:p>
            <w:pPr>
              <w:spacing w:before="0" w:after="0"/>
            </w:pPr>
            <w:r>
              <w:rPr>
                <w:b w:val="0"/>
                <w:sz w:val="13"/>
              </w:rPr>
              <w:t>1.18</w:t>
            </w:r>
          </w:p>
        </w:tc>
        <w:tc>
          <w:tcPr>
            <w:tcW w:type="dxa" w:w="1152"/>
            <w:vAlign w:val="center"/>
          </w:tcPr>
          <w:p>
            <w:pPr>
              <w:spacing w:before="0" w:after="0"/>
            </w:pPr>
            <w:r>
              <w:rPr>
                <w:b w:val="0"/>
                <w:sz w:val="13"/>
              </w:rPr>
              <w:t>0.93</w:t>
            </w:r>
          </w:p>
        </w:tc>
        <w:tc>
          <w:tcPr>
            <w:tcW w:type="dxa" w:w="2448"/>
            <w:vAlign w:val="center"/>
          </w:tcPr>
          <w:p>
            <w:pPr>
              <w:spacing w:before="0" w:after="0"/>
            </w:pPr>
            <w:r>
              <w:rPr>
                <w:b w:val="0"/>
                <w:sz w:val="13"/>
              </w:rPr>
              <w:t>Near parity</w:t>
            </w:r>
          </w:p>
        </w:tc>
      </w:tr>
      <w:tr>
        <w:tc>
          <w:tcPr>
            <w:tcW w:type="dxa" w:w="1656"/>
            <w:vAlign w:val="center"/>
          </w:tcPr>
          <w:p>
            <w:pPr>
              <w:spacing w:before="0" w:after="0"/>
            </w:pPr>
            <w:r>
              <w:rPr>
                <w:b w:val="0"/>
                <w:sz w:val="13"/>
              </w:rPr>
              <w:t>Tall-thin</w:t>
            </w:r>
          </w:p>
        </w:tc>
        <w:tc>
          <w:tcPr>
            <w:tcW w:type="dxa" w:w="2088"/>
            <w:vAlign w:val="center"/>
          </w:tcPr>
          <w:p>
            <w:pPr>
              <w:spacing w:before="0" w:after="0"/>
            </w:pPr>
            <w:r>
              <w:rPr>
                <w:b w:val="0"/>
                <w:sz w:val="13"/>
              </w:rPr>
              <w:t>5000 / 50 / 20 / 10</w:t>
            </w:r>
          </w:p>
        </w:tc>
        <w:tc>
          <w:tcPr>
            <w:tcW w:type="dxa" w:w="1152"/>
            <w:vAlign w:val="center"/>
          </w:tcPr>
          <w:p>
            <w:pPr>
              <w:spacing w:before="0" w:after="0"/>
            </w:pPr>
            <w:r>
              <w:rPr>
                <w:b w:val="0"/>
                <w:sz w:val="13"/>
              </w:rPr>
              <w:t>1.00</w:t>
            </w:r>
          </w:p>
        </w:tc>
        <w:tc>
          <w:tcPr>
            <w:tcW w:type="dxa" w:w="1152"/>
            <w:vAlign w:val="center"/>
          </w:tcPr>
          <w:p>
            <w:pPr>
              <w:spacing w:before="0" w:after="0"/>
            </w:pPr>
            <w:r>
              <w:rPr>
                <w:b w:val="0"/>
                <w:sz w:val="13"/>
              </w:rPr>
              <w:t>0.94</w:t>
            </w:r>
          </w:p>
        </w:tc>
        <w:tc>
          <w:tcPr>
            <w:tcW w:type="dxa" w:w="2448"/>
            <w:vAlign w:val="center"/>
          </w:tcPr>
          <w:p>
            <w:pPr>
              <w:spacing w:before="0" w:after="0"/>
            </w:pPr>
            <w:r>
              <w:rPr>
                <w:b w:val="0"/>
                <w:sz w:val="13"/>
              </w:rPr>
              <w:t>Near parity</w:t>
            </w:r>
          </w:p>
        </w:tc>
      </w:tr>
      <w:tr>
        <w:tc>
          <w:tcPr>
            <w:tcW w:type="dxa" w:w="1656"/>
            <w:vAlign w:val="center"/>
          </w:tcPr>
          <w:p>
            <w:pPr>
              <w:spacing w:before="0" w:after="0"/>
            </w:pPr>
            <w:r>
              <w:rPr>
                <w:b w:val="0"/>
                <w:sz w:val="13"/>
              </w:rPr>
              <w:t>High response</w:t>
            </w:r>
          </w:p>
        </w:tc>
        <w:tc>
          <w:tcPr>
            <w:tcW w:type="dxa" w:w="2088"/>
            <w:vAlign w:val="center"/>
          </w:tcPr>
          <w:p>
            <w:pPr>
              <w:spacing w:before="0" w:after="0"/>
            </w:pPr>
            <w:r>
              <w:rPr>
                <w:b w:val="0"/>
                <w:sz w:val="13"/>
              </w:rPr>
              <w:t>1000 / 300 / 500 / 50</w:t>
            </w:r>
          </w:p>
        </w:tc>
        <w:tc>
          <w:tcPr>
            <w:tcW w:type="dxa" w:w="1152"/>
            <w:vAlign w:val="center"/>
          </w:tcPr>
          <w:p>
            <w:pPr>
              <w:spacing w:before="0" w:after="0"/>
            </w:pPr>
            <w:r>
              <w:rPr>
                <w:b w:val="0"/>
                <w:sz w:val="13"/>
              </w:rPr>
              <w:t>1.11</w:t>
            </w:r>
          </w:p>
        </w:tc>
        <w:tc>
          <w:tcPr>
            <w:tcW w:type="dxa" w:w="1152"/>
            <w:vAlign w:val="center"/>
          </w:tcPr>
          <w:p>
            <w:pPr>
              <w:spacing w:before="0" w:after="0"/>
            </w:pPr>
            <w:r>
              <w:rPr>
                <w:b w:val="0"/>
                <w:sz w:val="13"/>
              </w:rPr>
              <w:t>0.94</w:t>
            </w:r>
          </w:p>
        </w:tc>
        <w:tc>
          <w:tcPr>
            <w:tcW w:type="dxa" w:w="2448"/>
            <w:vAlign w:val="center"/>
          </w:tcPr>
          <w:p>
            <w:pPr>
              <w:spacing w:before="0" w:after="0"/>
            </w:pPr>
            <w:r>
              <w:rPr>
                <w:b w:val="0"/>
                <w:sz w:val="13"/>
              </w:rPr>
              <w:t>Near parity</w:t>
            </w:r>
          </w:p>
        </w:tc>
      </w:tr>
      <w:tr>
        <w:tc>
          <w:tcPr>
            <w:tcW w:type="dxa" w:w="1656"/>
            <w:vAlign w:val="center"/>
          </w:tcPr>
          <w:p>
            <w:pPr>
              <w:spacing w:before="0" w:after="0"/>
            </w:pPr>
            <w:r>
              <w:rPr>
                <w:b w:val="0"/>
                <w:sz w:val="13"/>
              </w:rPr>
              <w:t>Balanced</w:t>
            </w:r>
          </w:p>
        </w:tc>
        <w:tc>
          <w:tcPr>
            <w:tcW w:type="dxa" w:w="2088"/>
            <w:vAlign w:val="center"/>
          </w:tcPr>
          <w:p>
            <w:pPr>
              <w:spacing w:before="0" w:after="0"/>
            </w:pPr>
            <w:r>
              <w:rPr>
                <w:b w:val="0"/>
                <w:sz w:val="13"/>
              </w:rPr>
              <w:t>5000 / 500 / 50 / 50</w:t>
            </w:r>
          </w:p>
        </w:tc>
        <w:tc>
          <w:tcPr>
            <w:tcW w:type="dxa" w:w="1152"/>
            <w:vAlign w:val="center"/>
          </w:tcPr>
          <w:p>
            <w:pPr>
              <w:spacing w:before="0" w:after="0"/>
            </w:pPr>
            <w:r>
              <w:rPr>
                <w:b w:val="0"/>
                <w:sz w:val="13"/>
              </w:rPr>
              <w:t>3.84</w:t>
            </w:r>
          </w:p>
        </w:tc>
        <w:tc>
          <w:tcPr>
            <w:tcW w:type="dxa" w:w="1152"/>
            <w:vAlign w:val="center"/>
          </w:tcPr>
          <w:p>
            <w:pPr>
              <w:spacing w:before="0" w:after="0"/>
            </w:pPr>
            <w:r>
              <w:rPr>
                <w:b w:val="0"/>
                <w:sz w:val="13"/>
              </w:rPr>
              <w:t>0.98</w:t>
            </w:r>
          </w:p>
        </w:tc>
        <w:tc>
          <w:tcPr>
            <w:tcW w:type="dxa" w:w="2448"/>
            <w:vAlign w:val="center"/>
          </w:tcPr>
          <w:p>
            <w:pPr>
              <w:spacing w:before="0" w:after="0"/>
            </w:pPr>
            <w:r>
              <w:rPr>
                <w:b w:val="0"/>
                <w:sz w:val="13"/>
              </w:rPr>
              <w:t>CPU favors PLS-SVD</w:t>
            </w:r>
          </w:p>
        </w:tc>
      </w:tr>
      <w:tr>
        <w:tc>
          <w:tcPr>
            <w:tcW w:type="dxa" w:w="1656"/>
            <w:vAlign w:val="center"/>
          </w:tcPr>
          <w:p>
            <w:pPr>
              <w:spacing w:before="0" w:after="0"/>
            </w:pPr>
            <w:r>
              <w:rPr>
                <w:b w:val="0"/>
                <w:sz w:val="13"/>
              </w:rPr>
              <w:t>High components</w:t>
            </w:r>
          </w:p>
        </w:tc>
        <w:tc>
          <w:tcPr>
            <w:tcW w:type="dxa" w:w="2088"/>
            <w:vAlign w:val="center"/>
          </w:tcPr>
          <w:p>
            <w:pPr>
              <w:spacing w:before="0" w:after="0"/>
            </w:pPr>
            <w:r>
              <w:rPr>
                <w:b w:val="0"/>
                <w:sz w:val="13"/>
              </w:rPr>
              <w:t>3000 / 768 / 200 / 100</w:t>
            </w:r>
          </w:p>
        </w:tc>
        <w:tc>
          <w:tcPr>
            <w:tcW w:type="dxa" w:w="1152"/>
            <w:vAlign w:val="center"/>
          </w:tcPr>
          <w:p>
            <w:pPr>
              <w:spacing w:before="0" w:after="0"/>
            </w:pPr>
            <w:r>
              <w:rPr>
                <w:b w:val="0"/>
                <w:sz w:val="13"/>
              </w:rPr>
              <w:t>1.34</w:t>
            </w:r>
          </w:p>
        </w:tc>
        <w:tc>
          <w:tcPr>
            <w:tcW w:type="dxa" w:w="1152"/>
            <w:vAlign w:val="center"/>
          </w:tcPr>
          <w:p>
            <w:pPr>
              <w:spacing w:before="0" w:after="0"/>
            </w:pPr>
            <w:r>
              <w:rPr>
                <w:b w:val="0"/>
                <w:sz w:val="13"/>
              </w:rPr>
              <w:t>0.92</w:t>
            </w:r>
          </w:p>
        </w:tc>
        <w:tc>
          <w:tcPr>
            <w:tcW w:type="dxa" w:w="2448"/>
            <w:vAlign w:val="center"/>
          </w:tcPr>
          <w:p>
            <w:pPr>
              <w:spacing w:before="0" w:after="0"/>
            </w:pPr>
            <w:r>
              <w:rPr>
                <w:b w:val="0"/>
                <w:sz w:val="13"/>
              </w:rPr>
              <w:t>CUDA near parity</w:t>
            </w:r>
          </w:p>
        </w:tc>
      </w:tr>
    </w:tbl>
    <w:p>
      <w:pPr>
        <w:pStyle w:val="Heading1"/>
      </w:pPr>
      <w:r>
        <w:t>S13. Approximate rSVD reliability</w:t>
      </w:r>
    </w:p>
    <w:p>
      <w:pPr/>
      <w:r>
        <w:t>rSVD uses a fixed seed, Gaussian range sketch, oversampling, and power iterations. Qualification required all of the following: relative Frobenius prediction error &lt;= 0.05, prediction correlation &gt;= 0.99, each score/projection/loading subspace angle &lt;= 10 degrees, decoded-label agreement &gt;= 0.99, and absolute predictive-metric difference &lt;= 0.01. These prespecified values were computational non-inferiority screens rather than clinical or estimator-equivalence margins. The relative error is scale normalized but can conceal localized errors, so it was never interpreted without the endpoint-specific metric and, for classification, exact discordant counts. An agreement threshold of 0.99 permits no changed prediction for test sets smaller than 100 and at most one for n = 100. In the qualified CPU two-power analysis, the maximum relative error of 0.0332 occurred on MetRef at 18 components with zero label or accuracy change; the three 0.99-agreement endpoints each contained one discordant MetRef prediction among 100 and changed accuracy by zero or 0.01. The largest regression metric difference was 0.000693. Thus, qualification supports approximate computational use, not a claim that individual predictions are interchangeable. Deterministic IRLBA is recommended for confirmatory small-cohort or case-level inference.</w:t>
      </w:r>
    </w:p>
    <w:p>
      <w:pPr>
        <w:pStyle w:val="Caption"/>
      </w:pPr>
      <w:r>
        <w:t>Table S8. Definitive rSVD numerical-audit summary. CPU contains 117 component-level tests; CUDA contains eight task/endpoint tests per setting.</w:t>
      </w:r>
    </w:p>
    <w:tbl>
      <w:tblPr>
        <w:tblW w:type="auto" w:w="0"/>
        <w:tblLayout w:type="autofit"/>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cantSplit/>
        </w:trPr>
        <w:tc>
          <w:tcPr>
            <w:tcW w:type="dxa" w:w="1426"/>
            <w:vAlign w:val="center"/>
          </w:tcPr>
          <w:p>
            <w:pPr>
              <w:spacing w:before="0" w:after="0" w:line="240" w:lineRule="auto"/>
              <w:jc w:val="left"/>
            </w:pPr>
            <w:r>
              <w:rPr>
                <w:b/>
                <w:sz w:val="11"/>
              </w:rPr>
              <w:t>Backend</w:t>
            </w:r>
          </w:p>
        </w:tc>
        <w:tc>
          <w:tcPr>
            <w:tcW w:type="dxa" w:w="1426"/>
            <w:vAlign w:val="center"/>
          </w:tcPr>
          <w:p>
            <w:pPr>
              <w:spacing w:before="0" w:after="0" w:line="240" w:lineRule="auto"/>
              <w:jc w:val="center"/>
            </w:pPr>
            <w:r>
              <w:rPr>
                <w:b/>
                <w:sz w:val="11"/>
              </w:rPr>
              <w:t>Oversample</w:t>
            </w:r>
          </w:p>
        </w:tc>
        <w:tc>
          <w:tcPr>
            <w:tcW w:type="dxa" w:w="1426"/>
            <w:vAlign w:val="center"/>
          </w:tcPr>
          <w:p>
            <w:pPr>
              <w:spacing w:before="0" w:after="0" w:line="240" w:lineRule="auto"/>
              <w:jc w:val="center"/>
            </w:pPr>
            <w:r>
              <w:rPr>
                <w:b/>
                <w:sz w:val="11"/>
              </w:rPr>
              <w:t>Power</w:t>
            </w:r>
          </w:p>
        </w:tc>
        <w:tc>
          <w:tcPr>
            <w:tcW w:type="dxa" w:w="1426"/>
            <w:vAlign w:val="center"/>
          </w:tcPr>
          <w:p>
            <w:pPr>
              <w:spacing w:before="0" w:after="0" w:line="240" w:lineRule="auto"/>
              <w:jc w:val="center"/>
            </w:pPr>
            <w:r>
              <w:t>Tolerance checks met</w:t>
            </w:r>
          </w:p>
        </w:tc>
        <w:tc>
          <w:tcPr>
            <w:tcW w:type="dxa" w:w="1426"/>
            <w:vAlign w:val="center"/>
          </w:tcPr>
          <w:p>
            <w:pPr>
              <w:spacing w:before="0" w:after="0" w:line="240" w:lineRule="auto"/>
              <w:jc w:val="center"/>
            </w:pPr>
            <w:r>
              <w:rPr>
                <w:b/>
                <w:sz w:val="11"/>
              </w:rPr>
              <w:t>Max pred. rel. error</w:t>
            </w:r>
          </w:p>
        </w:tc>
        <w:tc>
          <w:tcPr>
            <w:tcW w:type="dxa" w:w="1426"/>
            <w:vAlign w:val="center"/>
          </w:tcPr>
          <w:p>
            <w:pPr>
              <w:spacing w:before="0" w:after="0" w:line="240" w:lineRule="auto"/>
              <w:jc w:val="center"/>
            </w:pPr>
            <w:r>
              <w:rPr>
                <w:b/>
                <w:sz w:val="11"/>
              </w:rPr>
              <w:t>Min pred. corr.</w:t>
            </w:r>
          </w:p>
        </w:tc>
        <w:tc>
          <w:tcPr>
            <w:tcW w:type="dxa" w:w="1426"/>
            <w:vAlign w:val="center"/>
          </w:tcPr>
          <w:p>
            <w:pPr>
              <w:spacing w:before="0" w:after="0" w:line="240" w:lineRule="auto"/>
              <w:jc w:val="center"/>
            </w:pPr>
            <w:r>
              <w:rPr>
                <w:b/>
                <w:sz w:val="11"/>
              </w:rPr>
              <w:t>Max score angle</w:t>
            </w:r>
          </w:p>
        </w:tc>
        <w:tc>
          <w:tcPr>
            <w:tcW w:type="dxa" w:w="1426"/>
            <w:vAlign w:val="center"/>
          </w:tcPr>
          <w:p>
            <w:pPr>
              <w:spacing w:before="0" w:after="0" w:line="240" w:lineRule="auto"/>
              <w:jc w:val="center"/>
            </w:pPr>
            <w:r>
              <w:rPr>
                <w:b/>
                <w:sz w:val="11"/>
              </w:rPr>
              <w:t>Min label agree.</w:t>
            </w:r>
          </w:p>
        </w:tc>
        <w:tc>
          <w:tcPr>
            <w:tcW w:type="dxa" w:w="1426"/>
            <w:vAlign w:val="center"/>
          </w:tcPr>
          <w:p>
            <w:pPr>
              <w:spacing w:before="0" w:after="0" w:line="240" w:lineRule="auto"/>
              <w:jc w:val="center"/>
            </w:pPr>
            <w:r>
              <w:rPr>
                <w:b/>
                <w:sz w:val="11"/>
              </w:rPr>
              <w:t>Max metric diff.</w:t>
            </w:r>
          </w:p>
        </w:tc>
        <w:tc>
          <w:tcPr>
            <w:tcW w:type="dxa" w:w="1426"/>
            <w:vAlign w:val="center"/>
          </w:tcPr>
          <w:p>
            <w:pPr>
              <w:spacing w:before="0" w:after="0" w:line="240" w:lineRule="auto"/>
              <w:jc w:val="center"/>
            </w:pPr>
            <w:r>
              <w:rPr>
                <w:b/>
                <w:sz w:val="11"/>
              </w:rPr>
              <w:t>Status</w:t>
            </w:r>
          </w:p>
        </w:tc>
      </w:tr>
      <w:tr>
        <w:trPr>
          <w:cantSplit/>
        </w:trPr>
        <w:tc>
          <w:tcPr>
            <w:tcW w:type="dxa" w:w="1426"/>
            <w:vAlign w:val="center"/>
          </w:tcPr>
          <w:p>
            <w:pPr>
              <w:spacing w:before="0" w:after="0" w:line="240" w:lineRule="auto"/>
              <w:jc w:val="left"/>
            </w:pPr>
            <w:r>
              <w:rPr>
                <w:b w:val="0"/>
                <w:sz w:val="11"/>
              </w:rPr>
              <w:t>CPU</w:t>
            </w:r>
          </w:p>
        </w:tc>
        <w:tc>
          <w:tcPr>
            <w:tcW w:type="dxa" w:w="1426"/>
            <w:vAlign w:val="center"/>
          </w:tcPr>
          <w:p>
            <w:pPr>
              <w:spacing w:before="0" w:after="0" w:line="240" w:lineRule="auto"/>
              <w:jc w:val="center"/>
            </w:pPr>
            <w:r>
              <w:rPr>
                <w:b w:val="0"/>
                <w:sz w:val="11"/>
              </w:rPr>
              <w:t>10</w:t>
            </w:r>
          </w:p>
        </w:tc>
        <w:tc>
          <w:tcPr>
            <w:tcW w:type="dxa" w:w="1426"/>
            <w:vAlign w:val="center"/>
          </w:tcPr>
          <w:p>
            <w:pPr>
              <w:spacing w:before="0" w:after="0" w:line="240" w:lineRule="auto"/>
              <w:jc w:val="center"/>
            </w:pPr>
            <w:r>
              <w:rPr>
                <w:b w:val="0"/>
                <w:sz w:val="11"/>
              </w:rPr>
              <w:t>1</w:t>
            </w:r>
          </w:p>
        </w:tc>
        <w:tc>
          <w:tcPr>
            <w:tcW w:type="dxa" w:w="1426"/>
            <w:vAlign w:val="center"/>
          </w:tcPr>
          <w:p>
            <w:pPr>
              <w:spacing w:before="0" w:after="0" w:line="240" w:lineRule="auto"/>
              <w:jc w:val="center"/>
            </w:pPr>
            <w:r>
              <w:rPr>
                <w:b w:val="0"/>
                <w:sz w:val="11"/>
              </w:rPr>
              <w:t>101/117</w:t>
            </w:r>
          </w:p>
        </w:tc>
        <w:tc>
          <w:tcPr>
            <w:tcW w:type="dxa" w:w="1426"/>
            <w:vAlign w:val="center"/>
          </w:tcPr>
          <w:p>
            <w:pPr>
              <w:spacing w:before="0" w:after="0" w:line="240" w:lineRule="auto"/>
              <w:jc w:val="center"/>
            </w:pPr>
            <w:r>
              <w:rPr>
                <w:b w:val="0"/>
                <w:sz w:val="11"/>
              </w:rPr>
              <w:t>0.2398</w:t>
            </w:r>
          </w:p>
        </w:tc>
        <w:tc>
          <w:tcPr>
            <w:tcW w:type="dxa" w:w="1426"/>
            <w:vAlign w:val="center"/>
          </w:tcPr>
          <w:p>
            <w:pPr>
              <w:spacing w:before="0" w:after="0" w:line="240" w:lineRule="auto"/>
              <w:jc w:val="center"/>
            </w:pPr>
            <w:r>
              <w:rPr>
                <w:b w:val="0"/>
                <w:sz w:val="11"/>
              </w:rPr>
              <w:t>0.97173</w:t>
            </w:r>
          </w:p>
        </w:tc>
        <w:tc>
          <w:tcPr>
            <w:tcW w:type="dxa" w:w="1426"/>
            <w:vAlign w:val="center"/>
          </w:tcPr>
          <w:p>
            <w:pPr>
              <w:spacing w:before="0" w:after="0" w:line="240" w:lineRule="auto"/>
              <w:jc w:val="center"/>
            </w:pPr>
            <w:r>
              <w:rPr>
                <w:b w:val="0"/>
                <w:sz w:val="11"/>
              </w:rPr>
              <w:t>25.28</w:t>
            </w:r>
          </w:p>
        </w:tc>
        <w:tc>
          <w:tcPr>
            <w:tcW w:type="dxa" w:w="1426"/>
            <w:vAlign w:val="center"/>
          </w:tcPr>
          <w:p>
            <w:pPr>
              <w:spacing w:before="0" w:after="0" w:line="240" w:lineRule="auto"/>
              <w:jc w:val="center"/>
            </w:pPr>
            <w:r>
              <w:rPr>
                <w:b w:val="0"/>
                <w:sz w:val="11"/>
              </w:rPr>
              <w:t>0.930</w:t>
            </w:r>
          </w:p>
        </w:tc>
        <w:tc>
          <w:tcPr>
            <w:tcW w:type="dxa" w:w="1426"/>
            <w:vAlign w:val="center"/>
          </w:tcPr>
          <w:p>
            <w:pPr>
              <w:spacing w:before="0" w:after="0" w:line="240" w:lineRule="auto"/>
              <w:jc w:val="center"/>
            </w:pPr>
            <w:r>
              <w:rPr>
                <w:b w:val="0"/>
                <w:sz w:val="11"/>
              </w:rPr>
              <w:t>0.0400</w:t>
            </w:r>
          </w:p>
        </w:tc>
        <w:tc>
          <w:tcPr>
            <w:tcW w:type="dxa" w:w="1426"/>
            <w:vAlign w:val="center"/>
          </w:tcPr>
          <w:p>
            <w:pPr>
              <w:spacing w:before="0" w:after="0" w:line="240" w:lineRule="auto"/>
              <w:jc w:val="center"/>
            </w:pPr>
            <w:r>
              <w:rPr>
                <w:b w:val="0"/>
                <w:sz w:val="11"/>
              </w:rPr>
              <w:t>Rejected</w:t>
            </w:r>
          </w:p>
        </w:tc>
      </w:tr>
      <w:tr>
        <w:trPr>
          <w:cantSplit/>
        </w:trPr>
        <w:tc>
          <w:tcPr>
            <w:tcW w:type="dxa" w:w="1426"/>
            <w:vAlign w:val="center"/>
          </w:tcPr>
          <w:p>
            <w:pPr>
              <w:spacing w:before="0" w:after="0" w:line="240" w:lineRule="auto"/>
              <w:jc w:val="left"/>
            </w:pPr>
            <w:r>
              <w:rPr>
                <w:b w:val="0"/>
                <w:sz w:val="11"/>
              </w:rPr>
              <w:t>CPU</w:t>
            </w:r>
          </w:p>
        </w:tc>
        <w:tc>
          <w:tcPr>
            <w:tcW w:type="dxa" w:w="1426"/>
            <w:vAlign w:val="center"/>
          </w:tcPr>
          <w:p>
            <w:pPr>
              <w:spacing w:before="0" w:after="0" w:line="240" w:lineRule="auto"/>
              <w:jc w:val="center"/>
            </w:pPr>
            <w:r>
              <w:rPr>
                <w:b w:val="0"/>
                <w:sz w:val="11"/>
              </w:rPr>
              <w:t>10</w:t>
            </w:r>
          </w:p>
        </w:tc>
        <w:tc>
          <w:tcPr>
            <w:tcW w:type="dxa" w:w="1426"/>
            <w:vAlign w:val="center"/>
          </w:tcPr>
          <w:p>
            <w:pPr>
              <w:spacing w:before="0" w:after="0" w:line="240" w:lineRule="auto"/>
              <w:jc w:val="center"/>
            </w:pPr>
            <w:r>
              <w:rPr>
                <w:b w:val="0"/>
                <w:sz w:val="11"/>
              </w:rPr>
              <w:t>2</w:t>
            </w:r>
          </w:p>
        </w:tc>
        <w:tc>
          <w:tcPr>
            <w:tcW w:type="dxa" w:w="1426"/>
            <w:vAlign w:val="center"/>
          </w:tcPr>
          <w:p>
            <w:pPr>
              <w:spacing w:before="0" w:after="0" w:line="240" w:lineRule="auto"/>
              <w:jc w:val="center"/>
            </w:pPr>
            <w:r>
              <w:rPr>
                <w:b w:val="0"/>
                <w:sz w:val="11"/>
              </w:rPr>
              <w:t>117/117</w:t>
            </w:r>
          </w:p>
        </w:tc>
        <w:tc>
          <w:tcPr>
            <w:tcW w:type="dxa" w:w="1426"/>
            <w:vAlign w:val="center"/>
          </w:tcPr>
          <w:p>
            <w:pPr>
              <w:spacing w:before="0" w:after="0" w:line="240" w:lineRule="auto"/>
              <w:jc w:val="center"/>
            </w:pPr>
            <w:r>
              <w:rPr>
                <w:b w:val="0"/>
                <w:sz w:val="11"/>
              </w:rPr>
              <w:t>0.0332</w:t>
            </w:r>
          </w:p>
        </w:tc>
        <w:tc>
          <w:tcPr>
            <w:tcW w:type="dxa" w:w="1426"/>
            <w:vAlign w:val="center"/>
          </w:tcPr>
          <w:p>
            <w:pPr>
              <w:spacing w:before="0" w:after="0" w:line="240" w:lineRule="auto"/>
              <w:jc w:val="center"/>
            </w:pPr>
            <w:r>
              <w:rPr>
                <w:b w:val="0"/>
                <w:sz w:val="11"/>
              </w:rPr>
              <w:t>0.99939</w:t>
            </w:r>
          </w:p>
        </w:tc>
        <w:tc>
          <w:tcPr>
            <w:tcW w:type="dxa" w:w="1426"/>
            <w:vAlign w:val="center"/>
          </w:tcPr>
          <w:p>
            <w:pPr>
              <w:spacing w:before="0" w:after="0" w:line="240" w:lineRule="auto"/>
              <w:jc w:val="center"/>
            </w:pPr>
            <w:r>
              <w:rPr>
                <w:b w:val="0"/>
                <w:sz w:val="11"/>
              </w:rPr>
              <w:t>4.93</w:t>
            </w:r>
          </w:p>
        </w:tc>
        <w:tc>
          <w:tcPr>
            <w:tcW w:type="dxa" w:w="1426"/>
            <w:vAlign w:val="center"/>
          </w:tcPr>
          <w:p>
            <w:pPr>
              <w:spacing w:before="0" w:after="0" w:line="240" w:lineRule="auto"/>
              <w:jc w:val="center"/>
            </w:pPr>
            <w:r>
              <w:rPr>
                <w:b w:val="0"/>
                <w:sz w:val="11"/>
              </w:rPr>
              <w:t>0.990</w:t>
            </w:r>
          </w:p>
        </w:tc>
        <w:tc>
          <w:tcPr>
            <w:tcW w:type="dxa" w:w="1426"/>
            <w:vAlign w:val="center"/>
          </w:tcPr>
          <w:p>
            <w:pPr>
              <w:spacing w:before="0" w:after="0" w:line="240" w:lineRule="auto"/>
              <w:jc w:val="center"/>
            </w:pPr>
            <w:r>
              <w:rPr>
                <w:b w:val="0"/>
                <w:sz w:val="11"/>
              </w:rPr>
              <w:t>0.0100</w:t>
            </w:r>
          </w:p>
        </w:tc>
        <w:tc>
          <w:tcPr>
            <w:tcW w:type="dxa" w:w="1426"/>
            <w:vAlign w:val="center"/>
          </w:tcPr>
          <w:p>
            <w:pPr>
              <w:spacing w:before="0" w:after="0" w:line="240" w:lineRule="auto"/>
              <w:jc w:val="center"/>
            </w:pPr>
            <w:r>
              <w:rPr>
                <w:b w:val="0"/>
                <w:sz w:val="11"/>
              </w:rPr>
              <w:t>Qualified approximate</w:t>
            </w:r>
          </w:p>
        </w:tc>
      </w:tr>
      <w:tr>
        <w:trPr>
          <w:cantSplit/>
        </w:trPr>
        <w:tc>
          <w:tcPr>
            <w:tcW w:type="dxa" w:w="1426"/>
            <w:vAlign w:val="center"/>
          </w:tcPr>
          <w:p>
            <w:pPr>
              <w:spacing w:before="0" w:after="0" w:line="240" w:lineRule="auto"/>
              <w:jc w:val="left"/>
            </w:pPr>
            <w:r>
              <w:rPr>
                <w:b w:val="0"/>
                <w:sz w:val="11"/>
              </w:rPr>
              <w:t>CUDA</w:t>
            </w:r>
          </w:p>
        </w:tc>
        <w:tc>
          <w:tcPr>
            <w:tcW w:type="dxa" w:w="1426"/>
            <w:vAlign w:val="center"/>
          </w:tcPr>
          <w:p>
            <w:pPr>
              <w:spacing w:before="0" w:after="0" w:line="240" w:lineRule="auto"/>
              <w:jc w:val="center"/>
            </w:pPr>
            <w:r>
              <w:rPr>
                <w:b w:val="0"/>
                <w:sz w:val="11"/>
              </w:rPr>
              <w:t>10</w:t>
            </w:r>
          </w:p>
        </w:tc>
        <w:tc>
          <w:tcPr>
            <w:tcW w:type="dxa" w:w="1426"/>
            <w:vAlign w:val="center"/>
          </w:tcPr>
          <w:p>
            <w:pPr>
              <w:spacing w:before="0" w:after="0" w:line="240" w:lineRule="auto"/>
              <w:jc w:val="center"/>
            </w:pPr>
            <w:r>
              <w:rPr>
                <w:b w:val="0"/>
                <w:sz w:val="11"/>
              </w:rPr>
              <w:t>1</w:t>
            </w:r>
          </w:p>
        </w:tc>
        <w:tc>
          <w:tcPr>
            <w:tcW w:type="dxa" w:w="1426"/>
            <w:vAlign w:val="center"/>
          </w:tcPr>
          <w:p>
            <w:pPr>
              <w:spacing w:before="0" w:after="0" w:line="240" w:lineRule="auto"/>
              <w:jc w:val="center"/>
            </w:pPr>
            <w:r>
              <w:rPr>
                <w:b w:val="0"/>
                <w:sz w:val="11"/>
              </w:rPr>
              <w:t>0/8</w:t>
            </w:r>
          </w:p>
        </w:tc>
        <w:tc>
          <w:tcPr>
            <w:tcW w:type="dxa" w:w="1426"/>
            <w:vAlign w:val="center"/>
          </w:tcPr>
          <w:p>
            <w:pPr>
              <w:spacing w:before="0" w:after="0" w:line="240" w:lineRule="auto"/>
              <w:jc w:val="center"/>
            </w:pPr>
            <w:r>
              <w:rPr>
                <w:b w:val="0"/>
                <w:sz w:val="11"/>
              </w:rPr>
              <w:t>0.2486</w:t>
            </w:r>
          </w:p>
        </w:tc>
        <w:tc>
          <w:tcPr>
            <w:tcW w:type="dxa" w:w="1426"/>
            <w:vAlign w:val="center"/>
          </w:tcPr>
          <w:p>
            <w:pPr>
              <w:spacing w:before="0" w:after="0" w:line="240" w:lineRule="auto"/>
              <w:jc w:val="center"/>
            </w:pPr>
            <w:r>
              <w:rPr>
                <w:b w:val="0"/>
                <w:sz w:val="11"/>
              </w:rPr>
              <w:t>0.96884</w:t>
            </w:r>
          </w:p>
        </w:tc>
        <w:tc>
          <w:tcPr>
            <w:tcW w:type="dxa" w:w="1426"/>
            <w:vAlign w:val="center"/>
          </w:tcPr>
          <w:p>
            <w:pPr>
              <w:spacing w:before="0" w:after="0" w:line="240" w:lineRule="auto"/>
              <w:jc w:val="center"/>
            </w:pPr>
            <w:r>
              <w:rPr>
                <w:b w:val="0"/>
                <w:sz w:val="11"/>
              </w:rPr>
              <w:t>NR</w:t>
            </w:r>
          </w:p>
        </w:tc>
        <w:tc>
          <w:tcPr>
            <w:tcW w:type="dxa" w:w="1426"/>
            <w:vAlign w:val="center"/>
          </w:tcPr>
          <w:p>
            <w:pPr>
              <w:spacing w:before="0" w:after="0" w:line="240" w:lineRule="auto"/>
              <w:jc w:val="center"/>
            </w:pPr>
            <w:r>
              <w:rPr>
                <w:b w:val="0"/>
                <w:sz w:val="11"/>
              </w:rPr>
              <w:t>0.830</w:t>
            </w:r>
          </w:p>
        </w:tc>
        <w:tc>
          <w:tcPr>
            <w:tcW w:type="dxa" w:w="1426"/>
            <w:vAlign w:val="center"/>
          </w:tcPr>
          <w:p>
            <w:pPr>
              <w:spacing w:before="0" w:after="0" w:line="240" w:lineRule="auto"/>
              <w:jc w:val="center"/>
            </w:pPr>
            <w:r>
              <w:rPr>
                <w:b w:val="0"/>
                <w:sz w:val="11"/>
              </w:rPr>
              <w:t>0.0300</w:t>
            </w:r>
          </w:p>
        </w:tc>
        <w:tc>
          <w:tcPr>
            <w:tcW w:type="dxa" w:w="1426"/>
            <w:vAlign w:val="center"/>
          </w:tcPr>
          <w:p>
            <w:pPr>
              <w:spacing w:before="0" w:after="0" w:line="240" w:lineRule="auto"/>
              <w:jc w:val="center"/>
            </w:pPr>
            <w:r>
              <w:rPr>
                <w:b w:val="0"/>
                <w:sz w:val="11"/>
              </w:rPr>
              <w:t>Rejected</w:t>
            </w:r>
          </w:p>
        </w:tc>
      </w:tr>
      <w:tr>
        <w:trPr>
          <w:cantSplit/>
        </w:trPr>
        <w:tc>
          <w:tcPr>
            <w:tcW w:type="dxa" w:w="1426"/>
            <w:vAlign w:val="center"/>
          </w:tcPr>
          <w:p>
            <w:pPr>
              <w:spacing w:before="0" w:after="0" w:line="240" w:lineRule="auto"/>
              <w:jc w:val="left"/>
            </w:pPr>
            <w:r>
              <w:rPr>
                <w:b w:val="0"/>
                <w:sz w:val="11"/>
              </w:rPr>
              <w:t>CUDA</w:t>
            </w:r>
          </w:p>
        </w:tc>
        <w:tc>
          <w:tcPr>
            <w:tcW w:type="dxa" w:w="1426"/>
            <w:vAlign w:val="center"/>
          </w:tcPr>
          <w:p>
            <w:pPr>
              <w:spacing w:before="0" w:after="0" w:line="240" w:lineRule="auto"/>
              <w:jc w:val="center"/>
            </w:pPr>
            <w:r>
              <w:rPr>
                <w:b w:val="0"/>
                <w:sz w:val="11"/>
              </w:rPr>
              <w:t>10</w:t>
            </w:r>
          </w:p>
        </w:tc>
        <w:tc>
          <w:tcPr>
            <w:tcW w:type="dxa" w:w="1426"/>
            <w:vAlign w:val="center"/>
          </w:tcPr>
          <w:p>
            <w:pPr>
              <w:spacing w:before="0" w:after="0" w:line="240" w:lineRule="auto"/>
              <w:jc w:val="center"/>
            </w:pPr>
            <w:r>
              <w:rPr>
                <w:b w:val="0"/>
                <w:sz w:val="11"/>
              </w:rPr>
              <w:t>2</w:t>
            </w:r>
          </w:p>
        </w:tc>
        <w:tc>
          <w:tcPr>
            <w:tcW w:type="dxa" w:w="1426"/>
            <w:vAlign w:val="center"/>
          </w:tcPr>
          <w:p>
            <w:pPr>
              <w:spacing w:before="0" w:after="0" w:line="240" w:lineRule="auto"/>
              <w:jc w:val="center"/>
            </w:pPr>
            <w:r>
              <w:rPr>
                <w:b w:val="0"/>
                <w:sz w:val="11"/>
              </w:rPr>
              <w:t>5/8</w:t>
            </w:r>
          </w:p>
        </w:tc>
        <w:tc>
          <w:tcPr>
            <w:tcW w:type="dxa" w:w="1426"/>
            <w:vAlign w:val="center"/>
          </w:tcPr>
          <w:p>
            <w:pPr>
              <w:spacing w:before="0" w:after="0" w:line="240" w:lineRule="auto"/>
              <w:jc w:val="center"/>
            </w:pPr>
            <w:r>
              <w:rPr>
                <w:b w:val="0"/>
                <w:sz w:val="11"/>
              </w:rPr>
              <w:t>0.0822</w:t>
            </w:r>
          </w:p>
        </w:tc>
        <w:tc>
          <w:tcPr>
            <w:tcW w:type="dxa" w:w="1426"/>
            <w:vAlign w:val="center"/>
          </w:tcPr>
          <w:p>
            <w:pPr>
              <w:spacing w:before="0" w:after="0" w:line="240" w:lineRule="auto"/>
              <w:jc w:val="center"/>
            </w:pPr>
            <w:r>
              <w:rPr>
                <w:b w:val="0"/>
                <w:sz w:val="11"/>
              </w:rPr>
              <w:t>0.99602</w:t>
            </w:r>
          </w:p>
        </w:tc>
        <w:tc>
          <w:tcPr>
            <w:tcW w:type="dxa" w:w="1426"/>
            <w:vAlign w:val="center"/>
          </w:tcPr>
          <w:p>
            <w:pPr>
              <w:spacing w:before="0" w:after="0" w:line="240" w:lineRule="auto"/>
              <w:jc w:val="center"/>
            </w:pPr>
            <w:r>
              <w:rPr>
                <w:b w:val="0"/>
                <w:sz w:val="11"/>
              </w:rPr>
              <w:t>NR</w:t>
            </w:r>
          </w:p>
        </w:tc>
        <w:tc>
          <w:tcPr>
            <w:tcW w:type="dxa" w:w="1426"/>
            <w:vAlign w:val="center"/>
          </w:tcPr>
          <w:p>
            <w:pPr>
              <w:spacing w:before="0" w:after="0" w:line="240" w:lineRule="auto"/>
              <w:jc w:val="center"/>
            </w:pPr>
            <w:r>
              <w:rPr>
                <w:b w:val="0"/>
                <w:sz w:val="11"/>
              </w:rPr>
              <w:t>0.940</w:t>
            </w:r>
          </w:p>
        </w:tc>
        <w:tc>
          <w:tcPr>
            <w:tcW w:type="dxa" w:w="1426"/>
            <w:vAlign w:val="center"/>
          </w:tcPr>
          <w:p>
            <w:pPr>
              <w:spacing w:before="0" w:after="0" w:line="240" w:lineRule="auto"/>
              <w:jc w:val="center"/>
            </w:pPr>
            <w:r>
              <w:rPr>
                <w:b w:val="0"/>
                <w:sz w:val="11"/>
              </w:rPr>
              <w:t>0.0200</w:t>
            </w:r>
          </w:p>
        </w:tc>
        <w:tc>
          <w:tcPr>
            <w:tcW w:type="dxa" w:w="1426"/>
            <w:vAlign w:val="center"/>
          </w:tcPr>
          <w:p>
            <w:pPr>
              <w:spacing w:before="0" w:after="0" w:line="240" w:lineRule="auto"/>
              <w:jc w:val="center"/>
            </w:pPr>
            <w:r>
              <w:rPr>
                <w:b w:val="0"/>
                <w:sz w:val="11"/>
              </w:rPr>
              <w:t>Rejected</w:t>
            </w:r>
          </w:p>
        </w:tc>
      </w:tr>
      <w:tr>
        <w:trPr>
          <w:cantSplit/>
        </w:trPr>
        <w:tc>
          <w:tcPr>
            <w:tcW w:type="dxa" w:w="1426"/>
            <w:vAlign w:val="center"/>
          </w:tcPr>
          <w:p>
            <w:pPr>
              <w:spacing w:before="0" w:after="0" w:line="240" w:lineRule="auto"/>
              <w:jc w:val="left"/>
            </w:pPr>
            <w:r>
              <w:rPr>
                <w:b w:val="0"/>
                <w:sz w:val="11"/>
              </w:rPr>
              <w:t>CUDA</w:t>
            </w:r>
          </w:p>
        </w:tc>
        <w:tc>
          <w:tcPr>
            <w:tcW w:type="dxa" w:w="1426"/>
            <w:vAlign w:val="center"/>
          </w:tcPr>
          <w:p>
            <w:pPr>
              <w:spacing w:before="0" w:after="0" w:line="240" w:lineRule="auto"/>
              <w:jc w:val="center"/>
            </w:pPr>
            <w:r>
              <w:rPr>
                <w:b w:val="0"/>
                <w:sz w:val="11"/>
              </w:rPr>
              <w:t>10</w:t>
            </w:r>
          </w:p>
        </w:tc>
        <w:tc>
          <w:tcPr>
            <w:tcW w:type="dxa" w:w="1426"/>
            <w:vAlign w:val="center"/>
          </w:tcPr>
          <w:p>
            <w:pPr>
              <w:spacing w:before="0" w:after="0" w:line="240" w:lineRule="auto"/>
              <w:jc w:val="center"/>
            </w:pPr>
            <w:r>
              <w:rPr>
                <w:b w:val="0"/>
                <w:sz w:val="11"/>
              </w:rPr>
              <w:t>4</w:t>
            </w:r>
          </w:p>
        </w:tc>
        <w:tc>
          <w:tcPr>
            <w:tcW w:type="dxa" w:w="1426"/>
            <w:vAlign w:val="center"/>
          </w:tcPr>
          <w:p>
            <w:pPr>
              <w:spacing w:before="0" w:after="0" w:line="240" w:lineRule="auto"/>
              <w:jc w:val="center"/>
            </w:pPr>
            <w:r>
              <w:rPr>
                <w:b w:val="0"/>
                <w:sz w:val="11"/>
              </w:rPr>
              <w:t>8/8</w:t>
            </w:r>
          </w:p>
        </w:tc>
        <w:tc>
          <w:tcPr>
            <w:tcW w:type="dxa" w:w="1426"/>
            <w:vAlign w:val="center"/>
          </w:tcPr>
          <w:p>
            <w:pPr>
              <w:spacing w:before="0" w:after="0" w:line="240" w:lineRule="auto"/>
              <w:jc w:val="center"/>
            </w:pPr>
            <w:r>
              <w:rPr>
                <w:b w:val="0"/>
                <w:sz w:val="11"/>
              </w:rPr>
              <w:t>0.0078</w:t>
            </w:r>
          </w:p>
        </w:tc>
        <w:tc>
          <w:tcPr>
            <w:tcW w:type="dxa" w:w="1426"/>
            <w:vAlign w:val="center"/>
          </w:tcPr>
          <w:p>
            <w:pPr>
              <w:spacing w:before="0" w:after="0" w:line="240" w:lineRule="auto"/>
              <w:jc w:val="center"/>
            </w:pPr>
            <w:r>
              <w:rPr>
                <w:b w:val="0"/>
                <w:sz w:val="11"/>
              </w:rPr>
              <w:t>0.99996</w:t>
            </w:r>
          </w:p>
        </w:tc>
        <w:tc>
          <w:tcPr>
            <w:tcW w:type="dxa" w:w="1426"/>
            <w:vAlign w:val="center"/>
          </w:tcPr>
          <w:p>
            <w:pPr>
              <w:spacing w:before="0" w:after="0" w:line="240" w:lineRule="auto"/>
              <w:jc w:val="center"/>
            </w:pPr>
            <w:r>
              <w:rPr>
                <w:b w:val="0"/>
                <w:sz w:val="11"/>
              </w:rPr>
              <w:t>NR</w:t>
            </w:r>
          </w:p>
        </w:tc>
        <w:tc>
          <w:tcPr>
            <w:tcW w:type="dxa" w:w="1426"/>
            <w:vAlign w:val="center"/>
          </w:tcPr>
          <w:p>
            <w:pPr>
              <w:spacing w:before="0" w:after="0" w:line="240" w:lineRule="auto"/>
              <w:jc w:val="center"/>
            </w:pPr>
            <w:r>
              <w:rPr>
                <w:b w:val="0"/>
                <w:sz w:val="11"/>
              </w:rPr>
              <w:t>0.990</w:t>
            </w:r>
          </w:p>
        </w:tc>
        <w:tc>
          <w:tcPr>
            <w:tcW w:type="dxa" w:w="1426"/>
            <w:vAlign w:val="center"/>
          </w:tcPr>
          <w:p>
            <w:pPr>
              <w:spacing w:before="0" w:after="0" w:line="240" w:lineRule="auto"/>
              <w:jc w:val="center"/>
            </w:pPr>
            <w:r>
              <w:rPr>
                <w:b w:val="0"/>
                <w:sz w:val="11"/>
              </w:rPr>
              <w:t>6.75e-05</w:t>
            </w:r>
          </w:p>
        </w:tc>
        <w:tc>
          <w:tcPr>
            <w:tcW w:type="dxa" w:w="1426"/>
            <w:vAlign w:val="center"/>
          </w:tcPr>
          <w:p>
            <w:pPr>
              <w:spacing w:before="0" w:after="0" w:line="240" w:lineRule="auto"/>
              <w:jc w:val="center"/>
            </w:pPr>
            <w:r>
              <w:rPr>
                <w:b w:val="0"/>
                <w:sz w:val="11"/>
              </w:rPr>
              <w:t>Qualified approximate</w:t>
            </w:r>
          </w:p>
        </w:tc>
      </w:tr>
      <w:tr>
        <w:trPr>
          <w:cantSplit/>
        </w:trPr>
        <w:tc>
          <w:tcPr>
            <w:tcW w:type="dxa" w:w="1426"/>
            <w:vAlign w:val="center"/>
          </w:tcPr>
          <w:p>
            <w:pPr>
              <w:spacing w:before="0" w:after="0" w:line="240" w:lineRule="auto"/>
              <w:jc w:val="left"/>
            </w:pPr>
            <w:r>
              <w:rPr>
                <w:b w:val="0"/>
                <w:sz w:val="11"/>
              </w:rPr>
              <w:t>CUDA</w:t>
            </w:r>
          </w:p>
        </w:tc>
        <w:tc>
          <w:tcPr>
            <w:tcW w:type="dxa" w:w="1426"/>
            <w:vAlign w:val="center"/>
          </w:tcPr>
          <w:p>
            <w:pPr>
              <w:spacing w:before="0" w:after="0" w:line="240" w:lineRule="auto"/>
              <w:jc w:val="center"/>
            </w:pPr>
            <w:r>
              <w:rPr>
                <w:b w:val="0"/>
                <w:sz w:val="11"/>
              </w:rPr>
              <w:t>20</w:t>
            </w:r>
          </w:p>
        </w:tc>
        <w:tc>
          <w:tcPr>
            <w:tcW w:type="dxa" w:w="1426"/>
            <w:vAlign w:val="center"/>
          </w:tcPr>
          <w:p>
            <w:pPr>
              <w:spacing w:before="0" w:after="0" w:line="240" w:lineRule="auto"/>
              <w:jc w:val="center"/>
            </w:pPr>
            <w:r>
              <w:rPr>
                <w:b w:val="0"/>
                <w:sz w:val="11"/>
              </w:rPr>
              <w:t>1</w:t>
            </w:r>
          </w:p>
        </w:tc>
        <w:tc>
          <w:tcPr>
            <w:tcW w:type="dxa" w:w="1426"/>
            <w:vAlign w:val="center"/>
          </w:tcPr>
          <w:p>
            <w:pPr>
              <w:spacing w:before="0" w:after="0" w:line="240" w:lineRule="auto"/>
              <w:jc w:val="center"/>
            </w:pPr>
            <w:r>
              <w:rPr>
                <w:b w:val="0"/>
                <w:sz w:val="11"/>
              </w:rPr>
              <w:t>8/8</w:t>
            </w:r>
          </w:p>
        </w:tc>
        <w:tc>
          <w:tcPr>
            <w:tcW w:type="dxa" w:w="1426"/>
            <w:vAlign w:val="center"/>
          </w:tcPr>
          <w:p>
            <w:pPr>
              <w:spacing w:before="0" w:after="0" w:line="240" w:lineRule="auto"/>
              <w:jc w:val="center"/>
            </w:pPr>
            <w:r>
              <w:rPr>
                <w:b w:val="0"/>
                <w:sz w:val="11"/>
              </w:rPr>
              <w:t>0.0027</w:t>
            </w:r>
          </w:p>
        </w:tc>
        <w:tc>
          <w:tcPr>
            <w:tcW w:type="dxa" w:w="1426"/>
            <w:vAlign w:val="center"/>
          </w:tcPr>
          <w:p>
            <w:pPr>
              <w:spacing w:before="0" w:after="0" w:line="240" w:lineRule="auto"/>
              <w:jc w:val="center"/>
            </w:pPr>
            <w:r>
              <w:rPr>
                <w:b w:val="0"/>
                <w:sz w:val="11"/>
              </w:rPr>
              <w:t>1.00000</w:t>
            </w:r>
          </w:p>
        </w:tc>
        <w:tc>
          <w:tcPr>
            <w:tcW w:type="dxa" w:w="1426"/>
            <w:vAlign w:val="center"/>
          </w:tcPr>
          <w:p>
            <w:pPr>
              <w:spacing w:before="0" w:after="0" w:line="240" w:lineRule="auto"/>
              <w:jc w:val="center"/>
            </w:pPr>
            <w:r>
              <w:rPr>
                <w:b w:val="0"/>
                <w:sz w:val="11"/>
              </w:rPr>
              <w:t>NR</w:t>
            </w:r>
          </w:p>
        </w:tc>
        <w:tc>
          <w:tcPr>
            <w:tcW w:type="dxa" w:w="1426"/>
            <w:vAlign w:val="center"/>
          </w:tcPr>
          <w:p>
            <w:pPr>
              <w:spacing w:before="0" w:after="0" w:line="240" w:lineRule="auto"/>
              <w:jc w:val="center"/>
            </w:pPr>
            <w:r>
              <w:rPr>
                <w:b w:val="0"/>
                <w:sz w:val="11"/>
              </w:rPr>
              <w:t>1.000</w:t>
            </w:r>
          </w:p>
        </w:tc>
        <w:tc>
          <w:tcPr>
            <w:tcW w:type="dxa" w:w="1426"/>
            <w:vAlign w:val="center"/>
          </w:tcPr>
          <w:p>
            <w:pPr>
              <w:spacing w:before="0" w:after="0" w:line="240" w:lineRule="auto"/>
              <w:jc w:val="center"/>
            </w:pPr>
            <w:r>
              <w:rPr>
                <w:b w:val="0"/>
                <w:sz w:val="11"/>
              </w:rPr>
              <w:t>0.0002</w:t>
            </w:r>
          </w:p>
        </w:tc>
        <w:tc>
          <w:tcPr>
            <w:tcW w:type="dxa" w:w="1426"/>
            <w:vAlign w:val="center"/>
          </w:tcPr>
          <w:p>
            <w:pPr>
              <w:spacing w:before="0" w:after="0" w:line="240" w:lineRule="auto"/>
              <w:jc w:val="center"/>
            </w:pPr>
            <w:r>
              <w:rPr>
                <w:b w:val="0"/>
                <w:sz w:val="11"/>
              </w:rPr>
              <w:t>Qualified approximate</w:t>
            </w:r>
          </w:p>
        </w:tc>
      </w:tr>
      <w:tr>
        <w:trPr>
          <w:cantSplit/>
        </w:trPr>
        <w:tc>
          <w:tcPr>
            <w:tcW w:type="dxa" w:w="1426"/>
            <w:vAlign w:val="center"/>
          </w:tcPr>
          <w:p>
            <w:pPr>
              <w:spacing w:before="0" w:after="0" w:line="240" w:lineRule="auto"/>
              <w:jc w:val="left"/>
            </w:pPr>
            <w:r>
              <w:rPr>
                <w:b w:val="0"/>
                <w:sz w:val="11"/>
              </w:rPr>
              <w:t>CUDA</w:t>
            </w:r>
          </w:p>
        </w:tc>
        <w:tc>
          <w:tcPr>
            <w:tcW w:type="dxa" w:w="1426"/>
            <w:vAlign w:val="center"/>
          </w:tcPr>
          <w:p>
            <w:pPr>
              <w:spacing w:before="0" w:after="0" w:line="240" w:lineRule="auto"/>
              <w:jc w:val="center"/>
            </w:pPr>
            <w:r>
              <w:rPr>
                <w:b w:val="0"/>
                <w:sz w:val="11"/>
              </w:rPr>
              <w:t>20</w:t>
            </w:r>
          </w:p>
        </w:tc>
        <w:tc>
          <w:tcPr>
            <w:tcW w:type="dxa" w:w="1426"/>
            <w:vAlign w:val="center"/>
          </w:tcPr>
          <w:p>
            <w:pPr>
              <w:spacing w:before="0" w:after="0" w:line="240" w:lineRule="auto"/>
              <w:jc w:val="center"/>
            </w:pPr>
            <w:r>
              <w:rPr>
                <w:b w:val="0"/>
                <w:sz w:val="11"/>
              </w:rPr>
              <w:t>2</w:t>
            </w:r>
          </w:p>
        </w:tc>
        <w:tc>
          <w:tcPr>
            <w:tcW w:type="dxa" w:w="1426"/>
            <w:vAlign w:val="center"/>
          </w:tcPr>
          <w:p>
            <w:pPr>
              <w:spacing w:before="0" w:after="0" w:line="240" w:lineRule="auto"/>
              <w:jc w:val="center"/>
            </w:pPr>
            <w:r>
              <w:rPr>
                <w:b w:val="0"/>
                <w:sz w:val="11"/>
              </w:rPr>
              <w:t>8/8</w:t>
            </w:r>
          </w:p>
        </w:tc>
        <w:tc>
          <w:tcPr>
            <w:tcW w:type="dxa" w:w="1426"/>
            <w:vAlign w:val="center"/>
          </w:tcPr>
          <w:p>
            <w:pPr>
              <w:spacing w:before="0" w:after="0" w:line="240" w:lineRule="auto"/>
              <w:jc w:val="center"/>
            </w:pPr>
            <w:r>
              <w:rPr>
                <w:b w:val="0"/>
                <w:sz w:val="11"/>
              </w:rPr>
              <w:t>6.26e-06</w:t>
            </w:r>
          </w:p>
        </w:tc>
        <w:tc>
          <w:tcPr>
            <w:tcW w:type="dxa" w:w="1426"/>
            <w:vAlign w:val="center"/>
          </w:tcPr>
          <w:p>
            <w:pPr>
              <w:spacing w:before="0" w:after="0" w:line="240" w:lineRule="auto"/>
              <w:jc w:val="center"/>
            </w:pPr>
            <w:r>
              <w:rPr>
                <w:b w:val="0"/>
                <w:sz w:val="11"/>
              </w:rPr>
              <w:t>1.00000</w:t>
            </w:r>
          </w:p>
        </w:tc>
        <w:tc>
          <w:tcPr>
            <w:tcW w:type="dxa" w:w="1426"/>
            <w:vAlign w:val="center"/>
          </w:tcPr>
          <w:p>
            <w:pPr>
              <w:spacing w:before="0" w:after="0" w:line="240" w:lineRule="auto"/>
              <w:jc w:val="center"/>
            </w:pPr>
            <w:r>
              <w:rPr>
                <w:b w:val="0"/>
                <w:sz w:val="11"/>
              </w:rPr>
              <w:t>NR</w:t>
            </w:r>
          </w:p>
        </w:tc>
        <w:tc>
          <w:tcPr>
            <w:tcW w:type="dxa" w:w="1426"/>
            <w:vAlign w:val="center"/>
          </w:tcPr>
          <w:p>
            <w:pPr>
              <w:spacing w:before="0" w:after="0" w:line="240" w:lineRule="auto"/>
              <w:jc w:val="center"/>
            </w:pPr>
            <w:r>
              <w:rPr>
                <w:b w:val="0"/>
                <w:sz w:val="11"/>
              </w:rPr>
              <w:t>1.000</w:t>
            </w:r>
          </w:p>
        </w:tc>
        <w:tc>
          <w:tcPr>
            <w:tcW w:type="dxa" w:w="1426"/>
            <w:vAlign w:val="center"/>
          </w:tcPr>
          <w:p>
            <w:pPr>
              <w:spacing w:before="0" w:after="0" w:line="240" w:lineRule="auto"/>
              <w:jc w:val="center"/>
            </w:pPr>
            <w:r>
              <w:rPr>
                <w:b w:val="0"/>
                <w:sz w:val="11"/>
              </w:rPr>
              <w:t>3.78e-07</w:t>
            </w:r>
          </w:p>
        </w:tc>
        <w:tc>
          <w:tcPr>
            <w:tcW w:type="dxa" w:w="1426"/>
            <w:vAlign w:val="center"/>
          </w:tcPr>
          <w:p>
            <w:pPr>
              <w:spacing w:before="0" w:after="0" w:line="240" w:lineRule="auto"/>
              <w:jc w:val="center"/>
            </w:pPr>
            <w:r>
              <w:rPr>
                <w:b w:val="0"/>
                <w:sz w:val="11"/>
              </w:rPr>
              <w:t>Qualified approximate</w:t>
            </w:r>
          </w:p>
        </w:tc>
      </w:tr>
      <w:tr>
        <w:trPr>
          <w:cantSplit/>
        </w:trPr>
        <w:tc>
          <w:tcPr>
            <w:tcW w:type="dxa" w:w="1426"/>
            <w:vAlign w:val="center"/>
          </w:tcPr>
          <w:p>
            <w:pPr>
              <w:spacing w:before="0" w:after="0" w:line="240" w:lineRule="auto"/>
              <w:jc w:val="left"/>
            </w:pPr>
            <w:r>
              <w:rPr>
                <w:b w:val="0"/>
                <w:sz w:val="11"/>
              </w:rPr>
              <w:t>CUDA</w:t>
            </w:r>
          </w:p>
        </w:tc>
        <w:tc>
          <w:tcPr>
            <w:tcW w:type="dxa" w:w="1426"/>
            <w:vAlign w:val="center"/>
          </w:tcPr>
          <w:p>
            <w:pPr>
              <w:spacing w:before="0" w:after="0" w:line="240" w:lineRule="auto"/>
              <w:jc w:val="center"/>
            </w:pPr>
            <w:r>
              <w:rPr>
                <w:b w:val="0"/>
                <w:sz w:val="11"/>
              </w:rPr>
              <w:t>20</w:t>
            </w:r>
          </w:p>
        </w:tc>
        <w:tc>
          <w:tcPr>
            <w:tcW w:type="dxa" w:w="1426"/>
            <w:vAlign w:val="center"/>
          </w:tcPr>
          <w:p>
            <w:pPr>
              <w:spacing w:before="0" w:after="0" w:line="240" w:lineRule="auto"/>
              <w:jc w:val="center"/>
            </w:pPr>
            <w:r>
              <w:rPr>
                <w:b w:val="0"/>
                <w:sz w:val="11"/>
              </w:rPr>
              <w:t>4</w:t>
            </w:r>
          </w:p>
        </w:tc>
        <w:tc>
          <w:tcPr>
            <w:tcW w:type="dxa" w:w="1426"/>
            <w:vAlign w:val="center"/>
          </w:tcPr>
          <w:p>
            <w:pPr>
              <w:spacing w:before="0" w:after="0" w:line="240" w:lineRule="auto"/>
              <w:jc w:val="center"/>
            </w:pPr>
            <w:r>
              <w:rPr>
                <w:b w:val="0"/>
                <w:sz w:val="11"/>
              </w:rPr>
              <w:t>8/8</w:t>
            </w:r>
          </w:p>
        </w:tc>
        <w:tc>
          <w:tcPr>
            <w:tcW w:type="dxa" w:w="1426"/>
            <w:vAlign w:val="center"/>
          </w:tcPr>
          <w:p>
            <w:pPr>
              <w:spacing w:before="0" w:after="0" w:line="240" w:lineRule="auto"/>
              <w:jc w:val="center"/>
            </w:pPr>
            <w:r>
              <w:rPr>
                <w:b w:val="0"/>
                <w:sz w:val="11"/>
              </w:rPr>
              <w:t>6.20e-06</w:t>
            </w:r>
          </w:p>
        </w:tc>
        <w:tc>
          <w:tcPr>
            <w:tcW w:type="dxa" w:w="1426"/>
            <w:vAlign w:val="center"/>
          </w:tcPr>
          <w:p>
            <w:pPr>
              <w:spacing w:before="0" w:after="0" w:line="240" w:lineRule="auto"/>
              <w:jc w:val="center"/>
            </w:pPr>
            <w:r>
              <w:rPr>
                <w:b w:val="0"/>
                <w:sz w:val="11"/>
              </w:rPr>
              <w:t>1.00000</w:t>
            </w:r>
          </w:p>
        </w:tc>
        <w:tc>
          <w:tcPr>
            <w:tcW w:type="dxa" w:w="1426"/>
            <w:vAlign w:val="center"/>
          </w:tcPr>
          <w:p>
            <w:pPr>
              <w:spacing w:before="0" w:after="0" w:line="240" w:lineRule="auto"/>
              <w:jc w:val="center"/>
            </w:pPr>
            <w:r>
              <w:rPr>
                <w:b w:val="0"/>
                <w:sz w:val="11"/>
              </w:rPr>
              <w:t>NR</w:t>
            </w:r>
          </w:p>
        </w:tc>
        <w:tc>
          <w:tcPr>
            <w:tcW w:type="dxa" w:w="1426"/>
            <w:vAlign w:val="center"/>
          </w:tcPr>
          <w:p>
            <w:pPr>
              <w:spacing w:before="0" w:after="0" w:line="240" w:lineRule="auto"/>
              <w:jc w:val="center"/>
            </w:pPr>
            <w:r>
              <w:rPr>
                <w:b w:val="0"/>
                <w:sz w:val="11"/>
              </w:rPr>
              <w:t>1.000</w:t>
            </w:r>
          </w:p>
        </w:tc>
        <w:tc>
          <w:tcPr>
            <w:tcW w:type="dxa" w:w="1426"/>
            <w:vAlign w:val="center"/>
          </w:tcPr>
          <w:p>
            <w:pPr>
              <w:spacing w:before="0" w:after="0" w:line="240" w:lineRule="auto"/>
              <w:jc w:val="center"/>
            </w:pPr>
            <w:r>
              <w:rPr>
                <w:b w:val="0"/>
                <w:sz w:val="11"/>
              </w:rPr>
              <w:t>1.05e-07</w:t>
            </w:r>
          </w:p>
        </w:tc>
        <w:tc>
          <w:tcPr>
            <w:tcW w:type="dxa" w:w="1426"/>
            <w:vAlign w:val="center"/>
          </w:tcPr>
          <w:p>
            <w:pPr>
              <w:spacing w:before="0" w:after="0" w:line="240" w:lineRule="auto"/>
              <w:jc w:val="center"/>
            </w:pPr>
            <w:r>
              <w:rPr>
                <w:b w:val="0"/>
                <w:sz w:val="11"/>
              </w:rPr>
              <w:t>Qualified approximate</w:t>
            </w:r>
          </w:p>
        </w:tc>
      </w:tr>
    </w:tbl>
    <w:p>
      <w:r>
        <w:t>Figure S1. Exploratory one-power rSVD workflow speed relative to deterministic IRLBA. The setting used oversampling 10, one power iteration, and seed 123; it met only 101/117 audit checks and is excluded from estimator-preservation claims.</w:t>
      </w:r>
    </w:p>
    <w:p>
      <w:pPr>
        <w:jc w:val="center"/>
      </w:pPr>
      <w:r>
        <w:drawing>
          <wp:inline>
            <wp:extent cx="5943600" cy="3962400"/>
            <wp:docPr id="1" name="Picture 1"/>
            <wp:cNvGraphicFramePr>
              <a:graphicFrameLocks noChangeAspect="1"/>
            </wp:cNvGraphicFramePr>
            <a:graphic>
              <a:graphicData uri="http://schemas.openxmlformats.org/drawingml/2006/picture">
                <pic:pic>
                  <pic:nvPicPr>
                    <pic:cNvPr id="0" name="rsvd_workflow_speed_supp.png"/>
                    <pic:cNvPicPr/>
                  </pic:nvPicPr>
                  <pic:blipFill>
                    <a:blip r:embed="rId47"/>
                    <a:stretch>
                      <a:fillRect/>
                    </a:stretch>
                  </pic:blipFill>
                  <pic:spPr>
                    <a:xfrm>
                      <a:off x="0" y="0"/>
                      <a:ext cx="5943600" cy="3962400"/>
                    </a:xfrm>
                    <a:prstGeom prst="rect"/>
                  </pic:spPr>
                </pic:pic>
              </a:graphicData>
            </a:graphic>
          </wp:inline>
        </w:drawing>
      </w:r>
    </w:p>
    <w:p>
      <w:pPr>
        <w:pStyle w:val="Heading1"/>
      </w:pPr>
      <w:r>
        <w:t>S14. float32 capability</w:t>
      </w:r>
    </w:p>
    <w:p>
      <w:r>
        <w:t>float64 is the confirmatory reference. float32 input halves raw matrix storage but does not guarantee lower peak process memory, faster execution, or numerical agreement. Public calls allow validated routes, warn for experimental, hybrid, or measured-risk routes, and stop before allocation for unavailable routes.</w:t>
      </w:r>
    </w:p>
    <w:p>
      <w:pPr>
        <w:pStyle w:val="Caption"/>
      </w:pPr>
      <w:r>
        <w:t>Table S9. Definitive float32 capability matrix. Endpoint statuses are validated, experimental, hybrid, unavailable, or failed; extreme-response status refers to q &gt;= 10,000 with at least 50 components.</w:t>
      </w:r>
    </w:p>
    <w:tbl>
      <w:tblPr>
        <w:tblW w:type="auto" w:w="0"/>
        <w:tblLayout w:type="autofit"/>
        <w:tblLook w:firstColumn="1" w:firstRow="1" w:lastColumn="0" w:lastRow="0" w:noHBand="0" w:noVBand="1" w:val="04A0"/>
      </w:tblPr>
      <w:tblGrid>
        <w:gridCol w:w="1782"/>
        <w:gridCol w:w="1782"/>
        <w:gridCol w:w="1782"/>
        <w:gridCol w:w="1782"/>
        <w:gridCol w:w="1782"/>
        <w:gridCol w:w="1782"/>
        <w:gridCol w:w="1782"/>
        <w:gridCol w:w="1782"/>
      </w:tblGrid>
      <w:tr>
        <w:trPr>
          <w:tblHeader w:val="true"/>
          <w:cantSplit/>
        </w:trPr>
        <w:tc>
          <w:tcPr>
            <w:tcW w:type="dxa" w:w="1782"/>
            <w:vAlign w:val="center"/>
          </w:tcPr>
          <w:p>
            <w:pPr>
              <w:spacing w:before="0" w:after="0" w:line="240" w:lineRule="auto"/>
              <w:jc w:val="left"/>
            </w:pPr>
            <w:r>
              <w:rPr>
                <w:b/>
                <w:sz w:val="10"/>
              </w:rPr>
              <w:t>Family</w:t>
            </w:r>
          </w:p>
        </w:tc>
        <w:tc>
          <w:tcPr>
            <w:tcW w:type="dxa" w:w="1782"/>
            <w:vAlign w:val="center"/>
          </w:tcPr>
          <w:p>
            <w:pPr>
              <w:spacing w:before="0" w:after="0" w:line="240" w:lineRule="auto"/>
              <w:jc w:val="center"/>
            </w:pPr>
            <w:r>
              <w:rPr>
                <w:b/>
                <w:sz w:val="10"/>
              </w:rPr>
              <w:t>Kernel</w:t>
            </w:r>
          </w:p>
        </w:tc>
        <w:tc>
          <w:tcPr>
            <w:tcW w:type="dxa" w:w="1782"/>
            <w:vAlign w:val="center"/>
          </w:tcPr>
          <w:p>
            <w:pPr>
              <w:spacing w:before="0" w:after="0" w:line="240" w:lineRule="auto"/>
              <w:jc w:val="center"/>
            </w:pPr>
            <w:r>
              <w:rPr>
                <w:b/>
                <w:sz w:val="10"/>
              </w:rPr>
              <w:t>Backend</w:t>
            </w:r>
          </w:p>
        </w:tc>
        <w:tc>
          <w:tcPr>
            <w:tcW w:type="dxa" w:w="1782"/>
            <w:vAlign w:val="center"/>
          </w:tcPr>
          <w:p>
            <w:pPr>
              <w:spacing w:before="0" w:after="0" w:line="240" w:lineRule="auto"/>
              <w:jc w:val="center"/>
            </w:pPr>
            <w:r>
              <w:rPr>
                <w:b/>
                <w:sz w:val="10"/>
              </w:rPr>
              <w:t>Endpoint status</w:t>
            </w:r>
          </w:p>
        </w:tc>
        <w:tc>
          <w:tcPr>
            <w:tcW w:type="dxa" w:w="1782"/>
            <w:vAlign w:val="center"/>
          </w:tcPr>
          <w:p>
            <w:pPr>
              <w:spacing w:before="0" w:after="0" w:line="240" w:lineRule="auto"/>
              <w:jc w:val="center"/>
            </w:pPr>
            <w:r>
              <w:rPr>
                <w:b/>
                <w:sz w:val="10"/>
              </w:rPr>
              <w:t>Solver</w:t>
            </w:r>
          </w:p>
        </w:tc>
        <w:tc>
          <w:tcPr>
            <w:tcW w:type="dxa" w:w="1782"/>
            <w:vAlign w:val="center"/>
          </w:tcPr>
          <w:p>
            <w:pPr>
              <w:spacing w:before="0" w:after="0" w:line="240" w:lineRule="auto"/>
              <w:jc w:val="center"/>
            </w:pPr>
            <w:r>
              <w:rPr>
                <w:b/>
                <w:sz w:val="10"/>
              </w:rPr>
              <w:t>Residency</w:t>
            </w:r>
          </w:p>
        </w:tc>
        <w:tc>
          <w:tcPr>
            <w:tcW w:type="dxa" w:w="1782"/>
            <w:vAlign w:val="center"/>
          </w:tcPr>
          <w:p>
            <w:pPr>
              <w:spacing w:before="0" w:after="0" w:line="240" w:lineRule="auto"/>
              <w:jc w:val="center"/>
            </w:pPr>
            <w:r>
              <w:rPr>
                <w:b/>
                <w:sz w:val="10"/>
              </w:rPr>
              <w:t>Windows</w:t>
            </w:r>
          </w:p>
        </w:tc>
        <w:tc>
          <w:tcPr>
            <w:tcW w:type="dxa" w:w="1782"/>
            <w:vAlign w:val="center"/>
          </w:tcPr>
          <w:p>
            <w:pPr>
              <w:spacing w:before="0" w:after="0" w:line="240" w:lineRule="auto"/>
              <w:jc w:val="center"/>
            </w:pPr>
            <w:r>
              <w:rPr>
                <w:b/>
                <w:sz w:val="10"/>
              </w:rPr>
              <w:t>Extreme q</w:t>
            </w:r>
          </w:p>
        </w:tc>
      </w:tr>
      <w:tr>
        <w:trPr>
          <w:cantSplit/>
        </w:trPr>
        <w:tc>
          <w:tcPr>
            <w:tcW w:type="dxa" w:w="1782"/>
            <w:vAlign w:val="center"/>
          </w:tcPr>
          <w:p>
            <w:pPr>
              <w:spacing w:before="0" w:after="0" w:line="240" w:lineRule="auto"/>
              <w:jc w:val="left"/>
            </w:pPr>
            <w:r>
              <w:rPr>
                <w:b w:val="0"/>
                <w:sz w:val="10"/>
              </w:rPr>
              <w:t>PLS-SVD</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CPU</w:t>
            </w:r>
          </w:p>
        </w:tc>
        <w:tc>
          <w:tcPr>
            <w:tcW w:type="dxa" w:w="1782"/>
            <w:vAlign w:val="center"/>
          </w:tcPr>
          <w:p>
            <w:pPr>
              <w:spacing w:before="0" w:after="0" w:line="240" w:lineRule="auto"/>
              <w:jc w:val="center"/>
            </w:pPr>
            <w:r>
              <w:rPr>
                <w:b w:val="0"/>
                <w:sz w:val="10"/>
              </w:rPr>
              <w:t>regression=validated; argmax=validated; LDA=validated</w:t>
            </w:r>
          </w:p>
        </w:tc>
        <w:tc>
          <w:tcPr>
            <w:tcW w:type="dxa" w:w="1782"/>
            <w:vAlign w:val="center"/>
          </w:tcPr>
          <w:p>
            <w:pPr>
              <w:spacing w:before="0" w:after="0" w:line="240" w:lineRule="auto"/>
              <w:jc w:val="center"/>
            </w:pPr>
            <w:r>
              <w:rPr>
                <w:b w:val="0"/>
                <w:sz w:val="10"/>
              </w:rPr>
              <w:t>rSVD validated; IRLBA experimental</w:t>
            </w:r>
          </w:p>
        </w:tc>
        <w:tc>
          <w:tcPr>
            <w:tcW w:type="dxa" w:w="1782"/>
            <w:vAlign w:val="center"/>
          </w:tcPr>
          <w:p>
            <w:pPr>
              <w:spacing w:before="0" w:after="0" w:line="240" w:lineRule="auto"/>
              <w:jc w:val="center"/>
            </w:pPr>
            <w:r>
              <w:rPr>
                <w:b w:val="0"/>
                <w:sz w:val="10"/>
              </w:rPr>
              <w:t>CPU</w:t>
            </w:r>
          </w:p>
        </w:tc>
        <w:tc>
          <w:tcPr>
            <w:tcW w:type="dxa" w:w="1782"/>
            <w:vAlign w:val="center"/>
          </w:tcPr>
          <w:p>
            <w:r>
              <w:rPr>
                <w:sz w:val="10"/>
              </w:rPr>
              <w:t>portable CPU rSVD regression/argmax; native LDA unavailable</w:t>
            </w:r>
          </w:p>
        </w:tc>
        <w:tc>
          <w:tcPr>
            <w:tcW w:type="dxa" w:w="1782"/>
            <w:vAlign w:val="center"/>
          </w:tcPr>
          <w:p>
            <w:pPr>
              <w:spacing w:before="0" w:after="0" w:line="240" w:lineRule="auto"/>
              <w:jc w:val="center"/>
            </w:pPr>
            <w:r>
              <w:rPr>
                <w:b w:val="0"/>
                <w:sz w:val="10"/>
              </w:rPr>
              <w:t>experimental/not applicable</w:t>
            </w:r>
          </w:p>
        </w:tc>
      </w:tr>
      <w:tr>
        <w:trPr>
          <w:cantSplit/>
        </w:trPr>
        <w:tc>
          <w:tcPr>
            <w:tcW w:type="dxa" w:w="1782"/>
            <w:vAlign w:val="center"/>
          </w:tcPr>
          <w:p>
            <w:pPr>
              <w:spacing w:before="0" w:after="0" w:line="240" w:lineRule="auto"/>
              <w:jc w:val="left"/>
            </w:pPr>
            <w:r>
              <w:rPr>
                <w:b w:val="0"/>
                <w:sz w:val="10"/>
              </w:rPr>
              <w:t>PLS-SVD</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CUDA</w:t>
            </w:r>
          </w:p>
        </w:tc>
        <w:tc>
          <w:tcPr>
            <w:tcW w:type="dxa" w:w="1782"/>
            <w:vAlign w:val="center"/>
          </w:tcPr>
          <w:p>
            <w:pPr>
              <w:spacing w:before="0" w:after="0" w:line="240" w:lineRule="auto"/>
              <w:jc w:val="center"/>
            </w:pPr>
            <w:r>
              <w:rPr>
                <w:b w:val="0"/>
                <w:sz w:val="10"/>
              </w:rPr>
              <w:t>regression=validated; argmax=validated; LDA=validated</w:t>
            </w:r>
          </w:p>
        </w:tc>
        <w:tc>
          <w:tcPr>
            <w:tcW w:type="dxa" w:w="1782"/>
            <w:vAlign w:val="center"/>
          </w:tcPr>
          <w:p>
            <w:pPr>
              <w:spacing w:before="0" w:after="0" w:line="240" w:lineRule="auto"/>
              <w:jc w:val="center"/>
            </w:pPr>
            <w:r>
              <w:rPr>
                <w:b w:val="0"/>
                <w:sz w:val="10"/>
              </w:rPr>
              <w:t>rSVD only</w:t>
            </w:r>
          </w:p>
        </w:tc>
        <w:tc>
          <w:tcPr>
            <w:tcW w:type="dxa" w:w="1782"/>
            <w:vAlign w:val="center"/>
          </w:tcPr>
          <w:p>
            <w:pPr>
              <w:spacing w:before="0" w:after="0" w:line="240" w:lineRule="auto"/>
              <w:jc w:val="center"/>
            </w:pPr>
            <w:r>
              <w:rPr>
                <w:b w:val="0"/>
                <w:sz w:val="10"/>
              </w:rPr>
              <w:t>device</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experimental/not applicable</w:t>
            </w:r>
          </w:p>
        </w:tc>
      </w:tr>
      <w:tr>
        <w:trPr>
          <w:cantSplit/>
        </w:trPr>
        <w:tc>
          <w:tcPr>
            <w:tcW w:type="dxa" w:w="1782"/>
            <w:vAlign w:val="center"/>
          </w:tcPr>
          <w:p>
            <w:pPr>
              <w:spacing w:before="0" w:after="0" w:line="240" w:lineRule="auto"/>
              <w:jc w:val="left"/>
            </w:pPr>
            <w:r>
              <w:rPr>
                <w:b w:val="0"/>
                <w:sz w:val="10"/>
              </w:rPr>
              <w:t>PLS-SVD</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Metal</w:t>
            </w:r>
          </w:p>
        </w:tc>
        <w:tc>
          <w:tcPr>
            <w:tcW w:type="dxa" w:w="1782"/>
            <w:vAlign w:val="center"/>
          </w:tcPr>
          <w:p>
            <w:pPr>
              <w:spacing w:before="0" w:after="0" w:line="240" w:lineRule="auto"/>
              <w:jc w:val="center"/>
            </w:pPr>
            <w:r>
              <w:rPr>
                <w:b w:val="0"/>
                <w:sz w:val="10"/>
              </w:rPr>
              <w:t>regression=experimental; argmax=experimental; LDA=hybrid</w:t>
            </w:r>
          </w:p>
        </w:tc>
        <w:tc>
          <w:tcPr>
            <w:tcW w:type="dxa" w:w="1782"/>
            <w:vAlign w:val="center"/>
          </w:tcPr>
          <w:p>
            <w:pPr>
              <w:spacing w:before="0" w:after="0" w:line="240" w:lineRule="auto"/>
              <w:jc w:val="center"/>
            </w:pPr>
            <w:r>
              <w:rPr>
                <w:b w:val="0"/>
                <w:sz w:val="10"/>
              </w:rPr>
              <w:t>rSVD and IRLBA experimental</w:t>
            </w:r>
          </w:p>
        </w:tc>
        <w:tc>
          <w:tcPr>
            <w:tcW w:type="dxa" w:w="1782"/>
            <w:vAlign w:val="center"/>
          </w:tcPr>
          <w:p>
            <w:pPr>
              <w:spacing w:before="0" w:after="0" w:line="240" w:lineRule="auto"/>
              <w:jc w:val="center"/>
            </w:pPr>
            <w:r>
              <w:rPr>
                <w:b w:val="0"/>
                <w:sz w:val="10"/>
              </w:rPr>
              <w:t>Metal PLS scores plus CPU float32 LDA/device with hybrid reduced decomposition</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experimental/not applicable</w:t>
            </w:r>
          </w:p>
        </w:tc>
      </w:tr>
      <w:tr>
        <w:trPr>
          <w:cantSplit/>
        </w:trPr>
        <w:tc>
          <w:tcPr>
            <w:tcW w:type="dxa" w:w="1782"/>
            <w:vAlign w:val="center"/>
          </w:tcPr>
          <w:p>
            <w:pPr>
              <w:spacing w:before="0" w:after="0" w:line="240" w:lineRule="auto"/>
              <w:jc w:val="left"/>
            </w:pPr>
            <w:r>
              <w:rPr>
                <w:b w:val="0"/>
                <w:sz w:val="10"/>
              </w:rPr>
              <w:t>SIMPLS</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CPU</w:t>
            </w:r>
          </w:p>
        </w:tc>
        <w:tc>
          <w:tcPr>
            <w:tcW w:type="dxa" w:w="1782"/>
            <w:vAlign w:val="center"/>
          </w:tcPr>
          <w:p>
            <w:pPr>
              <w:spacing w:before="0" w:after="0" w:line="240" w:lineRule="auto"/>
              <w:jc w:val="center"/>
            </w:pPr>
            <w:r>
              <w:rPr>
                <w:b w:val="0"/>
                <w:sz w:val="10"/>
              </w:rPr>
              <w:t>regression=validated; argmax=experimental; LDA=experimental</w:t>
            </w:r>
          </w:p>
        </w:tc>
        <w:tc>
          <w:tcPr>
            <w:tcW w:type="dxa" w:w="1782"/>
            <w:vAlign w:val="center"/>
          </w:tcPr>
          <w:p>
            <w:pPr>
              <w:spacing w:before="0" w:after="0" w:line="240" w:lineRule="auto"/>
              <w:jc w:val="center"/>
            </w:pPr>
            <w:r>
              <w:rPr>
                <w:b w:val="0"/>
                <w:sz w:val="10"/>
              </w:rPr>
              <w:t>rSVD validated; IRLBA experimental</w:t>
            </w:r>
          </w:p>
        </w:tc>
        <w:tc>
          <w:tcPr>
            <w:tcW w:type="dxa" w:w="1782"/>
            <w:vAlign w:val="center"/>
          </w:tcPr>
          <w:p>
            <w:pPr>
              <w:spacing w:before="0" w:after="0" w:line="240" w:lineRule="auto"/>
              <w:jc w:val="center"/>
            </w:pPr>
            <w:r>
              <w:rPr>
                <w:b w:val="0"/>
                <w:sz w:val="10"/>
              </w:rPr>
              <w:t>CPU</w:t>
            </w:r>
          </w:p>
        </w:tc>
        <w:tc>
          <w:tcPr>
            <w:tcW w:type="dxa" w:w="1782"/>
            <w:vAlign w:val="center"/>
          </w:tcPr>
          <w:p>
            <w:r>
              <w:rPr>
                <w:sz w:val="10"/>
              </w:rPr>
              <w:t>portable CPU rSVD regression/argmax; native LDA 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SIMPLS</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CUDA</w:t>
            </w:r>
          </w:p>
        </w:tc>
        <w:tc>
          <w:tcPr>
            <w:tcW w:type="dxa" w:w="1782"/>
            <w:vAlign w:val="center"/>
          </w:tcPr>
          <w:p>
            <w:pPr>
              <w:spacing w:before="0" w:after="0"/>
            </w:pPr>
            <w:r>
              <w:rPr>
                <w:b w:val="0"/>
                <w:sz w:val="12"/>
              </w:rPr>
              <w:t>regression=validated; argmax=experimental; LDA=experimental</w:t>
            </w:r>
          </w:p>
        </w:tc>
        <w:tc>
          <w:tcPr>
            <w:tcW w:type="dxa" w:w="1782"/>
            <w:vAlign w:val="center"/>
          </w:tcPr>
          <w:p>
            <w:pPr>
              <w:spacing w:before="0" w:after="0" w:line="240" w:lineRule="auto"/>
              <w:jc w:val="center"/>
            </w:pPr>
            <w:r>
              <w:rPr>
                <w:b w:val="0"/>
                <w:sz w:val="10"/>
              </w:rPr>
              <w:t>rSVD only</w:t>
            </w:r>
          </w:p>
        </w:tc>
        <w:tc>
          <w:tcPr>
            <w:tcW w:type="dxa" w:w="1782"/>
            <w:vAlign w:val="center"/>
          </w:tcPr>
          <w:p>
            <w:pPr>
              <w:spacing w:before="0" w:after="0"/>
            </w:pPr>
            <w:r>
              <w:rPr>
                <w:b w:val="0"/>
                <w:sz w:val="12"/>
              </w:rPr>
              <w:t>Hybrid in float32 label-aware classification: host sequential SIMPLS and score projection; CUDA rSVD range products and LDA</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SIMPLS</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Metal</w:t>
            </w:r>
          </w:p>
        </w:tc>
        <w:tc>
          <w:tcPr>
            <w:tcW w:type="dxa" w:w="1782"/>
            <w:vAlign w:val="center"/>
          </w:tcPr>
          <w:p>
            <w:pPr>
              <w:spacing w:before="0" w:after="0" w:line="240" w:lineRule="auto"/>
              <w:jc w:val="center"/>
            </w:pPr>
            <w:r>
              <w:rPr>
                <w:b w:val="0"/>
                <w:sz w:val="10"/>
              </w:rPr>
              <w:t>regression=experimental; argmax=experimental; LDA=hybrid</w:t>
            </w:r>
          </w:p>
        </w:tc>
        <w:tc>
          <w:tcPr>
            <w:tcW w:type="dxa" w:w="1782"/>
            <w:vAlign w:val="center"/>
          </w:tcPr>
          <w:p>
            <w:pPr>
              <w:spacing w:before="0" w:after="0" w:line="240" w:lineRule="auto"/>
              <w:jc w:val="center"/>
            </w:pPr>
            <w:r>
              <w:rPr>
                <w:b w:val="0"/>
                <w:sz w:val="10"/>
              </w:rPr>
              <w:t>rSVD and IRLBA experimental</w:t>
            </w:r>
          </w:p>
        </w:tc>
        <w:tc>
          <w:tcPr>
            <w:tcW w:type="dxa" w:w="1782"/>
            <w:vAlign w:val="center"/>
          </w:tcPr>
          <w:p>
            <w:pPr>
              <w:spacing w:before="0" w:after="0" w:line="240" w:lineRule="auto"/>
              <w:jc w:val="center"/>
            </w:pPr>
            <w:r>
              <w:rPr>
                <w:b w:val="0"/>
                <w:sz w:val="10"/>
              </w:rPr>
              <w:t>Metal PLS scores plus CPU float32 LDA/device with hybrid reduced decomposition</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OPLS</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CPU</w:t>
            </w:r>
          </w:p>
        </w:tc>
        <w:tc>
          <w:tcPr>
            <w:tcW w:type="dxa" w:w="1782"/>
            <w:vAlign w:val="center"/>
          </w:tcPr>
          <w:p>
            <w:pPr>
              <w:spacing w:before="0" w:after="0" w:line="240" w:lineRule="auto"/>
              <w:jc w:val="center"/>
            </w:pPr>
            <w:r>
              <w:rPr>
                <w:b w:val="0"/>
                <w:sz w:val="10"/>
              </w:rPr>
              <w:t>regression=validated; argmax=validated; LDA=validated</w:t>
            </w:r>
          </w:p>
        </w:tc>
        <w:tc>
          <w:tcPr>
            <w:tcW w:type="dxa" w:w="1782"/>
            <w:vAlign w:val="center"/>
          </w:tcPr>
          <w:p>
            <w:pPr>
              <w:spacing w:before="0" w:after="0" w:line="240" w:lineRule="auto"/>
              <w:jc w:val="center"/>
            </w:pPr>
            <w:r>
              <w:rPr>
                <w:b w:val="0"/>
                <w:sz w:val="10"/>
              </w:rPr>
              <w:t>rSVD validated; IRLBA experimental</w:t>
            </w:r>
          </w:p>
        </w:tc>
        <w:tc>
          <w:tcPr>
            <w:tcW w:type="dxa" w:w="1782"/>
            <w:vAlign w:val="center"/>
          </w:tcPr>
          <w:p>
            <w:pPr>
              <w:spacing w:before="0" w:after="0" w:line="240" w:lineRule="auto"/>
              <w:jc w:val="center"/>
            </w:pPr>
            <w:r>
              <w:rPr>
                <w:b w:val="0"/>
                <w:sz w:val="10"/>
              </w:rPr>
              <w:t>CPU</w:t>
            </w:r>
          </w:p>
        </w:tc>
        <w:tc>
          <w:tcPr>
            <w:tcW w:type="dxa" w:w="1782"/>
            <w:vAlign w:val="center"/>
          </w:tcPr>
          <w:p>
            <w:r>
              <w:rPr>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OPLS</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CUDA</w:t>
            </w:r>
          </w:p>
        </w:tc>
        <w:tc>
          <w:tcPr>
            <w:tcW w:type="dxa" w:w="1782"/>
            <w:vAlign w:val="center"/>
          </w:tcPr>
          <w:p>
            <w:pPr>
              <w:spacing w:before="0" w:after="0" w:line="240" w:lineRule="auto"/>
              <w:jc w:val="center"/>
            </w:pPr>
            <w:r>
              <w:rPr>
                <w:b w:val="0"/>
                <w:sz w:val="10"/>
              </w:rPr>
              <w:t>regression=hybrid; argmax=hybrid; LDA=hybrid</w:t>
            </w:r>
          </w:p>
        </w:tc>
        <w:tc>
          <w:tcPr>
            <w:tcW w:type="dxa" w:w="1782"/>
            <w:vAlign w:val="center"/>
          </w:tcPr>
          <w:p>
            <w:pPr>
              <w:spacing w:before="0" w:after="0" w:line="240" w:lineRule="auto"/>
              <w:jc w:val="center"/>
            </w:pPr>
            <w:r>
              <w:rPr>
                <w:b w:val="0"/>
                <w:sz w:val="10"/>
              </w:rPr>
              <w:t>rSVD only</w:t>
            </w:r>
          </w:p>
        </w:tc>
        <w:tc>
          <w:tcPr>
            <w:tcW w:type="dxa" w:w="1782"/>
            <w:vAlign w:val="center"/>
          </w:tcPr>
          <w:p>
            <w:pPr>
              <w:spacing w:before="0" w:after="0" w:line="240" w:lineRule="auto"/>
              <w:jc w:val="center"/>
            </w:pPr>
            <w:r>
              <w:rPr>
                <w:b w:val="0"/>
                <w:sz w:val="10"/>
              </w:rPr>
              <w:t>CUDA inner PLS with host-resident OPLS orchestration</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OPLS</w:t>
            </w:r>
          </w:p>
        </w:tc>
        <w:tc>
          <w:tcPr>
            <w:tcW w:type="dxa" w:w="1782"/>
            <w:vAlign w:val="center"/>
          </w:tcPr>
          <w:p>
            <w:pPr>
              <w:spacing w:before="0" w:after="0" w:line="240" w:lineRule="auto"/>
              <w:jc w:val="center"/>
            </w:pPr>
            <w:r>
              <w:rPr>
                <w:b w:val="0"/>
                <w:sz w:val="10"/>
              </w:rPr>
              <w:t>n/a</w:t>
            </w:r>
          </w:p>
        </w:tc>
        <w:tc>
          <w:tcPr>
            <w:tcW w:type="dxa" w:w="1782"/>
            <w:vAlign w:val="center"/>
          </w:tcPr>
          <w:p>
            <w:pPr>
              <w:spacing w:before="0" w:after="0" w:line="240" w:lineRule="auto"/>
              <w:jc w:val="center"/>
            </w:pPr>
            <w:r>
              <w:rPr>
                <w:b w:val="0"/>
                <w:sz w:val="10"/>
              </w:rPr>
              <w:t>Metal</w:t>
            </w:r>
          </w:p>
        </w:tc>
        <w:tc>
          <w:tcPr>
            <w:tcW w:type="dxa" w:w="1782"/>
            <w:vAlign w:val="center"/>
          </w:tcPr>
          <w:p>
            <w:pPr>
              <w:spacing w:before="0" w:after="0" w:line="240" w:lineRule="auto"/>
              <w:jc w:val="center"/>
            </w:pPr>
            <w:r>
              <w:rPr>
                <w:b w:val="0"/>
                <w:sz w:val="10"/>
              </w:rPr>
              <w:t>regression=hybrid; argmax=hybrid; LDA=hybrid</w:t>
            </w:r>
          </w:p>
        </w:tc>
        <w:tc>
          <w:tcPr>
            <w:tcW w:type="dxa" w:w="1782"/>
            <w:vAlign w:val="center"/>
          </w:tcPr>
          <w:p>
            <w:pPr>
              <w:spacing w:before="0" w:after="0" w:line="240" w:lineRule="auto"/>
              <w:jc w:val="center"/>
            </w:pPr>
            <w:r>
              <w:rPr>
                <w:b w:val="0"/>
                <w:sz w:val="10"/>
              </w:rPr>
              <w:t>rSVD and IRLBA experimental</w:t>
            </w:r>
          </w:p>
        </w:tc>
        <w:tc>
          <w:tcPr>
            <w:tcW w:type="dxa" w:w="1782"/>
            <w:vAlign w:val="center"/>
          </w:tcPr>
          <w:p>
            <w:pPr>
              <w:spacing w:before="0" w:after="0" w:line="240" w:lineRule="auto"/>
              <w:jc w:val="center"/>
            </w:pPr>
            <w:r>
              <w:rPr>
                <w:b w:val="0"/>
                <w:sz w:val="10"/>
              </w:rPr>
              <w:t>Metal inner PLS with host-resident OPLS orchestration</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kernel PLS</w:t>
            </w:r>
          </w:p>
        </w:tc>
        <w:tc>
          <w:tcPr>
            <w:tcW w:type="dxa" w:w="1782"/>
            <w:vAlign w:val="center"/>
          </w:tcPr>
          <w:p>
            <w:pPr>
              <w:spacing w:before="0" w:after="0" w:line="240" w:lineRule="auto"/>
              <w:jc w:val="center"/>
            </w:pPr>
            <w:r>
              <w:rPr>
                <w:b w:val="0"/>
                <w:sz w:val="10"/>
              </w:rPr>
              <w:t>linear</w:t>
            </w:r>
          </w:p>
        </w:tc>
        <w:tc>
          <w:tcPr>
            <w:tcW w:type="dxa" w:w="1782"/>
            <w:vAlign w:val="center"/>
          </w:tcPr>
          <w:p>
            <w:pPr>
              <w:spacing w:before="0" w:after="0" w:line="240" w:lineRule="auto"/>
              <w:jc w:val="center"/>
            </w:pPr>
            <w:r>
              <w:rPr>
                <w:b w:val="0"/>
                <w:sz w:val="10"/>
              </w:rPr>
              <w:t>CPU</w:t>
            </w:r>
          </w:p>
        </w:tc>
        <w:tc>
          <w:tcPr>
            <w:tcW w:type="dxa" w:w="1782"/>
            <w:vAlign w:val="center"/>
          </w:tcPr>
          <w:p>
            <w:pPr>
              <w:spacing w:before="0" w:after="0" w:line="240" w:lineRule="auto"/>
              <w:jc w:val="center"/>
            </w:pPr>
            <w:r>
              <w:rPr>
                <w:b w:val="0"/>
                <w:sz w:val="10"/>
              </w:rPr>
              <w:t>regression=validated; argmax=experimental; LDA=experimental</w:t>
            </w:r>
          </w:p>
        </w:tc>
        <w:tc>
          <w:tcPr>
            <w:tcW w:type="dxa" w:w="1782"/>
            <w:vAlign w:val="center"/>
          </w:tcPr>
          <w:p>
            <w:pPr>
              <w:spacing w:before="0" w:after="0" w:line="240" w:lineRule="auto"/>
              <w:jc w:val="center"/>
            </w:pPr>
            <w:r>
              <w:rPr>
                <w:b w:val="0"/>
                <w:sz w:val="10"/>
              </w:rPr>
              <w:t>rSVD validated; IRLBA experimental</w:t>
            </w:r>
          </w:p>
        </w:tc>
        <w:tc>
          <w:tcPr>
            <w:tcW w:type="dxa" w:w="1782"/>
            <w:vAlign w:val="center"/>
          </w:tcPr>
          <w:p>
            <w:pPr>
              <w:spacing w:before="0" w:after="0" w:line="240" w:lineRule="auto"/>
              <w:jc w:val="center"/>
            </w:pPr>
            <w:r>
              <w:rPr>
                <w:b w:val="0"/>
                <w:sz w:val="10"/>
              </w:rPr>
              <w:t>CPU</w:t>
            </w:r>
          </w:p>
        </w:tc>
        <w:tc>
          <w:tcPr>
            <w:tcW w:type="dxa" w:w="1782"/>
            <w:vAlign w:val="center"/>
          </w:tcPr>
          <w:p>
            <w:r>
              <w:rPr>
                <w:sz w:val="10"/>
              </w:rPr>
              <w:t>portable CPU rSVD regression/argmax; native LDA 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kernel PLS</w:t>
            </w:r>
          </w:p>
        </w:tc>
        <w:tc>
          <w:tcPr>
            <w:tcW w:type="dxa" w:w="1782"/>
            <w:vAlign w:val="center"/>
          </w:tcPr>
          <w:p>
            <w:pPr>
              <w:spacing w:before="0" w:after="0" w:line="240" w:lineRule="auto"/>
              <w:jc w:val="center"/>
            </w:pPr>
            <w:r>
              <w:rPr>
                <w:b w:val="0"/>
                <w:sz w:val="10"/>
              </w:rPr>
              <w:t>linear</w:t>
            </w:r>
          </w:p>
        </w:tc>
        <w:tc>
          <w:tcPr>
            <w:tcW w:type="dxa" w:w="1782"/>
            <w:vAlign w:val="center"/>
          </w:tcPr>
          <w:p>
            <w:pPr>
              <w:spacing w:before="0" w:after="0" w:line="240" w:lineRule="auto"/>
              <w:jc w:val="center"/>
            </w:pPr>
            <w:r>
              <w:rPr>
                <w:b w:val="0"/>
                <w:sz w:val="10"/>
              </w:rPr>
              <w:t>CUDA</w:t>
            </w:r>
          </w:p>
        </w:tc>
        <w:tc>
          <w:tcPr>
            <w:tcW w:type="dxa" w:w="1782"/>
            <w:vAlign w:val="center"/>
          </w:tcPr>
          <w:p>
            <w:pPr>
              <w:spacing w:before="0" w:after="0" w:line="240" w:lineRule="auto"/>
              <w:jc w:val="center"/>
            </w:pPr>
            <w:r>
              <w:rPr>
                <w:b w:val="0"/>
                <w:sz w:val="10"/>
              </w:rPr>
              <w:t>regression=validated; argmax=experimental; LDA=experimental</w:t>
            </w:r>
          </w:p>
        </w:tc>
        <w:tc>
          <w:tcPr>
            <w:tcW w:type="dxa" w:w="1782"/>
            <w:vAlign w:val="center"/>
          </w:tcPr>
          <w:p>
            <w:pPr>
              <w:spacing w:before="0" w:after="0" w:line="240" w:lineRule="auto"/>
              <w:jc w:val="center"/>
            </w:pPr>
            <w:r>
              <w:rPr>
                <w:b w:val="0"/>
                <w:sz w:val="10"/>
              </w:rPr>
              <w:t>rSVD only</w:t>
            </w:r>
          </w:p>
        </w:tc>
        <w:tc>
          <w:tcPr>
            <w:tcW w:type="dxa" w:w="1782"/>
            <w:vAlign w:val="center"/>
          </w:tcPr>
          <w:p>
            <w:pPr>
              <w:spacing w:before="0" w:after="0" w:line="240" w:lineRule="auto"/>
              <w:jc w:val="center"/>
            </w:pPr>
            <w:r>
              <w:rPr>
                <w:b w:val="0"/>
                <w:sz w:val="10"/>
              </w:rPr>
              <w:t>device</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kernel PLS</w:t>
            </w:r>
          </w:p>
        </w:tc>
        <w:tc>
          <w:tcPr>
            <w:tcW w:type="dxa" w:w="1782"/>
            <w:vAlign w:val="center"/>
          </w:tcPr>
          <w:p>
            <w:pPr>
              <w:spacing w:before="0" w:after="0" w:line="240" w:lineRule="auto"/>
              <w:jc w:val="center"/>
            </w:pPr>
            <w:r>
              <w:rPr>
                <w:b w:val="0"/>
                <w:sz w:val="10"/>
              </w:rPr>
              <w:t>linear</w:t>
            </w:r>
          </w:p>
        </w:tc>
        <w:tc>
          <w:tcPr>
            <w:tcW w:type="dxa" w:w="1782"/>
            <w:vAlign w:val="center"/>
          </w:tcPr>
          <w:p>
            <w:pPr>
              <w:spacing w:before="0" w:after="0" w:line="240" w:lineRule="auto"/>
              <w:jc w:val="center"/>
            </w:pPr>
            <w:r>
              <w:rPr>
                <w:b w:val="0"/>
                <w:sz w:val="10"/>
              </w:rPr>
              <w:t>Metal</w:t>
            </w:r>
          </w:p>
        </w:tc>
        <w:tc>
          <w:tcPr>
            <w:tcW w:type="dxa" w:w="1782"/>
            <w:vAlign w:val="center"/>
          </w:tcPr>
          <w:p>
            <w:pPr>
              <w:spacing w:before="0" w:after="0" w:line="240" w:lineRule="auto"/>
              <w:jc w:val="center"/>
            </w:pPr>
            <w:r>
              <w:rPr>
                <w:b w:val="0"/>
                <w:sz w:val="10"/>
              </w:rPr>
              <w:t>regression=experimental; argmax=experimental; LDA=hybrid</w:t>
            </w:r>
          </w:p>
        </w:tc>
        <w:tc>
          <w:tcPr>
            <w:tcW w:type="dxa" w:w="1782"/>
            <w:vAlign w:val="center"/>
          </w:tcPr>
          <w:p>
            <w:pPr>
              <w:spacing w:before="0" w:after="0" w:line="240" w:lineRule="auto"/>
              <w:jc w:val="center"/>
            </w:pPr>
            <w:r>
              <w:rPr>
                <w:b w:val="0"/>
                <w:sz w:val="10"/>
              </w:rPr>
              <w:t>rSVD and IRLBA experimental</w:t>
            </w:r>
          </w:p>
        </w:tc>
        <w:tc>
          <w:tcPr>
            <w:tcW w:type="dxa" w:w="1782"/>
            <w:vAlign w:val="center"/>
          </w:tcPr>
          <w:p>
            <w:pPr>
              <w:spacing w:before="0" w:after="0" w:line="240" w:lineRule="auto"/>
              <w:jc w:val="center"/>
            </w:pPr>
            <w:r>
              <w:rPr>
                <w:b w:val="0"/>
                <w:sz w:val="10"/>
              </w:rPr>
              <w:t>Metal PLS scores plus CPU float32 LDA/device with hybrid reduced decomposition</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kernel PLS</w:t>
            </w:r>
          </w:p>
        </w:tc>
        <w:tc>
          <w:tcPr>
            <w:tcW w:type="dxa" w:w="1782"/>
            <w:vAlign w:val="center"/>
          </w:tcPr>
          <w:p>
            <w:pPr>
              <w:spacing w:before="0" w:after="0" w:line="240" w:lineRule="auto"/>
              <w:jc w:val="center"/>
            </w:pPr>
            <w:r>
              <w:rPr>
                <w:b w:val="0"/>
                <w:sz w:val="10"/>
              </w:rPr>
              <w:t>nonlinear</w:t>
            </w:r>
          </w:p>
        </w:tc>
        <w:tc>
          <w:tcPr>
            <w:tcW w:type="dxa" w:w="1782"/>
            <w:vAlign w:val="center"/>
          </w:tcPr>
          <w:p>
            <w:pPr>
              <w:spacing w:before="0" w:after="0" w:line="240" w:lineRule="auto"/>
              <w:jc w:val="center"/>
            </w:pPr>
            <w:r>
              <w:rPr>
                <w:b w:val="0"/>
                <w:sz w:val="10"/>
              </w:rPr>
              <w:t>CPU</w:t>
            </w:r>
          </w:p>
        </w:tc>
        <w:tc>
          <w:tcPr>
            <w:tcW w:type="dxa" w:w="1782"/>
            <w:vAlign w:val="center"/>
          </w:tcPr>
          <w:p>
            <w:pPr>
              <w:spacing w:before="0" w:after="0" w:line="240" w:lineRule="auto"/>
              <w:jc w:val="center"/>
            </w:pPr>
            <w:r>
              <w:rPr>
                <w:b w:val="0"/>
                <w:sz w:val="10"/>
              </w:rPr>
              <w:t>regression=experimental; argmax=experimental; LDA=experimental</w:t>
            </w:r>
          </w:p>
        </w:tc>
        <w:tc>
          <w:tcPr>
            <w:tcW w:type="dxa" w:w="1782"/>
            <w:vAlign w:val="center"/>
          </w:tcPr>
          <w:p>
            <w:pPr>
              <w:spacing w:before="0" w:after="0" w:line="240" w:lineRule="auto"/>
              <w:jc w:val="center"/>
            </w:pPr>
            <w:r>
              <w:rPr>
                <w:b w:val="0"/>
                <w:sz w:val="10"/>
              </w:rPr>
              <w:t>rSVD validated; IRLBA experimental</w:t>
            </w:r>
          </w:p>
        </w:tc>
        <w:tc>
          <w:tcPr>
            <w:tcW w:type="dxa" w:w="1782"/>
            <w:vAlign w:val="center"/>
          </w:tcPr>
          <w:p>
            <w:pPr>
              <w:spacing w:before="0" w:after="0" w:line="240" w:lineRule="auto"/>
              <w:jc w:val="center"/>
            </w:pPr>
            <w:r>
              <w:rPr>
                <w:b w:val="0"/>
                <w:sz w:val="10"/>
              </w:rPr>
              <w:t>CPU with explicit Gram matrix</w:t>
            </w:r>
          </w:p>
        </w:tc>
        <w:tc>
          <w:tcPr>
            <w:tcW w:type="dxa" w:w="1782"/>
            <w:vAlign w:val="center"/>
          </w:tcPr>
          <w:p>
            <w:r>
              <w:rPr>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kernel PLS</w:t>
            </w:r>
          </w:p>
        </w:tc>
        <w:tc>
          <w:tcPr>
            <w:tcW w:type="dxa" w:w="1782"/>
            <w:vAlign w:val="center"/>
          </w:tcPr>
          <w:p>
            <w:pPr>
              <w:spacing w:before="0" w:after="0" w:line="240" w:lineRule="auto"/>
              <w:jc w:val="center"/>
            </w:pPr>
            <w:r>
              <w:rPr>
                <w:b w:val="0"/>
                <w:sz w:val="10"/>
              </w:rPr>
              <w:t>nonlinear</w:t>
            </w:r>
          </w:p>
        </w:tc>
        <w:tc>
          <w:tcPr>
            <w:tcW w:type="dxa" w:w="1782"/>
            <w:vAlign w:val="center"/>
          </w:tcPr>
          <w:p>
            <w:pPr>
              <w:spacing w:before="0" w:after="0" w:line="240" w:lineRule="auto"/>
              <w:jc w:val="center"/>
            </w:pPr>
            <w:r>
              <w:rPr>
                <w:b w:val="0"/>
                <w:sz w:val="10"/>
              </w:rPr>
              <w:t>CUDA</w:t>
            </w:r>
          </w:p>
        </w:tc>
        <w:tc>
          <w:tcPr>
            <w:tcW w:type="dxa" w:w="1782"/>
            <w:vAlign w:val="center"/>
          </w:tcPr>
          <w:p>
            <w:pPr>
              <w:spacing w:before="0" w:after="0" w:line="240" w:lineRule="auto"/>
              <w:jc w:val="center"/>
            </w:pPr>
            <w:r>
              <w:rPr>
                <w:b w:val="0"/>
                <w:sz w:val="10"/>
              </w:rPr>
              <w:t>regression=hybrid; argmax=hybrid; LDA=hybrid</w:t>
            </w:r>
          </w:p>
        </w:tc>
        <w:tc>
          <w:tcPr>
            <w:tcW w:type="dxa" w:w="1782"/>
            <w:vAlign w:val="center"/>
          </w:tcPr>
          <w:p>
            <w:pPr>
              <w:spacing w:before="0" w:after="0" w:line="240" w:lineRule="auto"/>
              <w:jc w:val="center"/>
            </w:pPr>
            <w:r>
              <w:rPr>
                <w:b w:val="0"/>
                <w:sz w:val="10"/>
              </w:rPr>
              <w:t>rSVD only</w:t>
            </w:r>
          </w:p>
        </w:tc>
        <w:tc>
          <w:tcPr>
            <w:tcW w:type="dxa" w:w="1782"/>
            <w:vAlign w:val="center"/>
          </w:tcPr>
          <w:p>
            <w:pPr>
              <w:spacing w:before="0" w:after="0" w:line="240" w:lineRule="auto"/>
              <w:jc w:val="center"/>
            </w:pPr>
            <w:r>
              <w:rPr>
                <w:b w:val="0"/>
                <w:sz w:val="10"/>
              </w:rPr>
              <w:t>CUDA kernel products with host-resident Gram centering/orchestration</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failed/not applicable</w:t>
            </w:r>
          </w:p>
        </w:tc>
      </w:tr>
      <w:tr>
        <w:trPr>
          <w:cantSplit/>
        </w:trPr>
        <w:tc>
          <w:tcPr>
            <w:tcW w:type="dxa" w:w="1782"/>
            <w:vAlign w:val="center"/>
          </w:tcPr>
          <w:p>
            <w:pPr>
              <w:spacing w:before="0" w:after="0" w:line="240" w:lineRule="auto"/>
              <w:jc w:val="left"/>
            </w:pPr>
            <w:r>
              <w:rPr>
                <w:b w:val="0"/>
                <w:sz w:val="10"/>
              </w:rPr>
              <w:t>kernel PLS</w:t>
            </w:r>
          </w:p>
        </w:tc>
        <w:tc>
          <w:tcPr>
            <w:tcW w:type="dxa" w:w="1782"/>
            <w:vAlign w:val="center"/>
          </w:tcPr>
          <w:p>
            <w:pPr>
              <w:spacing w:before="0" w:after="0" w:line="240" w:lineRule="auto"/>
              <w:jc w:val="center"/>
            </w:pPr>
            <w:r>
              <w:rPr>
                <w:b w:val="0"/>
                <w:sz w:val="10"/>
              </w:rPr>
              <w:t>nonlinear</w:t>
            </w:r>
          </w:p>
        </w:tc>
        <w:tc>
          <w:tcPr>
            <w:tcW w:type="dxa" w:w="1782"/>
            <w:vAlign w:val="center"/>
          </w:tcPr>
          <w:p>
            <w:pPr>
              <w:spacing w:before="0" w:after="0" w:line="240" w:lineRule="auto"/>
              <w:jc w:val="center"/>
            </w:pPr>
            <w:r>
              <w:rPr>
                <w:b w:val="0"/>
                <w:sz w:val="10"/>
              </w:rPr>
              <w:t>Metal</w:t>
            </w:r>
          </w:p>
        </w:tc>
        <w:tc>
          <w:tcPr>
            <w:tcW w:type="dxa" w:w="1782"/>
            <w:vAlign w:val="center"/>
          </w:tcPr>
          <w:p>
            <w:pPr>
              <w:spacing w:before="0" w:after="0" w:line="240" w:lineRule="auto"/>
              <w:jc w:val="center"/>
            </w:pPr>
            <w:r>
              <w:rPr>
                <w:b w:val="0"/>
                <w:sz w:val="10"/>
              </w:rPr>
              <w:t>regression=hybrid; argmax=hybrid; LDA=hybrid</w:t>
            </w:r>
          </w:p>
        </w:tc>
        <w:tc>
          <w:tcPr>
            <w:tcW w:type="dxa" w:w="1782"/>
            <w:vAlign w:val="center"/>
          </w:tcPr>
          <w:p>
            <w:pPr>
              <w:spacing w:before="0" w:after="0" w:line="240" w:lineRule="auto"/>
              <w:jc w:val="center"/>
            </w:pPr>
            <w:r>
              <w:rPr>
                <w:b w:val="0"/>
                <w:sz w:val="10"/>
              </w:rPr>
              <w:t>rSVD and IRLBA experimental</w:t>
            </w:r>
          </w:p>
        </w:tc>
        <w:tc>
          <w:tcPr>
            <w:tcW w:type="dxa" w:w="1782"/>
            <w:vAlign w:val="center"/>
          </w:tcPr>
          <w:p>
            <w:pPr>
              <w:spacing w:before="0" w:after="0" w:line="240" w:lineRule="auto"/>
              <w:jc w:val="center"/>
            </w:pPr>
            <w:r>
              <w:rPr>
                <w:b w:val="0"/>
                <w:sz w:val="10"/>
              </w:rPr>
              <w:t>Metal kernel products with host-resident Gram centering/orchestration</w:t>
            </w:r>
          </w:p>
        </w:tc>
        <w:tc>
          <w:tcPr>
            <w:tcW w:type="dxa" w:w="1782"/>
            <w:vAlign w:val="center"/>
          </w:tcPr>
          <w:p>
            <w:pPr>
              <w:spacing w:before="0" w:after="0" w:line="240" w:lineRule="auto"/>
              <w:jc w:val="center"/>
            </w:pPr>
            <w:r>
              <w:rPr>
                <w:b w:val="0"/>
                <w:sz w:val="10"/>
              </w:rPr>
              <w:t>unavailable</w:t>
            </w:r>
          </w:p>
        </w:tc>
        <w:tc>
          <w:tcPr>
            <w:tcW w:type="dxa" w:w="1782"/>
            <w:vAlign w:val="center"/>
          </w:tcPr>
          <w:p>
            <w:pPr>
              <w:spacing w:before="0" w:after="0" w:line="240" w:lineRule="auto"/>
              <w:jc w:val="center"/>
            </w:pPr>
            <w:r>
              <w:rPr>
                <w:b w:val="0"/>
                <w:sz w:val="10"/>
              </w:rPr>
              <w:t>failed/not applicable</w:t>
            </w:r>
          </w:p>
        </w:tc>
      </w:tr>
    </w:tbl>
    <w:p>
      <w:pPr>
        <w:pStyle w:val="Heading1"/>
      </w:pPr>
      <w:r>
        <w:t>S15. External software comparison</w:t>
      </w:r>
    </w:p>
    <w:p>
      <w:r>
        <w:t>The primary software comparison used float64, deterministic CPU SIMPLS, the same split and component count, and one effective BLAS thread. fastPLS argmax is estimator matched to pls::simpls.fit; LDA is a workflow comparison because the prediction head differs. Memory is absolute process RSS and is reported for feasibility, not isolated algorithmic allocation. Across 126 attempted external-package dataset/method runs, 110 completed and 16 did not: 12 were documented package limitations, two were killed at the timeout, and two produced execution errors. The previously incomplete CIFAR-100 fastPLS SIMPLS-LDA row was rerun independently with a 7,200-s limit; all three replicates completed, with median accuracy 0.8710, median total time 10.118 s, and median peak process RSS 1,687 MB. The current package-comparison workflow uses a 10,000-s default timeout. The isolated evidence is stored under benchmark_results/manuscript_revision_cycle78_20260726/cifar100_fastpls_simpls_lda.</w:t>
      </w:r>
    </w:p>
    <w:p>
      <w:pPr>
        <w:pStyle w:val="Caption"/>
      </w:pPr>
      <w:r>
        <w:t>Table S10. Definitive one-CPU external comparison. Cells report accuracy; total fitting-plus-prediction time; peak process RSS.</w:t>
      </w:r>
    </w:p>
    <w:tbl>
      <w:tblPr>
        <w:tblW w:type="auto" w:w="0"/>
        <w:tblLayout w:type="autofit"/>
        <w:tblLook w:firstColumn="1" w:firstRow="1" w:lastColumn="0" w:lastRow="0" w:noHBand="0" w:noVBand="1" w:val="04A0"/>
      </w:tblPr>
      <w:tblGrid>
        <w:gridCol w:w="2376"/>
        <w:gridCol w:w="2376"/>
        <w:gridCol w:w="2376"/>
        <w:gridCol w:w="2376"/>
        <w:gridCol w:w="2376"/>
        <w:gridCol w:w="2376"/>
      </w:tblGrid>
      <w:tr>
        <w:trPr>
          <w:tblHeader w:val="true"/>
          <w:cantSplit/>
        </w:trPr>
        <w:tc>
          <w:tcPr>
            <w:tcW w:type="dxa" w:w="2376"/>
            <w:vAlign w:val="center"/>
          </w:tcPr>
          <w:p>
            <w:pPr>
              <w:spacing w:before="0" w:after="0" w:line="240" w:lineRule="auto"/>
              <w:jc w:val="left"/>
            </w:pPr>
            <w:r>
              <w:rPr>
                <w:b/>
                <w:sz w:val="10"/>
              </w:rPr>
              <w:t>Dataset</w:t>
            </w:r>
          </w:p>
        </w:tc>
        <w:tc>
          <w:tcPr>
            <w:tcW w:type="dxa" w:w="2376"/>
            <w:vAlign w:val="center"/>
          </w:tcPr>
          <w:p>
            <w:pPr>
              <w:spacing w:before="0" w:after="0" w:line="240" w:lineRule="auto"/>
              <w:jc w:val="center"/>
            </w:pPr>
            <w:r>
              <w:rPr>
                <w:b/>
                <w:sz w:val="10"/>
              </w:rPr>
              <w:t>A</w:t>
            </w:r>
          </w:p>
        </w:tc>
        <w:tc>
          <w:tcPr>
            <w:tcW w:type="dxa" w:w="2376"/>
            <w:vAlign w:val="center"/>
          </w:tcPr>
          <w:p>
            <w:pPr>
              <w:spacing w:before="0" w:after="0" w:line="240" w:lineRule="auto"/>
              <w:jc w:val="center"/>
            </w:pPr>
            <w:r>
              <w:rPr>
                <w:b/>
                <w:sz w:val="10"/>
              </w:rPr>
              <w:t>fastPLS argmax</w:t>
            </w:r>
          </w:p>
        </w:tc>
        <w:tc>
          <w:tcPr>
            <w:tcW w:type="dxa" w:w="2376"/>
            <w:vAlign w:val="center"/>
          </w:tcPr>
          <w:p>
            <w:pPr>
              <w:spacing w:before="0" w:after="0" w:line="240" w:lineRule="auto"/>
              <w:jc w:val="center"/>
            </w:pPr>
            <w:r>
              <w:rPr>
                <w:b/>
                <w:sz w:val="10"/>
              </w:rPr>
              <w:t>fastPLS LDA</w:t>
            </w:r>
          </w:p>
        </w:tc>
        <w:tc>
          <w:tcPr>
            <w:tcW w:type="dxa" w:w="2376"/>
            <w:vAlign w:val="center"/>
          </w:tcPr>
          <w:p>
            <w:pPr>
              <w:spacing w:before="0" w:after="0" w:line="240" w:lineRule="auto"/>
              <w:jc w:val="center"/>
            </w:pPr>
            <w:r>
              <w:rPr>
                <w:b/>
                <w:sz w:val="10"/>
              </w:rPr>
              <w:t>Fastest external</w:t>
            </w:r>
          </w:p>
        </w:tc>
        <w:tc>
          <w:tcPr>
            <w:tcW w:type="dxa" w:w="2376"/>
            <w:vAlign w:val="center"/>
          </w:tcPr>
          <w:p>
            <w:pPr>
              <w:spacing w:before="0" w:after="0" w:line="240" w:lineRule="auto"/>
              <w:jc w:val="center"/>
            </w:pPr>
            <w:r>
              <w:rPr>
                <w:b/>
                <w:sz w:val="10"/>
              </w:rPr>
              <w:t>Best-accuracy external</w:t>
            </w:r>
          </w:p>
        </w:tc>
      </w:tr>
      <w:tr>
        <w:trPr>
          <w:cantSplit/>
        </w:trPr>
        <w:tc>
          <w:tcPr>
            <w:tcW w:type="dxa" w:w="2376"/>
            <w:vAlign w:val="center"/>
          </w:tcPr>
          <w:p>
            <w:pPr>
              <w:spacing w:before="0" w:after="0" w:line="240" w:lineRule="auto"/>
              <w:jc w:val="left"/>
            </w:pPr>
            <w:r>
              <w:rPr>
                <w:b w:val="0"/>
                <w:sz w:val="10"/>
              </w:rPr>
              <w:t>CCLE</w:t>
            </w:r>
          </w:p>
        </w:tc>
        <w:tc>
          <w:tcPr>
            <w:tcW w:type="dxa" w:w="2376"/>
            <w:vAlign w:val="center"/>
          </w:tcPr>
          <w:p>
            <w:pPr>
              <w:spacing w:before="0" w:after="0" w:line="240" w:lineRule="auto"/>
              <w:jc w:val="center"/>
            </w:pPr>
            <w:r>
              <w:rPr>
                <w:b w:val="0"/>
                <w:sz w:val="10"/>
              </w:rPr>
              <w:t>50</w:t>
            </w:r>
          </w:p>
        </w:tc>
        <w:tc>
          <w:tcPr>
            <w:tcW w:type="dxa" w:w="2376"/>
            <w:vAlign w:val="center"/>
          </w:tcPr>
          <w:p>
            <w:pPr>
              <w:spacing w:before="0" w:after="0" w:line="240" w:lineRule="auto"/>
              <w:jc w:val="center"/>
            </w:pPr>
            <w:r>
              <w:rPr>
                <w:b w:val="0"/>
                <w:sz w:val="10"/>
              </w:rPr>
              <w:t>0.7324; 0.077s; 469MB</w:t>
            </w:r>
          </w:p>
        </w:tc>
        <w:tc>
          <w:tcPr>
            <w:tcW w:type="dxa" w:w="2376"/>
            <w:vAlign w:val="center"/>
          </w:tcPr>
          <w:p>
            <w:pPr>
              <w:spacing w:before="0" w:after="0" w:line="240" w:lineRule="auto"/>
              <w:jc w:val="center"/>
            </w:pPr>
            <w:r>
              <w:rPr>
                <w:b w:val="0"/>
                <w:sz w:val="10"/>
              </w:rPr>
              <w:t>0.7746; 0.091s; 470MB</w:t>
            </w:r>
          </w:p>
        </w:tc>
        <w:tc>
          <w:tcPr>
            <w:tcW w:type="dxa" w:w="2376"/>
            <w:vAlign w:val="center"/>
          </w:tcPr>
          <w:p>
            <w:pPr>
              <w:spacing w:before="0" w:after="0" w:line="240" w:lineRule="auto"/>
              <w:jc w:val="center"/>
            </w:pPr>
            <w:r>
              <w:rPr>
                <w:b w:val="0"/>
                <w:sz w:val="10"/>
              </w:rPr>
              <w:t>pls/SIMPLS: 0.7324; 0.109s; 135MB</w:t>
            </w:r>
          </w:p>
        </w:tc>
        <w:tc>
          <w:tcPr>
            <w:tcW w:type="dxa" w:w="2376"/>
            <w:vAlign w:val="center"/>
          </w:tcPr>
          <w:p>
            <w:pPr>
              <w:spacing w:before="0" w:after="0" w:line="240" w:lineRule="auto"/>
              <w:jc w:val="center"/>
            </w:pPr>
            <w:r>
              <w:rPr>
                <w:b w:val="0"/>
                <w:sz w:val="10"/>
              </w:rPr>
              <w:t>plsgenomics/PLS-LDA: 0.7746; 0.114s; 172MB</w:t>
            </w:r>
          </w:p>
        </w:tc>
      </w:tr>
      <w:tr>
        <w:trPr>
          <w:cantSplit/>
        </w:trPr>
        <w:tc>
          <w:tcPr>
            <w:tcW w:type="dxa" w:w="2376"/>
            <w:vAlign w:val="center"/>
          </w:tcPr>
          <w:p>
            <w:pPr>
              <w:spacing w:before="0" w:after="0" w:line="240" w:lineRule="auto"/>
              <w:jc w:val="left"/>
            </w:pPr>
            <w:r>
              <w:rPr>
                <w:b w:val="0"/>
                <w:sz w:val="10"/>
              </w:rPr>
              <w:t>GTEx v8</w:t>
            </w:r>
          </w:p>
        </w:tc>
        <w:tc>
          <w:tcPr>
            <w:tcW w:type="dxa" w:w="2376"/>
            <w:vAlign w:val="center"/>
          </w:tcPr>
          <w:p>
            <w:pPr>
              <w:spacing w:before="0" w:after="0" w:line="240" w:lineRule="auto"/>
              <w:jc w:val="center"/>
            </w:pPr>
            <w:r>
              <w:rPr>
                <w:b w:val="0"/>
                <w:sz w:val="10"/>
              </w:rPr>
              <w:t>32</w:t>
            </w:r>
          </w:p>
        </w:tc>
        <w:tc>
          <w:tcPr>
            <w:tcW w:type="dxa" w:w="2376"/>
            <w:vAlign w:val="center"/>
          </w:tcPr>
          <w:p>
            <w:pPr>
              <w:spacing w:before="0" w:after="0" w:line="240" w:lineRule="auto"/>
              <w:jc w:val="center"/>
            </w:pPr>
            <w:r>
              <w:rPr>
                <w:b w:val="0"/>
                <w:sz w:val="10"/>
              </w:rPr>
              <w:t>0.9310; 0.234s; 509MB</w:t>
            </w:r>
          </w:p>
        </w:tc>
        <w:tc>
          <w:tcPr>
            <w:tcW w:type="dxa" w:w="2376"/>
            <w:vAlign w:val="center"/>
          </w:tcPr>
          <w:p>
            <w:pPr>
              <w:spacing w:before="0" w:after="0" w:line="240" w:lineRule="auto"/>
              <w:jc w:val="center"/>
            </w:pPr>
            <w:r>
              <w:rPr>
                <w:b w:val="0"/>
                <w:sz w:val="10"/>
              </w:rPr>
              <w:t>0.9611; 0.274s; 498MB</w:t>
            </w:r>
          </w:p>
        </w:tc>
        <w:tc>
          <w:tcPr>
            <w:tcW w:type="dxa" w:w="2376"/>
            <w:vAlign w:val="center"/>
          </w:tcPr>
          <w:p>
            <w:pPr>
              <w:spacing w:before="0" w:after="0" w:line="240" w:lineRule="auto"/>
              <w:jc w:val="center"/>
            </w:pPr>
            <w:r>
              <w:rPr>
                <w:b w:val="0"/>
                <w:sz w:val="10"/>
              </w:rPr>
              <w:t>plsgenomics/PLS-LDA: 0.9611; 0.360s; 203MB</w:t>
            </w:r>
          </w:p>
        </w:tc>
        <w:tc>
          <w:tcPr>
            <w:tcW w:type="dxa" w:w="2376"/>
            <w:vAlign w:val="center"/>
          </w:tcPr>
          <w:p>
            <w:pPr>
              <w:spacing w:before="0" w:after="0" w:line="240" w:lineRule="auto"/>
              <w:jc w:val="center"/>
            </w:pPr>
            <w:r>
              <w:rPr>
                <w:b w:val="0"/>
                <w:sz w:val="10"/>
              </w:rPr>
              <w:t>plsgenomics/PLS-LDA: 0.9611; 0.360s; 203MB</w:t>
            </w:r>
          </w:p>
        </w:tc>
      </w:tr>
      <w:tr>
        <w:trPr>
          <w:cantSplit/>
        </w:trPr>
        <w:tc>
          <w:tcPr>
            <w:tcW w:type="dxa" w:w="2376"/>
            <w:vAlign w:val="center"/>
          </w:tcPr>
          <w:p>
            <w:pPr>
              <w:spacing w:before="0" w:after="0" w:line="240" w:lineRule="auto"/>
              <w:jc w:val="left"/>
            </w:pPr>
            <w:r>
              <w:rPr>
                <w:b w:val="0"/>
                <w:sz w:val="10"/>
              </w:rPr>
              <w:t>MetRef</w:t>
            </w:r>
          </w:p>
        </w:tc>
        <w:tc>
          <w:tcPr>
            <w:tcW w:type="dxa" w:w="2376"/>
            <w:vAlign w:val="center"/>
          </w:tcPr>
          <w:p>
            <w:pPr>
              <w:spacing w:before="0" w:after="0" w:line="240" w:lineRule="auto"/>
              <w:jc w:val="center"/>
            </w:pPr>
            <w:r>
              <w:rPr>
                <w:b w:val="0"/>
                <w:sz w:val="10"/>
              </w:rPr>
              <w:t>22</w:t>
            </w:r>
          </w:p>
        </w:tc>
        <w:tc>
          <w:tcPr>
            <w:tcW w:type="dxa" w:w="2376"/>
            <w:vAlign w:val="center"/>
          </w:tcPr>
          <w:p>
            <w:pPr>
              <w:spacing w:before="0" w:after="0" w:line="240" w:lineRule="auto"/>
              <w:jc w:val="center"/>
            </w:pPr>
            <w:r>
              <w:rPr>
                <w:b w:val="0"/>
                <w:sz w:val="10"/>
              </w:rPr>
              <w:t>0.7700; 0.034s; 470MB</w:t>
            </w:r>
          </w:p>
        </w:tc>
        <w:tc>
          <w:tcPr>
            <w:tcW w:type="dxa" w:w="2376"/>
            <w:vAlign w:val="center"/>
          </w:tcPr>
          <w:p>
            <w:pPr>
              <w:spacing w:before="0" w:after="0" w:line="240" w:lineRule="auto"/>
              <w:jc w:val="center"/>
            </w:pPr>
            <w:r>
              <w:rPr>
                <w:b w:val="0"/>
                <w:sz w:val="10"/>
              </w:rPr>
              <w:t>0.8800; 0.037s; 470MB</w:t>
            </w:r>
          </w:p>
        </w:tc>
        <w:tc>
          <w:tcPr>
            <w:tcW w:type="dxa" w:w="2376"/>
            <w:vAlign w:val="center"/>
          </w:tcPr>
          <w:p>
            <w:pPr>
              <w:spacing w:before="0" w:after="0" w:line="240" w:lineRule="auto"/>
              <w:jc w:val="center"/>
            </w:pPr>
            <w:r>
              <w:rPr>
                <w:b w:val="0"/>
                <w:sz w:val="10"/>
              </w:rPr>
              <w:t>pls/SIMPLS: 0.7700; 0.037s; 125MB</w:t>
            </w:r>
          </w:p>
        </w:tc>
        <w:tc>
          <w:tcPr>
            <w:tcW w:type="dxa" w:w="2376"/>
            <w:vAlign w:val="center"/>
          </w:tcPr>
          <w:p>
            <w:pPr>
              <w:spacing w:before="0" w:after="0" w:line="240" w:lineRule="auto"/>
              <w:jc w:val="center"/>
            </w:pPr>
            <w:r>
              <w:rPr>
                <w:b w:val="0"/>
                <w:sz w:val="10"/>
              </w:rPr>
              <w:t>plsgenomics/PLS-LDA: 0.8800; 0.038s; 146MB</w:t>
            </w:r>
          </w:p>
        </w:tc>
      </w:tr>
      <w:tr>
        <w:trPr>
          <w:cantSplit/>
        </w:trPr>
        <w:tc>
          <w:tcPr>
            <w:tcW w:type="dxa" w:w="2376"/>
            <w:vAlign w:val="center"/>
          </w:tcPr>
          <w:p>
            <w:pPr>
              <w:spacing w:before="0" w:after="0" w:line="240" w:lineRule="auto"/>
              <w:jc w:val="left"/>
            </w:pPr>
            <w:r>
              <w:rPr>
                <w:b w:val="0"/>
                <w:sz w:val="10"/>
              </w:rPr>
              <w:t>Retina</w:t>
            </w:r>
          </w:p>
        </w:tc>
        <w:tc>
          <w:tcPr>
            <w:tcW w:type="dxa" w:w="2376"/>
            <w:vAlign w:val="center"/>
          </w:tcPr>
          <w:p>
            <w:pPr>
              <w:spacing w:before="0" w:after="0" w:line="240" w:lineRule="auto"/>
              <w:jc w:val="center"/>
            </w:pPr>
            <w:r>
              <w:rPr>
                <w:b w:val="0"/>
                <w:sz w:val="10"/>
              </w:rPr>
              <w:t>50</w:t>
            </w:r>
          </w:p>
        </w:tc>
        <w:tc>
          <w:tcPr>
            <w:tcW w:type="dxa" w:w="2376"/>
            <w:vAlign w:val="center"/>
          </w:tcPr>
          <w:p>
            <w:pPr>
              <w:spacing w:before="0" w:after="0" w:line="240" w:lineRule="auto"/>
              <w:jc w:val="center"/>
            </w:pPr>
            <w:r>
              <w:rPr>
                <w:b w:val="0"/>
                <w:sz w:val="10"/>
              </w:rPr>
              <w:t>0.9678; 0.084s; 530MB</w:t>
            </w:r>
          </w:p>
        </w:tc>
        <w:tc>
          <w:tcPr>
            <w:tcW w:type="dxa" w:w="2376"/>
            <w:vAlign w:val="center"/>
          </w:tcPr>
          <w:p>
            <w:pPr>
              <w:spacing w:before="0" w:after="0" w:line="240" w:lineRule="auto"/>
              <w:jc w:val="center"/>
            </w:pPr>
            <w:r>
              <w:rPr>
                <w:b w:val="0"/>
                <w:sz w:val="10"/>
              </w:rPr>
              <w:t>0.9691; 0.118s; 517MB</w:t>
            </w:r>
          </w:p>
        </w:tc>
        <w:tc>
          <w:tcPr>
            <w:tcW w:type="dxa" w:w="2376"/>
            <w:vAlign w:val="center"/>
          </w:tcPr>
          <w:p>
            <w:pPr>
              <w:spacing w:before="0" w:after="0" w:line="240" w:lineRule="auto"/>
              <w:jc w:val="center"/>
            </w:pPr>
            <w:r>
              <w:rPr>
                <w:b w:val="0"/>
                <w:sz w:val="10"/>
              </w:rPr>
              <w:t>chemometrics/PLS eigen: 0.9344; 0.136s; 163MB</w:t>
            </w:r>
          </w:p>
        </w:tc>
        <w:tc>
          <w:tcPr>
            <w:tcW w:type="dxa" w:w="2376"/>
            <w:vAlign w:val="center"/>
          </w:tcPr>
          <w:p>
            <w:pPr>
              <w:spacing w:before="0" w:after="0" w:line="240" w:lineRule="auto"/>
              <w:jc w:val="center"/>
            </w:pPr>
            <w:r>
              <w:rPr>
                <w:b w:val="0"/>
                <w:sz w:val="10"/>
              </w:rPr>
              <w:t>plsgenomics/PLS-LDA: 0.9691; 0.760s; 289MB</w:t>
            </w:r>
          </w:p>
        </w:tc>
      </w:tr>
      <w:tr>
        <w:trPr>
          <w:cantSplit/>
        </w:trPr>
        <w:tc>
          <w:tcPr>
            <w:tcW w:type="dxa" w:w="2376"/>
            <w:vAlign w:val="center"/>
          </w:tcPr>
          <w:p>
            <w:pPr>
              <w:spacing w:before="0" w:after="0" w:line="240" w:lineRule="auto"/>
              <w:jc w:val="left"/>
            </w:pPr>
            <w:r>
              <w:rPr>
                <w:b w:val="0"/>
                <w:sz w:val="10"/>
              </w:rPr>
              <w:t>Tabula Muris</w:t>
            </w:r>
          </w:p>
        </w:tc>
        <w:tc>
          <w:tcPr>
            <w:tcW w:type="dxa" w:w="2376"/>
            <w:vAlign w:val="center"/>
          </w:tcPr>
          <w:p>
            <w:pPr>
              <w:spacing w:before="0" w:after="0" w:line="240" w:lineRule="auto"/>
              <w:jc w:val="center"/>
            </w:pPr>
            <w:r>
              <w:rPr>
                <w:b w:val="0"/>
                <w:sz w:val="10"/>
              </w:rPr>
              <w:t>50</w:t>
            </w:r>
          </w:p>
        </w:tc>
        <w:tc>
          <w:tcPr>
            <w:tcW w:type="dxa" w:w="2376"/>
            <w:vAlign w:val="center"/>
          </w:tcPr>
          <w:p>
            <w:pPr>
              <w:spacing w:before="0" w:after="0" w:line="240" w:lineRule="auto"/>
              <w:jc w:val="center"/>
            </w:pPr>
            <w:r>
              <w:rPr>
                <w:b w:val="0"/>
                <w:sz w:val="10"/>
              </w:rPr>
              <w:t>0.8006; 0.346s; 682MB</w:t>
            </w:r>
          </w:p>
        </w:tc>
        <w:tc>
          <w:tcPr>
            <w:tcW w:type="dxa" w:w="2376"/>
            <w:vAlign w:val="center"/>
          </w:tcPr>
          <w:p>
            <w:pPr>
              <w:spacing w:before="0" w:after="0" w:line="240" w:lineRule="auto"/>
              <w:jc w:val="center"/>
            </w:pPr>
            <w:r>
              <w:rPr>
                <w:b w:val="0"/>
                <w:sz w:val="10"/>
              </w:rPr>
              <w:t>0.8752; 0.309s; 596MB</w:t>
            </w:r>
          </w:p>
        </w:tc>
        <w:tc>
          <w:tcPr>
            <w:tcW w:type="dxa" w:w="2376"/>
            <w:vAlign w:val="center"/>
          </w:tcPr>
          <w:p>
            <w:pPr>
              <w:spacing w:before="0" w:after="0" w:line="240" w:lineRule="auto"/>
              <w:jc w:val="center"/>
            </w:pPr>
            <w:r>
              <w:rPr>
                <w:b w:val="0"/>
                <w:sz w:val="10"/>
              </w:rPr>
              <w:t>chemometrics/PLS eigen: 0.7833; 0.605s; 314MB</w:t>
            </w:r>
          </w:p>
        </w:tc>
        <w:tc>
          <w:tcPr>
            <w:tcW w:type="dxa" w:w="2376"/>
            <w:vAlign w:val="center"/>
          </w:tcPr>
          <w:p>
            <w:pPr>
              <w:spacing w:before="0" w:after="0" w:line="240" w:lineRule="auto"/>
              <w:jc w:val="center"/>
            </w:pPr>
            <w:r>
              <w:rPr>
                <w:b w:val="0"/>
                <w:sz w:val="10"/>
              </w:rPr>
              <w:t>plsgenomics/PLS-LDA: 0.8752; 2.092s; 492MB</w:t>
            </w:r>
          </w:p>
        </w:tc>
      </w:tr>
      <w:tr>
        <w:trPr>
          <w:cantSplit/>
        </w:trPr>
        <w:tc>
          <w:tcPr>
            <w:tcW w:type="dxa" w:w="2376"/>
            <w:vAlign w:val="center"/>
          </w:tcPr>
          <w:p>
            <w:pPr>
              <w:spacing w:before="0" w:after="0" w:line="240" w:lineRule="auto"/>
              <w:jc w:val="left"/>
            </w:pPr>
            <w:r>
              <w:rPr>
                <w:b w:val="0"/>
                <w:sz w:val="10"/>
              </w:rPr>
              <w:t>TCGA- BRCA</w:t>
            </w:r>
          </w:p>
        </w:tc>
        <w:tc>
          <w:tcPr>
            <w:tcW w:type="dxa" w:w="2376"/>
            <w:vAlign w:val="center"/>
          </w:tcPr>
          <w:p>
            <w:pPr>
              <w:spacing w:before="0" w:after="0" w:line="240" w:lineRule="auto"/>
              <w:jc w:val="center"/>
            </w:pPr>
            <w:r>
              <w:rPr>
                <w:b w:val="0"/>
                <w:sz w:val="10"/>
              </w:rPr>
              <w:t>5</w:t>
            </w:r>
          </w:p>
        </w:tc>
        <w:tc>
          <w:tcPr>
            <w:tcW w:type="dxa" w:w="2376"/>
            <w:vAlign w:val="center"/>
          </w:tcPr>
          <w:p>
            <w:pPr>
              <w:spacing w:before="0" w:after="0" w:line="240" w:lineRule="auto"/>
              <w:jc w:val="center"/>
            </w:pPr>
            <w:r>
              <w:rPr>
                <w:b w:val="0"/>
                <w:sz w:val="10"/>
              </w:rPr>
              <w:t>0.8523; 0.030s; 471MB</w:t>
            </w:r>
          </w:p>
        </w:tc>
        <w:tc>
          <w:tcPr>
            <w:tcW w:type="dxa" w:w="2376"/>
            <w:vAlign w:val="center"/>
          </w:tcPr>
          <w:p>
            <w:pPr>
              <w:spacing w:before="0" w:after="0" w:line="240" w:lineRule="auto"/>
              <w:jc w:val="center"/>
            </w:pPr>
            <w:r>
              <w:rPr>
                <w:b w:val="0"/>
                <w:sz w:val="10"/>
              </w:rPr>
              <w:t>0.8750; 0.032s; 470MB</w:t>
            </w:r>
          </w:p>
        </w:tc>
        <w:tc>
          <w:tcPr>
            <w:tcW w:type="dxa" w:w="2376"/>
            <w:vAlign w:val="center"/>
          </w:tcPr>
          <w:p>
            <w:pPr>
              <w:spacing w:before="0" w:after="0" w:line="240" w:lineRule="auto"/>
              <w:jc w:val="center"/>
            </w:pPr>
            <w:r>
              <w:rPr>
                <w:b w:val="0"/>
                <w:sz w:val="10"/>
              </w:rPr>
              <w:t>plsgenomics/PLS-LDA: 0.8750; 0.021s; 145MB</w:t>
            </w:r>
          </w:p>
        </w:tc>
        <w:tc>
          <w:tcPr>
            <w:tcW w:type="dxa" w:w="2376"/>
            <w:vAlign w:val="center"/>
          </w:tcPr>
          <w:p>
            <w:pPr>
              <w:spacing w:before="0" w:after="0" w:line="240" w:lineRule="auto"/>
              <w:jc w:val="center"/>
            </w:pPr>
            <w:r>
              <w:rPr>
                <w:b w:val="0"/>
                <w:sz w:val="10"/>
              </w:rPr>
              <w:t>chemometrics/PLS eigen: 0.8864; 1.036s; 180MB</w:t>
            </w:r>
          </w:p>
        </w:tc>
      </w:tr>
      <w:tr>
        <w:trPr>
          <w:cantSplit/>
        </w:trPr>
        <w:tc>
          <w:tcPr>
            <w:tcW w:type="dxa" w:w="2376"/>
            <w:vAlign w:val="center"/>
          </w:tcPr>
          <w:p>
            <w:pPr>
              <w:spacing w:before="0" w:after="0" w:line="240" w:lineRule="auto"/>
              <w:jc w:val="left"/>
            </w:pPr>
            <w:r>
              <w:rPr>
                <w:b w:val="0"/>
                <w:sz w:val="10"/>
              </w:rPr>
              <w:t>TCGA-HNSC methyl.</w:t>
            </w:r>
          </w:p>
        </w:tc>
        <w:tc>
          <w:tcPr>
            <w:tcW w:type="dxa" w:w="2376"/>
            <w:vAlign w:val="center"/>
          </w:tcPr>
          <w:p>
            <w:pPr>
              <w:spacing w:before="0" w:after="0" w:line="240" w:lineRule="auto"/>
              <w:jc w:val="center"/>
            </w:pPr>
            <w:r>
              <w:rPr>
                <w:b w:val="0"/>
                <w:sz w:val="10"/>
              </w:rPr>
              <w:t>2</w:t>
            </w:r>
          </w:p>
        </w:tc>
        <w:tc>
          <w:tcPr>
            <w:tcW w:type="dxa" w:w="2376"/>
            <w:vAlign w:val="center"/>
          </w:tcPr>
          <w:p>
            <w:pPr>
              <w:spacing w:before="0" w:after="0" w:line="240" w:lineRule="auto"/>
              <w:jc w:val="center"/>
            </w:pPr>
            <w:r>
              <w:rPr>
                <w:b w:val="0"/>
                <w:sz w:val="10"/>
              </w:rPr>
              <w:t>1.0000; 0.023s; 467MB</w:t>
            </w:r>
          </w:p>
        </w:tc>
        <w:tc>
          <w:tcPr>
            <w:tcW w:type="dxa" w:w="2376"/>
            <w:vAlign w:val="center"/>
          </w:tcPr>
          <w:p>
            <w:pPr>
              <w:spacing w:before="0" w:after="0" w:line="240" w:lineRule="auto"/>
              <w:jc w:val="center"/>
            </w:pPr>
            <w:r>
              <w:rPr>
                <w:b w:val="0"/>
                <w:sz w:val="10"/>
              </w:rPr>
              <w:t>0.9828; 0.023s; 467MB</w:t>
            </w:r>
          </w:p>
        </w:tc>
        <w:tc>
          <w:tcPr>
            <w:tcW w:type="dxa" w:w="2376"/>
            <w:vAlign w:val="center"/>
          </w:tcPr>
          <w:p>
            <w:pPr>
              <w:spacing w:before="0" w:after="0" w:line="240" w:lineRule="auto"/>
              <w:jc w:val="center"/>
            </w:pPr>
            <w:r>
              <w:rPr>
                <w:b w:val="0"/>
                <w:sz w:val="10"/>
              </w:rPr>
              <w:t>plsgenomics/PLS-LDA: 0.9828; 0.010s; 133MB</w:t>
            </w:r>
          </w:p>
        </w:tc>
        <w:tc>
          <w:tcPr>
            <w:tcW w:type="dxa" w:w="2376"/>
            <w:vAlign w:val="center"/>
          </w:tcPr>
          <w:p>
            <w:pPr>
              <w:spacing w:before="0" w:after="0" w:line="240" w:lineRule="auto"/>
              <w:jc w:val="center"/>
            </w:pPr>
            <w:r>
              <w:rPr>
                <w:b w:val="0"/>
                <w:sz w:val="10"/>
              </w:rPr>
              <w:t>pls/SIMPLS: 1.0000; 0.013s; 107MB</w:t>
            </w:r>
          </w:p>
        </w:tc>
      </w:tr>
      <w:tr>
        <w:trPr>
          <w:cantSplit/>
        </w:trPr>
        <w:tc>
          <w:tcPr>
            <w:tcW w:type="dxa" w:w="2376"/>
            <w:vAlign w:val="center"/>
          </w:tcPr>
          <w:p>
            <w:pPr>
              <w:spacing w:before="0" w:after="0" w:line="240" w:lineRule="auto"/>
              <w:jc w:val="left"/>
            </w:pPr>
            <w:r>
              <w:rPr>
                <w:b w:val="0"/>
                <w:sz w:val="10"/>
              </w:rPr>
              <w:t>TCGA Pan- Cancer</w:t>
            </w:r>
          </w:p>
        </w:tc>
        <w:tc>
          <w:tcPr>
            <w:tcW w:type="dxa" w:w="2376"/>
            <w:vAlign w:val="center"/>
          </w:tcPr>
          <w:p>
            <w:pPr>
              <w:spacing w:before="0" w:after="0" w:line="240" w:lineRule="auto"/>
              <w:jc w:val="center"/>
            </w:pPr>
            <w:r>
              <w:rPr>
                <w:b w:val="0"/>
                <w:sz w:val="10"/>
              </w:rPr>
              <w:t>50</w:t>
            </w:r>
          </w:p>
        </w:tc>
        <w:tc>
          <w:tcPr>
            <w:tcW w:type="dxa" w:w="2376"/>
            <w:vAlign w:val="center"/>
          </w:tcPr>
          <w:p>
            <w:pPr>
              <w:spacing w:before="0" w:after="0" w:line="240" w:lineRule="auto"/>
              <w:jc w:val="center"/>
            </w:pPr>
            <w:r>
              <w:rPr>
                <w:b w:val="0"/>
                <w:sz w:val="10"/>
              </w:rPr>
              <w:t>0.9114; 0.263s; 500MB</w:t>
            </w:r>
          </w:p>
        </w:tc>
        <w:tc>
          <w:tcPr>
            <w:tcW w:type="dxa" w:w="2376"/>
            <w:vAlign w:val="center"/>
          </w:tcPr>
          <w:p>
            <w:pPr>
              <w:spacing w:before="0" w:after="0" w:line="240" w:lineRule="auto"/>
              <w:jc w:val="center"/>
            </w:pPr>
            <w:r>
              <w:rPr>
                <w:b w:val="0"/>
                <w:sz w:val="10"/>
              </w:rPr>
              <w:t>0.9155; 0.323s; 495MB</w:t>
            </w:r>
          </w:p>
        </w:tc>
        <w:tc>
          <w:tcPr>
            <w:tcW w:type="dxa" w:w="2376"/>
            <w:vAlign w:val="center"/>
          </w:tcPr>
          <w:p>
            <w:pPr>
              <w:spacing w:before="0" w:after="0" w:line="240" w:lineRule="auto"/>
              <w:jc w:val="center"/>
            </w:pPr>
            <w:r>
              <w:rPr>
                <w:b w:val="0"/>
                <w:sz w:val="10"/>
              </w:rPr>
              <w:t>plsgenomics/PLS-LDA: 0.9155; 0.533s; 221MB</w:t>
            </w:r>
          </w:p>
        </w:tc>
        <w:tc>
          <w:tcPr>
            <w:tcW w:type="dxa" w:w="2376"/>
            <w:vAlign w:val="center"/>
          </w:tcPr>
          <w:p>
            <w:pPr>
              <w:spacing w:before="0" w:after="0" w:line="240" w:lineRule="auto"/>
              <w:jc w:val="center"/>
            </w:pPr>
            <w:r>
              <w:rPr>
                <w:b w:val="0"/>
                <w:sz w:val="10"/>
              </w:rPr>
              <w:t>plsgenomics/PLS-LDA: 0.9155; 0.533s; 221MB</w:t>
            </w:r>
          </w:p>
        </w:tc>
      </w:tr>
      <w:tr>
        <w:trPr>
          <w:cantSplit/>
        </w:trPr>
        <w:tc>
          <w:tcPr>
            <w:tcW w:type="dxa" w:w="2376"/>
            <w:vAlign w:val="center"/>
          </w:tcPr>
          <w:p>
            <w:pPr>
              <w:spacing w:before="0" w:after="0"/>
            </w:pPr>
            <w:r>
              <w:rPr>
                <w:sz w:val="14"/>
              </w:rPr>
              <w:t>CIFAR-100</w:t>
            </w:r>
          </w:p>
        </w:tc>
        <w:tc>
          <w:tcPr>
            <w:tcW w:type="dxa" w:w="2376"/>
            <w:vAlign w:val="center"/>
          </w:tcPr>
          <w:p>
            <w:pPr>
              <w:spacing w:before="0" w:after="0"/>
            </w:pPr>
            <w:r>
              <w:rPr>
                <w:sz w:val="14"/>
              </w:rPr>
              <w:t>100</w:t>
            </w:r>
          </w:p>
        </w:tc>
        <w:tc>
          <w:tcPr>
            <w:tcW w:type="dxa" w:w="2376"/>
            <w:vAlign w:val="center"/>
          </w:tcPr>
          <w:p>
            <w:pPr>
              <w:spacing w:before="0" w:after="0"/>
            </w:pPr>
            <w:r>
              <w:rPr>
                <w:sz w:val="14"/>
              </w:rPr>
              <w:t>0.8739; 8.189s; 1688MB</w:t>
            </w:r>
          </w:p>
        </w:tc>
        <w:tc>
          <w:tcPr>
            <w:tcW w:type="dxa" w:w="2376"/>
            <w:vAlign w:val="center"/>
          </w:tcPr>
          <w:p>
            <w:pPr>
              <w:spacing w:before="0" w:after="0"/>
            </w:pPr>
            <w:r>
              <w:rPr>
                <w:sz w:val="14"/>
              </w:rPr>
              <w:t>0.8710; 10.118s; 1687MB</w:t>
            </w:r>
          </w:p>
        </w:tc>
        <w:tc>
          <w:tcPr>
            <w:tcW w:type="dxa" w:w="2376"/>
            <w:vAlign w:val="center"/>
          </w:tcPr>
          <w:p>
            <w:pPr>
              <w:spacing w:before="0" w:after="0"/>
            </w:pPr>
            <w:r>
              <w:rPr>
                <w:sz w:val="14"/>
              </w:rPr>
              <w:t>pls/SIMPLS: 0.8739; 34.647s; 13090MB</w:t>
            </w:r>
          </w:p>
        </w:tc>
        <w:tc>
          <w:tcPr>
            <w:tcW w:type="dxa" w:w="2376"/>
            <w:vAlign w:val="center"/>
          </w:tcPr>
          <w:p>
            <w:pPr>
              <w:spacing w:before="0" w:after="0"/>
            </w:pPr>
            <w:r>
              <w:rPr>
                <w:sz w:val="14"/>
              </w:rPr>
              <w:t>pls/SIMPLS: 0.8739; 34.647s; 13090MB</w:t>
            </w:r>
          </w:p>
        </w:tc>
      </w:tr>
    </w:tbl>
    <w:p>
      <w:pPr>
        <w:pStyle w:val="Heading1"/>
      </w:pPr>
      <w:r>
        <w:t>S16. Selected-point CPU and CUDA benchmark</w:t>
      </w:r>
    </w:p>
    <w:p>
      <w:r>
        <w:t>Every row uses the component count selected from the training data for that dataset and family. CPU and CUDA values share the split, model family, precision, solver family, and requested component count. Incremental host RSS is the fit-window peak minus the immediately pre-fit baseline. Incremental GPU memory includes runtime/context state and is not workspace-only allocation.</w:t>
      </w:r>
    </w:p>
    <w:p>
      <w:pPr>
        <w:pStyle w:val="Caption"/>
      </w:pPr>
      <w:r>
        <w:t>Table S11. Definitive selected-point performance. Metric, time, and host memory are CPU / CUDA; GPU memory is the CUDA increment. Endpoint choices are best within the evaluated training grid.</w:t>
      </w:r>
    </w:p>
    <w:tbl>
      <w:tblPr>
        <w:tblW w:type="auto" w:w="0"/>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cantSplit/>
        </w:trPr>
        <w:tc>
          <w:tcPr>
            <w:tcW w:type="dxa" w:w="1584"/>
            <w:vAlign w:val="center"/>
          </w:tcPr>
          <w:p>
            <w:pPr>
              <w:spacing w:before="0" w:after="0" w:line="240" w:lineRule="auto"/>
              <w:jc w:val="left"/>
            </w:pPr>
            <w:r>
              <w:rPr>
                <w:b/>
                <w:sz w:val="10"/>
              </w:rPr>
              <w:t>Dataset</w:t>
            </w:r>
          </w:p>
        </w:tc>
        <w:tc>
          <w:tcPr>
            <w:tcW w:type="dxa" w:w="1584"/>
            <w:vAlign w:val="center"/>
          </w:tcPr>
          <w:p>
            <w:pPr>
              <w:spacing w:before="0" w:after="0" w:line="240" w:lineRule="auto"/>
              <w:jc w:val="center"/>
            </w:pPr>
            <w:r>
              <w:rPr>
                <w:b/>
                <w:sz w:val="10"/>
              </w:rPr>
              <w:t>Family</w:t>
            </w:r>
          </w:p>
        </w:tc>
        <w:tc>
          <w:tcPr>
            <w:tcW w:type="dxa" w:w="1584"/>
            <w:vAlign w:val="center"/>
          </w:tcPr>
          <w:p>
            <w:pPr>
              <w:spacing w:before="0" w:after="0" w:line="240" w:lineRule="auto"/>
              <w:jc w:val="center"/>
            </w:pPr>
            <w:r>
              <w:rPr>
                <w:b/>
                <w:sz w:val="10"/>
              </w:rPr>
              <w:t>A</w:t>
            </w:r>
          </w:p>
        </w:tc>
        <w:tc>
          <w:tcPr>
            <w:tcW w:type="dxa" w:w="1584"/>
            <w:vAlign w:val="center"/>
          </w:tcPr>
          <w:p>
            <w:pPr>
              <w:spacing w:before="0" w:after="0" w:line="240" w:lineRule="auto"/>
              <w:jc w:val="center"/>
            </w:pPr>
            <w:r>
              <w:rPr>
                <w:b/>
                <w:sz w:val="10"/>
              </w:rPr>
              <w:t>Selection status</w:t>
            </w:r>
          </w:p>
        </w:tc>
        <w:tc>
          <w:tcPr>
            <w:tcW w:type="dxa" w:w="1584"/>
            <w:vAlign w:val="center"/>
          </w:tcPr>
          <w:p>
            <w:pPr>
              <w:spacing w:before="0" w:after="0" w:line="240" w:lineRule="auto"/>
              <w:jc w:val="center"/>
            </w:pPr>
            <w:r>
              <w:rPr>
                <w:b/>
                <w:sz w:val="10"/>
              </w:rPr>
              <w:t>Metric CPU / CUDA</w:t>
            </w:r>
          </w:p>
        </w:tc>
        <w:tc>
          <w:tcPr>
            <w:tcW w:type="dxa" w:w="1584"/>
            <w:vAlign w:val="center"/>
          </w:tcPr>
          <w:p>
            <w:pPr>
              <w:spacing w:before="0" w:after="0" w:line="240" w:lineRule="auto"/>
              <w:jc w:val="center"/>
            </w:pPr>
            <w:r>
              <w:rPr>
                <w:b/>
                <w:sz w:val="10"/>
              </w:rPr>
              <w:t>Time s CPU / CUDA</w:t>
            </w:r>
          </w:p>
        </w:tc>
        <w:tc>
          <w:tcPr>
            <w:tcW w:type="dxa" w:w="1584"/>
            <w:vAlign w:val="center"/>
          </w:tcPr>
          <w:p>
            <w:pPr>
              <w:spacing w:before="0" w:after="0" w:line="240" w:lineRule="auto"/>
              <w:jc w:val="center"/>
            </w:pPr>
            <w:r>
              <w:rPr>
                <w:b/>
                <w:sz w:val="10"/>
              </w:rPr>
              <w:t>Delta host MB CPU / CUDA</w:t>
            </w:r>
          </w:p>
        </w:tc>
        <w:tc>
          <w:tcPr>
            <w:tcW w:type="dxa" w:w="1584"/>
            <w:vAlign w:val="center"/>
          </w:tcPr>
          <w:p>
            <w:pPr>
              <w:spacing w:before="0" w:after="0" w:line="240" w:lineRule="auto"/>
              <w:jc w:val="center"/>
            </w:pPr>
            <w:r>
              <w:rPr>
                <w:b/>
                <w:sz w:val="10"/>
              </w:rPr>
              <w:t>Delta GPU MB</w:t>
            </w:r>
          </w:p>
        </w:tc>
        <w:tc>
          <w:tcPr>
            <w:tcW w:type="dxa" w:w="1584"/>
            <w:vAlign w:val="center"/>
          </w:tcPr>
          <w:p>
            <w:pPr>
              <w:spacing w:before="0" w:after="0" w:line="240" w:lineRule="auto"/>
              <w:jc w:val="center"/>
            </w:pPr>
            <w:r>
              <w:rPr>
                <w:b/>
                <w:sz w:val="10"/>
              </w:rPr>
              <w:t>Numerical status</w:t>
            </w:r>
          </w:p>
        </w:tc>
      </w:tr>
      <w:tr>
        <w:trPr>
          <w:cantSplit/>
        </w:trPr>
        <w:tc>
          <w:tcPr>
            <w:tcW w:type="dxa" w:w="1584"/>
            <w:vAlign w:val="center"/>
          </w:tcPr>
          <w:p>
            <w:pPr>
              <w:spacing w:before="0" w:after="0" w:line="240" w:lineRule="auto"/>
              <w:jc w:val="left"/>
            </w:pPr>
            <w:r>
              <w:rPr>
                <w:b w:val="0"/>
                <w:sz w:val="10"/>
              </w:rPr>
              <w:t>metref</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0.9800 / Acc 0.9800</w:t>
            </w:r>
          </w:p>
        </w:tc>
        <w:tc>
          <w:tcPr>
            <w:tcW w:type="dxa" w:w="1584"/>
            <w:vAlign w:val="center"/>
          </w:tcPr>
          <w:p>
            <w:pPr>
              <w:spacing w:before="0" w:after="0" w:line="240" w:lineRule="auto"/>
              <w:jc w:val="center"/>
            </w:pPr>
            <w:r>
              <w:rPr>
                <w:b w:val="0"/>
                <w:sz w:val="10"/>
              </w:rPr>
              <w:t>0.044 / 0.240</w:t>
            </w:r>
          </w:p>
        </w:tc>
        <w:tc>
          <w:tcPr>
            <w:tcW w:type="dxa" w:w="1584"/>
            <w:vAlign w:val="center"/>
          </w:tcPr>
          <w:p>
            <w:pPr>
              <w:spacing w:before="0" w:after="0" w:line="240" w:lineRule="auto"/>
              <w:jc w:val="center"/>
            </w:pPr>
            <w:r>
              <w:rPr>
                <w:b w:val="0"/>
                <w:sz w:val="10"/>
              </w:rPr>
              <w:t>18.2 / 314.2</w:t>
            </w:r>
          </w:p>
        </w:tc>
        <w:tc>
          <w:tcPr>
            <w:tcW w:type="dxa" w:w="1584"/>
            <w:vAlign w:val="center"/>
          </w:tcPr>
          <w:p>
            <w:pPr>
              <w:spacing w:before="0" w:after="0" w:line="240" w:lineRule="auto"/>
              <w:jc w:val="center"/>
            </w:pPr>
            <w:r>
              <w:rPr>
                <w:b w:val="0"/>
                <w:sz w:val="10"/>
              </w:rPr>
              <w:t>198.0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metref</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0.9800 / Acc 0.9800</w:t>
            </w:r>
          </w:p>
        </w:tc>
        <w:tc>
          <w:tcPr>
            <w:tcW w:type="dxa" w:w="1584"/>
            <w:vAlign w:val="center"/>
          </w:tcPr>
          <w:p>
            <w:pPr>
              <w:spacing w:before="0" w:after="0" w:line="240" w:lineRule="auto"/>
              <w:jc w:val="center"/>
            </w:pPr>
            <w:r>
              <w:rPr>
                <w:b w:val="0"/>
                <w:sz w:val="10"/>
              </w:rPr>
              <w:t>0.050 / 0.246</w:t>
            </w:r>
          </w:p>
        </w:tc>
        <w:tc>
          <w:tcPr>
            <w:tcW w:type="dxa" w:w="1584"/>
            <w:vAlign w:val="center"/>
          </w:tcPr>
          <w:p>
            <w:pPr>
              <w:spacing w:before="0" w:after="0" w:line="240" w:lineRule="auto"/>
              <w:jc w:val="center"/>
            </w:pPr>
            <w:r>
              <w:rPr>
                <w:b w:val="0"/>
                <w:sz w:val="10"/>
              </w:rPr>
              <w:t>10.6 / 317.7</w:t>
            </w:r>
          </w:p>
        </w:tc>
        <w:tc>
          <w:tcPr>
            <w:tcW w:type="dxa" w:w="1584"/>
            <w:vAlign w:val="center"/>
          </w:tcPr>
          <w:p>
            <w:pPr>
              <w:spacing w:before="0" w:after="0" w:line="240" w:lineRule="auto"/>
              <w:jc w:val="center"/>
            </w:pPr>
            <w:r>
              <w:rPr>
                <w:b w:val="0"/>
                <w:sz w:val="10"/>
              </w:rPr>
              <w:t>198.0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metref</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21</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Acc 0.8000 / Acc 0.8000</w:t>
            </w:r>
          </w:p>
        </w:tc>
        <w:tc>
          <w:tcPr>
            <w:tcW w:type="dxa" w:w="1584"/>
            <w:vAlign w:val="center"/>
          </w:tcPr>
          <w:p>
            <w:pPr>
              <w:spacing w:before="0" w:after="0" w:line="240" w:lineRule="auto"/>
              <w:jc w:val="center"/>
            </w:pPr>
            <w:r>
              <w:rPr>
                <w:b w:val="0"/>
                <w:sz w:val="10"/>
              </w:rPr>
              <w:t>0.015 / 0.239</w:t>
            </w:r>
          </w:p>
        </w:tc>
        <w:tc>
          <w:tcPr>
            <w:tcW w:type="dxa" w:w="1584"/>
            <w:vAlign w:val="center"/>
          </w:tcPr>
          <w:p>
            <w:pPr>
              <w:spacing w:before="0" w:after="0" w:line="240" w:lineRule="auto"/>
              <w:jc w:val="center"/>
            </w:pPr>
            <w:r>
              <w:rPr>
                <w:b w:val="0"/>
                <w:sz w:val="10"/>
              </w:rPr>
              <w:t>4.2 / 389.7</w:t>
            </w:r>
          </w:p>
        </w:tc>
        <w:tc>
          <w:tcPr>
            <w:tcW w:type="dxa" w:w="1584"/>
            <w:vAlign w:val="center"/>
          </w:tcPr>
          <w:p>
            <w:pPr>
              <w:spacing w:before="0" w:after="0" w:line="240" w:lineRule="auto"/>
              <w:jc w:val="center"/>
            </w:pPr>
            <w:r>
              <w:rPr>
                <w:b w:val="0"/>
                <w:sz w:val="10"/>
              </w:rPr>
              <w:t>198.0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metref</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0.9800 / Acc 0.9800</w:t>
            </w:r>
          </w:p>
        </w:tc>
        <w:tc>
          <w:tcPr>
            <w:tcW w:type="dxa" w:w="1584"/>
            <w:vAlign w:val="center"/>
          </w:tcPr>
          <w:p>
            <w:pPr>
              <w:spacing w:before="0" w:after="0" w:line="240" w:lineRule="auto"/>
              <w:jc w:val="center"/>
            </w:pPr>
            <w:r>
              <w:rPr>
                <w:b w:val="0"/>
                <w:sz w:val="10"/>
              </w:rPr>
              <w:t>0.043 / 0.240</w:t>
            </w:r>
          </w:p>
        </w:tc>
        <w:tc>
          <w:tcPr>
            <w:tcW w:type="dxa" w:w="1584"/>
            <w:vAlign w:val="center"/>
          </w:tcPr>
          <w:p>
            <w:pPr>
              <w:spacing w:before="0" w:after="0" w:line="240" w:lineRule="auto"/>
              <w:jc w:val="center"/>
            </w:pPr>
            <w:r>
              <w:rPr>
                <w:b w:val="0"/>
                <w:sz w:val="10"/>
              </w:rPr>
              <w:t>6.5 / 311.0</w:t>
            </w:r>
          </w:p>
        </w:tc>
        <w:tc>
          <w:tcPr>
            <w:tcW w:type="dxa" w:w="1584"/>
            <w:vAlign w:val="center"/>
          </w:tcPr>
          <w:p>
            <w:pPr>
              <w:spacing w:before="0" w:after="0" w:line="240" w:lineRule="auto"/>
              <w:jc w:val="center"/>
            </w:pPr>
            <w:r>
              <w:rPr>
                <w:b w:val="0"/>
                <w:sz w:val="10"/>
              </w:rPr>
              <w:t>198.0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ccle</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18</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Acc 0.6620 / Acc 0.6479</w:t>
            </w:r>
          </w:p>
        </w:tc>
        <w:tc>
          <w:tcPr>
            <w:tcW w:type="dxa" w:w="1584"/>
            <w:vAlign w:val="center"/>
          </w:tcPr>
          <w:p>
            <w:pPr>
              <w:spacing w:before="0" w:after="0" w:line="240" w:lineRule="auto"/>
              <w:jc w:val="center"/>
            </w:pPr>
            <w:r>
              <w:rPr>
                <w:b w:val="0"/>
                <w:sz w:val="10"/>
              </w:rPr>
              <w:t>0.026 / 0.211</w:t>
            </w:r>
          </w:p>
        </w:tc>
        <w:tc>
          <w:tcPr>
            <w:tcW w:type="dxa" w:w="1584"/>
            <w:vAlign w:val="center"/>
          </w:tcPr>
          <w:p>
            <w:pPr>
              <w:spacing w:before="0" w:after="0" w:line="240" w:lineRule="auto"/>
              <w:jc w:val="center"/>
            </w:pPr>
            <w:r>
              <w:rPr>
                <w:b w:val="0"/>
                <w:sz w:val="10"/>
              </w:rPr>
              <w:t>4.6 / 331.2</w:t>
            </w:r>
          </w:p>
        </w:tc>
        <w:tc>
          <w:tcPr>
            <w:tcW w:type="dxa" w:w="1584"/>
            <w:vAlign w:val="center"/>
          </w:tcPr>
          <w:p>
            <w:pPr>
              <w:spacing w:before="0" w:after="0" w:line="240" w:lineRule="auto"/>
              <w:jc w:val="center"/>
            </w:pPr>
            <w:r>
              <w:rPr>
                <w:b w:val="0"/>
                <w:sz w:val="10"/>
              </w:rPr>
              <w:t>200.0</w:t>
            </w:r>
          </w:p>
        </w:tc>
        <w:tc>
          <w:tcPr>
            <w:tcW w:type="dxa" w:w="1584"/>
            <w:vAlign w:val="center"/>
          </w:tcPr>
          <w:p>
            <w:pPr>
              <w:spacing w:before="0" w:after="0" w:line="240" w:lineRule="auto"/>
              <w:jc w:val="center"/>
            </w:pPr>
            <w:r>
              <w:rPr>
                <w:b w:val="0"/>
                <w:sz w:val="10"/>
              </w:rPr>
              <w:t>metric discordant</w:t>
            </w:r>
          </w:p>
        </w:tc>
      </w:tr>
      <w:tr>
        <w:trPr>
          <w:cantSplit/>
        </w:trPr>
        <w:tc>
          <w:tcPr>
            <w:tcW w:type="dxa" w:w="1584"/>
            <w:vAlign w:val="center"/>
          </w:tcPr>
          <w:p>
            <w:pPr>
              <w:spacing w:before="0" w:after="0" w:line="240" w:lineRule="auto"/>
              <w:jc w:val="left"/>
            </w:pPr>
            <w:r>
              <w:rPr>
                <w:b w:val="0"/>
                <w:sz w:val="10"/>
              </w:rPr>
              <w:t>ccle</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18</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Acc 0.6056 / Acc 0.6056</w:t>
            </w:r>
          </w:p>
        </w:tc>
        <w:tc>
          <w:tcPr>
            <w:tcW w:type="dxa" w:w="1584"/>
            <w:vAlign w:val="center"/>
          </w:tcPr>
          <w:p>
            <w:pPr>
              <w:spacing w:before="0" w:after="0" w:line="240" w:lineRule="auto"/>
              <w:jc w:val="center"/>
            </w:pPr>
            <w:r>
              <w:rPr>
                <w:b w:val="0"/>
                <w:sz w:val="10"/>
              </w:rPr>
              <w:t>0.037 / 0.220</w:t>
            </w:r>
          </w:p>
        </w:tc>
        <w:tc>
          <w:tcPr>
            <w:tcW w:type="dxa" w:w="1584"/>
            <w:vAlign w:val="center"/>
          </w:tcPr>
          <w:p>
            <w:pPr>
              <w:spacing w:before="0" w:after="0" w:line="240" w:lineRule="auto"/>
              <w:jc w:val="center"/>
            </w:pPr>
            <w:r>
              <w:rPr>
                <w:b w:val="0"/>
                <w:sz w:val="10"/>
              </w:rPr>
              <w:t>14.4 / 331.3</w:t>
            </w:r>
          </w:p>
        </w:tc>
        <w:tc>
          <w:tcPr>
            <w:tcW w:type="dxa" w:w="1584"/>
            <w:vAlign w:val="center"/>
          </w:tcPr>
          <w:p>
            <w:pPr>
              <w:spacing w:before="0" w:after="0" w:line="240" w:lineRule="auto"/>
              <w:jc w:val="center"/>
            </w:pPr>
            <w:r>
              <w:rPr>
                <w:b w:val="0"/>
                <w:sz w:val="10"/>
              </w:rPr>
              <w:t>200.0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ccle</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17</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Acc 0.6479 / Acc 0.6479</w:t>
            </w:r>
          </w:p>
        </w:tc>
        <w:tc>
          <w:tcPr>
            <w:tcW w:type="dxa" w:w="1584"/>
            <w:vAlign w:val="center"/>
          </w:tcPr>
          <w:p>
            <w:pPr>
              <w:spacing w:before="0" w:after="0" w:line="240" w:lineRule="auto"/>
              <w:jc w:val="center"/>
            </w:pPr>
            <w:r>
              <w:rPr>
                <w:b w:val="0"/>
                <w:sz w:val="10"/>
              </w:rPr>
              <w:t>0.020 / 0.237</w:t>
            </w:r>
          </w:p>
        </w:tc>
        <w:tc>
          <w:tcPr>
            <w:tcW w:type="dxa" w:w="1584"/>
            <w:vAlign w:val="center"/>
          </w:tcPr>
          <w:p>
            <w:pPr>
              <w:spacing w:before="0" w:after="0" w:line="240" w:lineRule="auto"/>
              <w:jc w:val="center"/>
            </w:pPr>
            <w:r>
              <w:rPr>
                <w:b w:val="0"/>
                <w:sz w:val="10"/>
              </w:rPr>
              <w:t>2.4 / 374.9</w:t>
            </w:r>
          </w:p>
        </w:tc>
        <w:tc>
          <w:tcPr>
            <w:tcW w:type="dxa" w:w="1584"/>
            <w:vAlign w:val="center"/>
          </w:tcPr>
          <w:p>
            <w:pPr>
              <w:spacing w:before="0" w:after="0" w:line="240" w:lineRule="auto"/>
              <w:jc w:val="center"/>
            </w:pPr>
            <w:r>
              <w:rPr>
                <w:b w:val="0"/>
                <w:sz w:val="10"/>
              </w:rPr>
              <w:t>200.0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ccle</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18</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Acc 0.6620 / Acc 0.6479</w:t>
            </w:r>
          </w:p>
        </w:tc>
        <w:tc>
          <w:tcPr>
            <w:tcW w:type="dxa" w:w="1584"/>
            <w:vAlign w:val="center"/>
          </w:tcPr>
          <w:p>
            <w:pPr>
              <w:spacing w:before="0" w:after="0" w:line="240" w:lineRule="auto"/>
              <w:jc w:val="center"/>
            </w:pPr>
            <w:r>
              <w:rPr>
                <w:b w:val="0"/>
                <w:sz w:val="10"/>
              </w:rPr>
              <w:t>0.026 / 0.218</w:t>
            </w:r>
          </w:p>
        </w:tc>
        <w:tc>
          <w:tcPr>
            <w:tcW w:type="dxa" w:w="1584"/>
            <w:vAlign w:val="center"/>
          </w:tcPr>
          <w:p>
            <w:pPr>
              <w:spacing w:before="0" w:after="0" w:line="240" w:lineRule="auto"/>
              <w:jc w:val="center"/>
            </w:pPr>
            <w:r>
              <w:rPr>
                <w:b w:val="0"/>
                <w:sz w:val="10"/>
              </w:rPr>
              <w:t>5.1 / 354.5</w:t>
            </w:r>
          </w:p>
        </w:tc>
        <w:tc>
          <w:tcPr>
            <w:tcW w:type="dxa" w:w="1584"/>
            <w:vAlign w:val="center"/>
          </w:tcPr>
          <w:p>
            <w:pPr>
              <w:spacing w:before="0" w:after="0" w:line="240" w:lineRule="auto"/>
              <w:jc w:val="center"/>
            </w:pPr>
            <w:r>
              <w:rPr>
                <w:b w:val="0"/>
                <w:sz w:val="10"/>
              </w:rPr>
              <w:t>200.0</w:t>
            </w:r>
          </w:p>
        </w:tc>
        <w:tc>
          <w:tcPr>
            <w:tcW w:type="dxa" w:w="1584"/>
            <w:vAlign w:val="center"/>
          </w:tcPr>
          <w:p>
            <w:pPr>
              <w:spacing w:before="0" w:after="0" w:line="240" w:lineRule="auto"/>
              <w:jc w:val="center"/>
            </w:pPr>
            <w:r>
              <w:rPr>
                <w:b w:val="0"/>
                <w:sz w:val="10"/>
              </w:rPr>
              <w:t>metric discordant</w:t>
            </w:r>
          </w:p>
        </w:tc>
      </w:tr>
      <w:tr>
        <w:trPr>
          <w:cantSplit/>
        </w:trPr>
        <w:tc>
          <w:tcPr>
            <w:tcW w:type="dxa" w:w="1584"/>
            <w:vAlign w:val="center"/>
          </w:tcPr>
          <w:p>
            <w:pPr>
              <w:spacing w:before="0" w:after="0" w:line="240" w:lineRule="auto"/>
              <w:jc w:val="left"/>
            </w:pPr>
            <w:r>
              <w:rPr>
                <w:b w:val="0"/>
                <w:sz w:val="10"/>
              </w:rPr>
              <w:t>tcga brca</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10</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Acc 0.8523 / Acc 0.8523</w:t>
            </w:r>
          </w:p>
        </w:tc>
        <w:tc>
          <w:tcPr>
            <w:tcW w:type="dxa" w:w="1584"/>
            <w:vAlign w:val="center"/>
          </w:tcPr>
          <w:p>
            <w:pPr>
              <w:spacing w:before="0" w:after="0" w:line="240" w:lineRule="auto"/>
              <w:jc w:val="center"/>
            </w:pPr>
            <w:r>
              <w:rPr>
                <w:b w:val="0"/>
                <w:sz w:val="10"/>
              </w:rPr>
              <w:t>0.023 / 0.224</w:t>
            </w:r>
          </w:p>
        </w:tc>
        <w:tc>
          <w:tcPr>
            <w:tcW w:type="dxa" w:w="1584"/>
            <w:vAlign w:val="center"/>
          </w:tcPr>
          <w:p>
            <w:pPr>
              <w:spacing w:before="0" w:after="0" w:line="240" w:lineRule="auto"/>
              <w:jc w:val="center"/>
            </w:pPr>
            <w:r>
              <w:rPr>
                <w:b w:val="0"/>
                <w:sz w:val="10"/>
              </w:rPr>
              <w:t>5.8 / 392.4</w:t>
            </w:r>
          </w:p>
        </w:tc>
        <w:tc>
          <w:tcPr>
            <w:tcW w:type="dxa" w:w="1584"/>
            <w:vAlign w:val="center"/>
          </w:tcPr>
          <w:p>
            <w:pPr>
              <w:spacing w:before="0" w:after="0" w:line="240" w:lineRule="auto"/>
              <w:jc w:val="center"/>
            </w:pPr>
            <w:r>
              <w:rPr>
                <w:b w:val="0"/>
                <w:sz w:val="10"/>
              </w:rPr>
              <w:t>200.0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brca</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5</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Acc 0.8068 / Acc 0.7841</w:t>
            </w:r>
          </w:p>
        </w:tc>
        <w:tc>
          <w:tcPr>
            <w:tcW w:type="dxa" w:w="1584"/>
            <w:vAlign w:val="center"/>
          </w:tcPr>
          <w:p>
            <w:pPr>
              <w:spacing w:before="0" w:after="0" w:line="240" w:lineRule="auto"/>
              <w:jc w:val="center"/>
            </w:pPr>
            <w:r>
              <w:rPr>
                <w:b w:val="0"/>
                <w:sz w:val="10"/>
              </w:rPr>
              <w:t>0.025 / 0.223</w:t>
            </w:r>
          </w:p>
        </w:tc>
        <w:tc>
          <w:tcPr>
            <w:tcW w:type="dxa" w:w="1584"/>
            <w:vAlign w:val="center"/>
          </w:tcPr>
          <w:p>
            <w:pPr>
              <w:spacing w:before="0" w:after="0" w:line="240" w:lineRule="auto"/>
              <w:jc w:val="center"/>
            </w:pPr>
            <w:r>
              <w:rPr>
                <w:b w:val="0"/>
                <w:sz w:val="10"/>
              </w:rPr>
              <w:t>19.0 / 344.5</w:t>
            </w:r>
          </w:p>
        </w:tc>
        <w:tc>
          <w:tcPr>
            <w:tcW w:type="dxa" w:w="1584"/>
            <w:vAlign w:val="center"/>
          </w:tcPr>
          <w:p>
            <w:pPr>
              <w:spacing w:before="0" w:after="0" w:line="240" w:lineRule="auto"/>
              <w:jc w:val="center"/>
            </w:pPr>
            <w:r>
              <w:rPr>
                <w:b w:val="0"/>
                <w:sz w:val="10"/>
              </w:rPr>
              <w:t>200.0</w:t>
            </w:r>
          </w:p>
        </w:tc>
        <w:tc>
          <w:tcPr>
            <w:tcW w:type="dxa" w:w="1584"/>
            <w:vAlign w:val="center"/>
          </w:tcPr>
          <w:p>
            <w:pPr>
              <w:spacing w:before="0" w:after="0" w:line="240" w:lineRule="auto"/>
              <w:jc w:val="center"/>
            </w:pPr>
            <w:r>
              <w:rPr>
                <w:b w:val="0"/>
                <w:sz w:val="10"/>
              </w:rPr>
              <w:t>metric discordant</w:t>
            </w:r>
          </w:p>
        </w:tc>
      </w:tr>
      <w:tr>
        <w:trPr>
          <w:cantSplit/>
        </w:trPr>
        <w:tc>
          <w:tcPr>
            <w:tcW w:type="dxa" w:w="1584"/>
            <w:vAlign w:val="center"/>
          </w:tcPr>
          <w:p>
            <w:pPr>
              <w:spacing w:before="0" w:after="0" w:line="240" w:lineRule="auto"/>
              <w:jc w:val="left"/>
            </w:pPr>
            <w:r>
              <w:rPr>
                <w:b w:val="0"/>
                <w:sz w:val="10"/>
              </w:rPr>
              <w:t>tcga brca</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4</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Acc 0.8864 / Acc 0.8864</w:t>
            </w:r>
          </w:p>
        </w:tc>
        <w:tc>
          <w:tcPr>
            <w:tcW w:type="dxa" w:w="1584"/>
            <w:vAlign w:val="center"/>
          </w:tcPr>
          <w:p>
            <w:pPr>
              <w:spacing w:before="0" w:after="0" w:line="240" w:lineRule="auto"/>
              <w:jc w:val="center"/>
            </w:pPr>
            <w:r>
              <w:rPr>
                <w:b w:val="0"/>
                <w:sz w:val="10"/>
              </w:rPr>
              <w:t>0.014 / 0.239</w:t>
            </w:r>
          </w:p>
        </w:tc>
        <w:tc>
          <w:tcPr>
            <w:tcW w:type="dxa" w:w="1584"/>
            <w:vAlign w:val="center"/>
          </w:tcPr>
          <w:p>
            <w:pPr>
              <w:spacing w:before="0" w:after="0" w:line="240" w:lineRule="auto"/>
              <w:jc w:val="center"/>
            </w:pPr>
            <w:r>
              <w:rPr>
                <w:b w:val="0"/>
                <w:sz w:val="10"/>
              </w:rPr>
              <w:t>11.4 / 376.0</w:t>
            </w:r>
          </w:p>
        </w:tc>
        <w:tc>
          <w:tcPr>
            <w:tcW w:type="dxa" w:w="1584"/>
            <w:vAlign w:val="center"/>
          </w:tcPr>
          <w:p>
            <w:pPr>
              <w:spacing w:before="0" w:after="0" w:line="240" w:lineRule="auto"/>
              <w:jc w:val="center"/>
            </w:pPr>
            <w:r>
              <w:rPr>
                <w:b w:val="0"/>
                <w:sz w:val="10"/>
              </w:rPr>
              <w:t>200.0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brca</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10</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Acc 0.8523 / Acc 0.8523</w:t>
            </w:r>
          </w:p>
        </w:tc>
        <w:tc>
          <w:tcPr>
            <w:tcW w:type="dxa" w:w="1584"/>
            <w:vAlign w:val="center"/>
          </w:tcPr>
          <w:p>
            <w:pPr>
              <w:spacing w:before="0" w:after="0" w:line="240" w:lineRule="auto"/>
              <w:jc w:val="center"/>
            </w:pPr>
            <w:r>
              <w:rPr>
                <w:b w:val="0"/>
                <w:sz w:val="10"/>
              </w:rPr>
              <w:t>0.021 / 0.222</w:t>
            </w:r>
          </w:p>
        </w:tc>
        <w:tc>
          <w:tcPr>
            <w:tcW w:type="dxa" w:w="1584"/>
            <w:vAlign w:val="center"/>
          </w:tcPr>
          <w:p>
            <w:pPr>
              <w:spacing w:before="0" w:after="0" w:line="240" w:lineRule="auto"/>
              <w:jc w:val="center"/>
            </w:pPr>
            <w:r>
              <w:rPr>
                <w:b w:val="0"/>
                <w:sz w:val="10"/>
              </w:rPr>
              <w:t>11.9 / 330.5</w:t>
            </w:r>
          </w:p>
        </w:tc>
        <w:tc>
          <w:tcPr>
            <w:tcW w:type="dxa" w:w="1584"/>
            <w:vAlign w:val="center"/>
          </w:tcPr>
          <w:p>
            <w:pPr>
              <w:spacing w:before="0" w:after="0" w:line="240" w:lineRule="auto"/>
              <w:jc w:val="center"/>
            </w:pPr>
            <w:r>
              <w:rPr>
                <w:b w:val="0"/>
                <w:sz w:val="10"/>
              </w:rPr>
              <w:t>194.0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hnsc methylation</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2</w:t>
            </w:r>
          </w:p>
        </w:tc>
        <w:tc>
          <w:tcPr>
            <w:tcW w:type="dxa" w:w="1584"/>
            <w:vAlign w:val="center"/>
          </w:tcPr>
          <w:p>
            <w:pPr>
              <w:spacing w:before="0" w:after="0" w:line="240" w:lineRule="auto"/>
              <w:jc w:val="center"/>
            </w:pPr>
            <w:r>
              <w:rPr>
                <w:b w:val="0"/>
                <w:sz w:val="10"/>
              </w:rPr>
              <w:t>lower boundary</w:t>
            </w:r>
          </w:p>
        </w:tc>
        <w:tc>
          <w:tcPr>
            <w:tcW w:type="dxa" w:w="1584"/>
            <w:vAlign w:val="center"/>
          </w:tcPr>
          <w:p>
            <w:pPr>
              <w:spacing w:before="0" w:after="0" w:line="240" w:lineRule="auto"/>
              <w:jc w:val="center"/>
            </w:pPr>
            <w:r>
              <w:rPr>
                <w:b w:val="0"/>
                <w:sz w:val="10"/>
              </w:rPr>
              <w:t>Acc 1.0000 / Acc 1.0000</w:t>
            </w:r>
          </w:p>
        </w:tc>
        <w:tc>
          <w:tcPr>
            <w:tcW w:type="dxa" w:w="1584"/>
            <w:vAlign w:val="center"/>
          </w:tcPr>
          <w:p>
            <w:pPr>
              <w:spacing w:before="0" w:after="0" w:line="240" w:lineRule="auto"/>
              <w:jc w:val="center"/>
            </w:pPr>
            <w:r>
              <w:rPr>
                <w:b w:val="0"/>
                <w:sz w:val="10"/>
              </w:rPr>
              <w:t>0.011 / 0.205</w:t>
            </w:r>
          </w:p>
        </w:tc>
        <w:tc>
          <w:tcPr>
            <w:tcW w:type="dxa" w:w="1584"/>
            <w:vAlign w:val="center"/>
          </w:tcPr>
          <w:p>
            <w:pPr>
              <w:spacing w:before="0" w:after="0" w:line="240" w:lineRule="auto"/>
              <w:jc w:val="center"/>
            </w:pPr>
            <w:r>
              <w:rPr>
                <w:b w:val="0"/>
                <w:sz w:val="10"/>
              </w:rPr>
              <w:t>10.3 / 307.2</w:t>
            </w:r>
          </w:p>
        </w:tc>
        <w:tc>
          <w:tcPr>
            <w:tcW w:type="dxa" w:w="1584"/>
            <w:vAlign w:val="center"/>
          </w:tcPr>
          <w:p>
            <w:pPr>
              <w:spacing w:before="0" w:after="0" w:line="240" w:lineRule="auto"/>
              <w:jc w:val="center"/>
            </w:pPr>
            <w:r>
              <w:rPr>
                <w:b w:val="0"/>
                <w:sz w:val="10"/>
              </w:rPr>
              <w:t>192.0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hnsc methylation</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2</w:t>
            </w:r>
          </w:p>
        </w:tc>
        <w:tc>
          <w:tcPr>
            <w:tcW w:type="dxa" w:w="1584"/>
            <w:vAlign w:val="center"/>
          </w:tcPr>
          <w:p>
            <w:pPr>
              <w:spacing w:before="0" w:after="0" w:line="240" w:lineRule="auto"/>
              <w:jc w:val="center"/>
            </w:pPr>
            <w:r>
              <w:rPr>
                <w:b w:val="0"/>
                <w:sz w:val="10"/>
              </w:rPr>
              <w:t>lower boundary</w:t>
            </w:r>
          </w:p>
        </w:tc>
        <w:tc>
          <w:tcPr>
            <w:tcW w:type="dxa" w:w="1584"/>
            <w:vAlign w:val="center"/>
          </w:tcPr>
          <w:p>
            <w:pPr>
              <w:spacing w:before="0" w:after="0" w:line="240" w:lineRule="auto"/>
              <w:jc w:val="center"/>
            </w:pPr>
            <w:r>
              <w:rPr>
                <w:b w:val="0"/>
                <w:sz w:val="10"/>
              </w:rPr>
              <w:t>Acc 1.0000 / Acc 1.0000</w:t>
            </w:r>
          </w:p>
        </w:tc>
        <w:tc>
          <w:tcPr>
            <w:tcW w:type="dxa" w:w="1584"/>
            <w:vAlign w:val="center"/>
          </w:tcPr>
          <w:p>
            <w:pPr>
              <w:spacing w:before="0" w:after="0" w:line="240" w:lineRule="auto"/>
              <w:jc w:val="center"/>
            </w:pPr>
            <w:r>
              <w:rPr>
                <w:b w:val="0"/>
                <w:sz w:val="10"/>
              </w:rPr>
              <w:t>0.015 / 0.213</w:t>
            </w:r>
          </w:p>
        </w:tc>
        <w:tc>
          <w:tcPr>
            <w:tcW w:type="dxa" w:w="1584"/>
            <w:vAlign w:val="center"/>
          </w:tcPr>
          <w:p>
            <w:pPr>
              <w:spacing w:before="0" w:after="0" w:line="240" w:lineRule="auto"/>
              <w:jc w:val="center"/>
            </w:pPr>
            <w:r>
              <w:rPr>
                <w:b w:val="0"/>
                <w:sz w:val="10"/>
              </w:rPr>
              <w:t>11.0 / 314.2</w:t>
            </w:r>
          </w:p>
        </w:tc>
        <w:tc>
          <w:tcPr>
            <w:tcW w:type="dxa" w:w="1584"/>
            <w:vAlign w:val="center"/>
          </w:tcPr>
          <w:p>
            <w:pPr>
              <w:spacing w:before="0" w:after="0" w:line="240" w:lineRule="auto"/>
              <w:jc w:val="center"/>
            </w:pPr>
            <w:r>
              <w:rPr>
                <w:b w:val="0"/>
                <w:sz w:val="10"/>
              </w:rPr>
              <w:t>192.0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hnsc methylation</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1</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Acc 1.0000 / Acc 1.0000</w:t>
            </w:r>
          </w:p>
        </w:tc>
        <w:tc>
          <w:tcPr>
            <w:tcW w:type="dxa" w:w="1584"/>
            <w:vAlign w:val="center"/>
          </w:tcPr>
          <w:p>
            <w:pPr>
              <w:spacing w:before="0" w:after="0" w:line="240" w:lineRule="auto"/>
              <w:jc w:val="center"/>
            </w:pPr>
            <w:r>
              <w:rPr>
                <w:b w:val="0"/>
                <w:sz w:val="10"/>
              </w:rPr>
              <w:t>0.009 / 0.235</w:t>
            </w:r>
          </w:p>
        </w:tc>
        <w:tc>
          <w:tcPr>
            <w:tcW w:type="dxa" w:w="1584"/>
            <w:vAlign w:val="center"/>
          </w:tcPr>
          <w:p>
            <w:pPr>
              <w:spacing w:before="0" w:after="0" w:line="240" w:lineRule="auto"/>
              <w:jc w:val="center"/>
            </w:pPr>
            <w:r>
              <w:rPr>
                <w:b w:val="0"/>
                <w:sz w:val="10"/>
              </w:rPr>
              <w:t>5.2 / 386.2</w:t>
            </w:r>
          </w:p>
        </w:tc>
        <w:tc>
          <w:tcPr>
            <w:tcW w:type="dxa" w:w="1584"/>
            <w:vAlign w:val="center"/>
          </w:tcPr>
          <w:p>
            <w:pPr>
              <w:spacing w:before="0" w:after="0" w:line="240" w:lineRule="auto"/>
              <w:jc w:val="center"/>
            </w:pPr>
            <w:r>
              <w:rPr>
                <w:b w:val="0"/>
                <w:sz w:val="10"/>
              </w:rPr>
              <w:t>198.0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hnsc methylation</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2</w:t>
            </w:r>
          </w:p>
        </w:tc>
        <w:tc>
          <w:tcPr>
            <w:tcW w:type="dxa" w:w="1584"/>
            <w:vAlign w:val="center"/>
          </w:tcPr>
          <w:p>
            <w:pPr>
              <w:spacing w:before="0" w:after="0" w:line="240" w:lineRule="auto"/>
              <w:jc w:val="center"/>
            </w:pPr>
            <w:r>
              <w:rPr>
                <w:b w:val="0"/>
                <w:sz w:val="10"/>
              </w:rPr>
              <w:t>lower boundary</w:t>
            </w:r>
          </w:p>
        </w:tc>
        <w:tc>
          <w:tcPr>
            <w:tcW w:type="dxa" w:w="1584"/>
            <w:vAlign w:val="center"/>
          </w:tcPr>
          <w:p>
            <w:pPr>
              <w:spacing w:before="0" w:after="0" w:line="240" w:lineRule="auto"/>
              <w:jc w:val="center"/>
            </w:pPr>
            <w:r>
              <w:rPr>
                <w:b w:val="0"/>
                <w:sz w:val="10"/>
              </w:rPr>
              <w:t>Acc 1.0000 / Acc 1.0000</w:t>
            </w:r>
          </w:p>
        </w:tc>
        <w:tc>
          <w:tcPr>
            <w:tcW w:type="dxa" w:w="1584"/>
            <w:vAlign w:val="center"/>
          </w:tcPr>
          <w:p>
            <w:pPr>
              <w:spacing w:before="0" w:after="0" w:line="240" w:lineRule="auto"/>
              <w:jc w:val="center"/>
            </w:pPr>
            <w:r>
              <w:rPr>
                <w:b w:val="0"/>
                <w:sz w:val="10"/>
              </w:rPr>
              <w:t>0.010 / 0.211</w:t>
            </w:r>
          </w:p>
        </w:tc>
        <w:tc>
          <w:tcPr>
            <w:tcW w:type="dxa" w:w="1584"/>
            <w:vAlign w:val="center"/>
          </w:tcPr>
          <w:p>
            <w:pPr>
              <w:spacing w:before="0" w:after="0" w:line="240" w:lineRule="auto"/>
              <w:jc w:val="center"/>
            </w:pPr>
            <w:r>
              <w:rPr>
                <w:b w:val="0"/>
                <w:sz w:val="10"/>
              </w:rPr>
              <w:t>7.7 / 307.7</w:t>
            </w:r>
          </w:p>
        </w:tc>
        <w:tc>
          <w:tcPr>
            <w:tcW w:type="dxa" w:w="1584"/>
            <w:vAlign w:val="center"/>
          </w:tcPr>
          <w:p>
            <w:pPr>
              <w:spacing w:before="0" w:after="0" w:line="240" w:lineRule="auto"/>
              <w:jc w:val="center"/>
            </w:pPr>
            <w:r>
              <w:rPr>
                <w:b w:val="0"/>
                <w:sz w:val="10"/>
              </w:rPr>
              <w:t>192.0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gtex v8</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0.9624 / Acc 0.9624</w:t>
            </w:r>
          </w:p>
        </w:tc>
        <w:tc>
          <w:tcPr>
            <w:tcW w:type="dxa" w:w="1584"/>
            <w:vAlign w:val="center"/>
          </w:tcPr>
          <w:p>
            <w:pPr>
              <w:spacing w:before="0" w:after="0" w:line="240" w:lineRule="auto"/>
              <w:jc w:val="center"/>
            </w:pPr>
            <w:r>
              <w:rPr>
                <w:b w:val="0"/>
                <w:sz w:val="10"/>
              </w:rPr>
              <w:t>0.512 / 0.280</w:t>
            </w:r>
          </w:p>
        </w:tc>
        <w:tc>
          <w:tcPr>
            <w:tcW w:type="dxa" w:w="1584"/>
            <w:vAlign w:val="center"/>
          </w:tcPr>
          <w:p>
            <w:pPr>
              <w:spacing w:before="0" w:after="0" w:line="240" w:lineRule="auto"/>
              <w:jc w:val="center"/>
            </w:pPr>
            <w:r>
              <w:rPr>
                <w:b w:val="0"/>
                <w:sz w:val="10"/>
              </w:rPr>
              <w:t>51.6 / 352.4</w:t>
            </w:r>
          </w:p>
        </w:tc>
        <w:tc>
          <w:tcPr>
            <w:tcW w:type="dxa" w:w="1584"/>
            <w:vAlign w:val="center"/>
          </w:tcPr>
          <w:p>
            <w:pPr>
              <w:spacing w:before="0" w:after="0" w:line="240" w:lineRule="auto"/>
              <w:jc w:val="center"/>
            </w:pPr>
            <w:r>
              <w:rPr>
                <w:b w:val="0"/>
                <w:sz w:val="10"/>
              </w:rPr>
              <w:t>220.0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gtex v8</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0.9598 / Acc 0.9598</w:t>
            </w:r>
          </w:p>
        </w:tc>
        <w:tc>
          <w:tcPr>
            <w:tcW w:type="dxa" w:w="1584"/>
            <w:vAlign w:val="center"/>
          </w:tcPr>
          <w:p>
            <w:pPr>
              <w:spacing w:before="0" w:after="0" w:line="240" w:lineRule="auto"/>
              <w:jc w:val="center"/>
            </w:pPr>
            <w:r>
              <w:rPr>
                <w:b w:val="0"/>
                <w:sz w:val="10"/>
              </w:rPr>
              <w:t>0.620 / 0.375</w:t>
            </w:r>
          </w:p>
        </w:tc>
        <w:tc>
          <w:tcPr>
            <w:tcW w:type="dxa" w:w="1584"/>
            <w:vAlign w:val="center"/>
          </w:tcPr>
          <w:p>
            <w:pPr>
              <w:spacing w:before="0" w:after="0" w:line="240" w:lineRule="auto"/>
              <w:jc w:val="center"/>
            </w:pPr>
            <w:r>
              <w:rPr>
                <w:b w:val="0"/>
                <w:sz w:val="10"/>
              </w:rPr>
              <w:t>77.1 / 384.9</w:t>
            </w:r>
          </w:p>
        </w:tc>
        <w:tc>
          <w:tcPr>
            <w:tcW w:type="dxa" w:w="1584"/>
            <w:vAlign w:val="center"/>
          </w:tcPr>
          <w:p>
            <w:pPr>
              <w:spacing w:before="0" w:after="0" w:line="240" w:lineRule="auto"/>
              <w:jc w:val="center"/>
            </w:pPr>
            <w:r>
              <w:rPr>
                <w:b w:val="0"/>
                <w:sz w:val="10"/>
              </w:rPr>
              <w:t>220.0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gtex v8</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31</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Acc 0.9410 / Acc 0.9410</w:t>
            </w:r>
          </w:p>
        </w:tc>
        <w:tc>
          <w:tcPr>
            <w:tcW w:type="dxa" w:w="1584"/>
            <w:vAlign w:val="center"/>
          </w:tcPr>
          <w:p>
            <w:pPr>
              <w:spacing w:before="0" w:after="0" w:line="240" w:lineRule="auto"/>
              <w:jc w:val="center"/>
            </w:pPr>
            <w:r>
              <w:rPr>
                <w:b w:val="0"/>
                <w:sz w:val="10"/>
              </w:rPr>
              <w:t>0.152 / 0.263</w:t>
            </w:r>
          </w:p>
        </w:tc>
        <w:tc>
          <w:tcPr>
            <w:tcW w:type="dxa" w:w="1584"/>
            <w:vAlign w:val="center"/>
          </w:tcPr>
          <w:p>
            <w:pPr>
              <w:spacing w:before="0" w:after="0" w:line="240" w:lineRule="auto"/>
              <w:jc w:val="center"/>
            </w:pPr>
            <w:r>
              <w:rPr>
                <w:b w:val="0"/>
                <w:sz w:val="10"/>
              </w:rPr>
              <w:t>26.4 / 379.6</w:t>
            </w:r>
          </w:p>
        </w:tc>
        <w:tc>
          <w:tcPr>
            <w:tcW w:type="dxa" w:w="1584"/>
            <w:vAlign w:val="center"/>
          </w:tcPr>
          <w:p>
            <w:pPr>
              <w:spacing w:before="0" w:after="0" w:line="240" w:lineRule="auto"/>
              <w:jc w:val="center"/>
            </w:pPr>
            <w:r>
              <w:rPr>
                <w:b w:val="0"/>
                <w:sz w:val="10"/>
              </w:rPr>
              <w:t>220.0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gtex v8</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0.9624 / Acc 0.9624</w:t>
            </w:r>
          </w:p>
        </w:tc>
        <w:tc>
          <w:tcPr>
            <w:tcW w:type="dxa" w:w="1584"/>
            <w:vAlign w:val="center"/>
          </w:tcPr>
          <w:p>
            <w:pPr>
              <w:spacing w:before="0" w:after="0" w:line="240" w:lineRule="auto"/>
              <w:jc w:val="center"/>
            </w:pPr>
            <w:r>
              <w:rPr>
                <w:b w:val="0"/>
                <w:sz w:val="10"/>
              </w:rPr>
              <w:t>0.512 / 0.281</w:t>
            </w:r>
          </w:p>
        </w:tc>
        <w:tc>
          <w:tcPr>
            <w:tcW w:type="dxa" w:w="1584"/>
            <w:vAlign w:val="center"/>
          </w:tcPr>
          <w:p>
            <w:pPr>
              <w:spacing w:before="0" w:after="0" w:line="240" w:lineRule="auto"/>
              <w:jc w:val="center"/>
            </w:pPr>
            <w:r>
              <w:rPr>
                <w:b w:val="0"/>
                <w:sz w:val="10"/>
              </w:rPr>
              <w:t>51.6 / 357.6</w:t>
            </w:r>
          </w:p>
        </w:tc>
        <w:tc>
          <w:tcPr>
            <w:tcW w:type="dxa" w:w="1584"/>
            <w:vAlign w:val="center"/>
          </w:tcPr>
          <w:p>
            <w:pPr>
              <w:spacing w:before="0" w:after="0" w:line="240" w:lineRule="auto"/>
              <w:jc w:val="center"/>
            </w:pPr>
            <w:r>
              <w:rPr>
                <w:b w:val="0"/>
                <w:sz w:val="10"/>
              </w:rPr>
              <w:t>220.0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pan cancer</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0.9358 / Acc 0.9348</w:t>
            </w:r>
          </w:p>
        </w:tc>
        <w:tc>
          <w:tcPr>
            <w:tcW w:type="dxa" w:w="1584"/>
            <w:vAlign w:val="center"/>
          </w:tcPr>
          <w:p>
            <w:pPr>
              <w:spacing w:before="0" w:after="0" w:line="240" w:lineRule="auto"/>
              <w:jc w:val="center"/>
            </w:pPr>
            <w:r>
              <w:rPr>
                <w:b w:val="0"/>
                <w:sz w:val="10"/>
              </w:rPr>
              <w:t>0.456 / 0.277</w:t>
            </w:r>
          </w:p>
        </w:tc>
        <w:tc>
          <w:tcPr>
            <w:tcW w:type="dxa" w:w="1584"/>
            <w:vAlign w:val="center"/>
          </w:tcPr>
          <w:p>
            <w:pPr>
              <w:spacing w:before="0" w:after="0" w:line="240" w:lineRule="auto"/>
              <w:jc w:val="center"/>
            </w:pPr>
            <w:r>
              <w:rPr>
                <w:b w:val="0"/>
                <w:sz w:val="10"/>
              </w:rPr>
              <w:t>43.8 / 365.3</w:t>
            </w:r>
          </w:p>
        </w:tc>
        <w:tc>
          <w:tcPr>
            <w:tcW w:type="dxa" w:w="1584"/>
            <w:vAlign w:val="center"/>
          </w:tcPr>
          <w:p>
            <w:pPr>
              <w:spacing w:before="0" w:after="0" w:line="240" w:lineRule="auto"/>
              <w:jc w:val="center"/>
            </w:pPr>
            <w:r>
              <w:rPr>
                <w:b w:val="0"/>
                <w:sz w:val="10"/>
              </w:rPr>
              <w:t>216.0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pan cancer</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0.9328 / Acc 0.9338</w:t>
            </w:r>
          </w:p>
        </w:tc>
        <w:tc>
          <w:tcPr>
            <w:tcW w:type="dxa" w:w="1584"/>
            <w:vAlign w:val="center"/>
          </w:tcPr>
          <w:p>
            <w:pPr>
              <w:spacing w:before="0" w:after="0" w:line="240" w:lineRule="auto"/>
              <w:jc w:val="center"/>
            </w:pPr>
            <w:r>
              <w:rPr>
                <w:b w:val="0"/>
                <w:sz w:val="10"/>
              </w:rPr>
              <w:t>0.488 / 0.354</w:t>
            </w:r>
          </w:p>
        </w:tc>
        <w:tc>
          <w:tcPr>
            <w:tcW w:type="dxa" w:w="1584"/>
            <w:vAlign w:val="center"/>
          </w:tcPr>
          <w:p>
            <w:pPr>
              <w:spacing w:before="0" w:after="0" w:line="240" w:lineRule="auto"/>
              <w:jc w:val="center"/>
            </w:pPr>
            <w:r>
              <w:rPr>
                <w:b w:val="0"/>
                <w:sz w:val="10"/>
              </w:rPr>
              <w:t>65.0 / 377.0</w:t>
            </w:r>
          </w:p>
        </w:tc>
        <w:tc>
          <w:tcPr>
            <w:tcW w:type="dxa" w:w="1584"/>
            <w:vAlign w:val="center"/>
          </w:tcPr>
          <w:p>
            <w:pPr>
              <w:spacing w:before="0" w:after="0" w:line="240" w:lineRule="auto"/>
              <w:jc w:val="center"/>
            </w:pPr>
            <w:r>
              <w:rPr>
                <w:b w:val="0"/>
                <w:sz w:val="10"/>
              </w:rPr>
              <w:t>216.0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pan cancer</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31</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Acc 0.8809 / Acc 0.8809</w:t>
            </w:r>
          </w:p>
        </w:tc>
        <w:tc>
          <w:tcPr>
            <w:tcW w:type="dxa" w:w="1584"/>
            <w:vAlign w:val="center"/>
          </w:tcPr>
          <w:p>
            <w:pPr>
              <w:spacing w:before="0" w:after="0" w:line="240" w:lineRule="auto"/>
              <w:jc w:val="center"/>
            </w:pPr>
            <w:r>
              <w:rPr>
                <w:b w:val="0"/>
                <w:sz w:val="10"/>
              </w:rPr>
              <w:t>0.123 / 0.261</w:t>
            </w:r>
          </w:p>
        </w:tc>
        <w:tc>
          <w:tcPr>
            <w:tcW w:type="dxa" w:w="1584"/>
            <w:vAlign w:val="center"/>
          </w:tcPr>
          <w:p>
            <w:pPr>
              <w:spacing w:before="0" w:after="0" w:line="240" w:lineRule="auto"/>
              <w:jc w:val="center"/>
            </w:pPr>
            <w:r>
              <w:rPr>
                <w:b w:val="0"/>
                <w:sz w:val="10"/>
              </w:rPr>
              <w:t>23.0 / 447.4</w:t>
            </w:r>
          </w:p>
        </w:tc>
        <w:tc>
          <w:tcPr>
            <w:tcW w:type="dxa" w:w="1584"/>
            <w:vAlign w:val="center"/>
          </w:tcPr>
          <w:p>
            <w:pPr>
              <w:spacing w:before="0" w:after="0" w:line="240" w:lineRule="auto"/>
              <w:jc w:val="center"/>
            </w:pPr>
            <w:r>
              <w:rPr>
                <w:b w:val="0"/>
                <w:sz w:val="10"/>
              </w:rPr>
              <w:t>210.0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tcga pan cancer</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100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0.9358 / Acc 0.9348</w:t>
            </w:r>
          </w:p>
        </w:tc>
        <w:tc>
          <w:tcPr>
            <w:tcW w:type="dxa" w:w="1584"/>
            <w:vAlign w:val="center"/>
          </w:tcPr>
          <w:p>
            <w:pPr>
              <w:spacing w:before="0" w:after="0" w:line="240" w:lineRule="auto"/>
              <w:jc w:val="center"/>
            </w:pPr>
            <w:r>
              <w:rPr>
                <w:b w:val="0"/>
                <w:sz w:val="10"/>
              </w:rPr>
              <w:t>0.409 / 0.278</w:t>
            </w:r>
          </w:p>
        </w:tc>
        <w:tc>
          <w:tcPr>
            <w:tcW w:type="dxa" w:w="1584"/>
            <w:vAlign w:val="center"/>
          </w:tcPr>
          <w:p>
            <w:pPr>
              <w:spacing w:before="0" w:after="0" w:line="240" w:lineRule="auto"/>
              <w:jc w:val="center"/>
            </w:pPr>
            <w:r>
              <w:rPr>
                <w:b w:val="0"/>
                <w:sz w:val="10"/>
              </w:rPr>
              <w:t>43.8 / 354.8</w:t>
            </w:r>
          </w:p>
        </w:tc>
        <w:tc>
          <w:tcPr>
            <w:tcW w:type="dxa" w:w="1584"/>
            <w:vAlign w:val="center"/>
          </w:tcPr>
          <w:p>
            <w:pPr>
              <w:spacing w:before="0" w:after="0" w:line="240" w:lineRule="auto"/>
              <w:jc w:val="center"/>
            </w:pPr>
            <w:r>
              <w:rPr>
                <w:b w:val="0"/>
                <w:sz w:val="10"/>
              </w:rPr>
              <w:t>216.0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retina</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0.9678 / Acc 0.9678</w:t>
            </w:r>
          </w:p>
        </w:tc>
        <w:tc>
          <w:tcPr>
            <w:tcW w:type="dxa" w:w="1584"/>
            <w:vAlign w:val="center"/>
          </w:tcPr>
          <w:p>
            <w:pPr>
              <w:spacing w:before="0" w:after="0" w:line="240" w:lineRule="auto"/>
              <w:jc w:val="center"/>
            </w:pPr>
            <w:r>
              <w:rPr>
                <w:b w:val="0"/>
                <w:sz w:val="10"/>
              </w:rPr>
              <w:t>0.098 / 0.265</w:t>
            </w:r>
          </w:p>
        </w:tc>
        <w:tc>
          <w:tcPr>
            <w:tcW w:type="dxa" w:w="1584"/>
            <w:vAlign w:val="center"/>
          </w:tcPr>
          <w:p>
            <w:pPr>
              <w:spacing w:before="0" w:after="0" w:line="240" w:lineRule="auto"/>
              <w:jc w:val="center"/>
            </w:pPr>
            <w:r>
              <w:rPr>
                <w:b w:val="0"/>
                <w:sz w:val="10"/>
              </w:rPr>
              <w:t>58.5 / 388.2</w:t>
            </w:r>
          </w:p>
        </w:tc>
        <w:tc>
          <w:tcPr>
            <w:tcW w:type="dxa" w:w="1584"/>
            <w:vAlign w:val="center"/>
          </w:tcPr>
          <w:p>
            <w:pPr>
              <w:spacing w:before="0" w:after="0" w:line="240" w:lineRule="auto"/>
              <w:jc w:val="center"/>
            </w:pPr>
            <w:r>
              <w:rPr>
                <w:b w:val="0"/>
                <w:sz w:val="10"/>
              </w:rPr>
              <w:t>208.0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retina</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20</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Acc 0.9497 / Acc 0.9499</w:t>
            </w:r>
          </w:p>
        </w:tc>
        <w:tc>
          <w:tcPr>
            <w:tcW w:type="dxa" w:w="1584"/>
            <w:vAlign w:val="center"/>
          </w:tcPr>
          <w:p>
            <w:pPr>
              <w:spacing w:before="0" w:after="0" w:line="240" w:lineRule="auto"/>
              <w:jc w:val="center"/>
            </w:pPr>
            <w:r>
              <w:rPr>
                <w:b w:val="0"/>
                <w:sz w:val="10"/>
              </w:rPr>
              <w:t>0.107 / 0.266</w:t>
            </w:r>
          </w:p>
        </w:tc>
        <w:tc>
          <w:tcPr>
            <w:tcW w:type="dxa" w:w="1584"/>
            <w:vAlign w:val="center"/>
          </w:tcPr>
          <w:p>
            <w:pPr>
              <w:spacing w:before="0" w:after="0" w:line="240" w:lineRule="auto"/>
              <w:jc w:val="center"/>
            </w:pPr>
            <w:r>
              <w:rPr>
                <w:b w:val="0"/>
                <w:sz w:val="10"/>
              </w:rPr>
              <w:t>64.9 / 397.7</w:t>
            </w:r>
          </w:p>
        </w:tc>
        <w:tc>
          <w:tcPr>
            <w:tcW w:type="dxa" w:w="1584"/>
            <w:vAlign w:val="center"/>
          </w:tcPr>
          <w:p>
            <w:pPr>
              <w:spacing w:before="0" w:after="0" w:line="240" w:lineRule="auto"/>
              <w:jc w:val="center"/>
            </w:pPr>
            <w:r>
              <w:rPr>
                <w:b w:val="0"/>
                <w:sz w:val="10"/>
              </w:rPr>
              <w:t>202.0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retina</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11</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Acc 0.9273 / Acc 0.9273</w:t>
            </w:r>
          </w:p>
        </w:tc>
        <w:tc>
          <w:tcPr>
            <w:tcW w:type="dxa" w:w="1584"/>
            <w:vAlign w:val="center"/>
          </w:tcPr>
          <w:p>
            <w:pPr>
              <w:spacing w:before="0" w:after="0" w:line="240" w:lineRule="auto"/>
              <w:jc w:val="center"/>
            </w:pPr>
            <w:r>
              <w:rPr>
                <w:b w:val="0"/>
                <w:sz w:val="10"/>
              </w:rPr>
              <w:t>0.050 / 0.272</w:t>
            </w:r>
          </w:p>
        </w:tc>
        <w:tc>
          <w:tcPr>
            <w:tcW w:type="dxa" w:w="1584"/>
            <w:vAlign w:val="center"/>
          </w:tcPr>
          <w:p>
            <w:pPr>
              <w:spacing w:before="0" w:after="0" w:line="240" w:lineRule="auto"/>
              <w:jc w:val="center"/>
            </w:pPr>
            <w:r>
              <w:rPr>
                <w:b w:val="0"/>
                <w:sz w:val="10"/>
              </w:rPr>
              <w:t>51.3 / 428.2</w:t>
            </w:r>
          </w:p>
        </w:tc>
        <w:tc>
          <w:tcPr>
            <w:tcW w:type="dxa" w:w="1584"/>
            <w:vAlign w:val="center"/>
          </w:tcPr>
          <w:p>
            <w:pPr>
              <w:spacing w:before="0" w:after="0" w:line="240" w:lineRule="auto"/>
              <w:jc w:val="center"/>
            </w:pPr>
            <w:r>
              <w:rPr>
                <w:b w:val="0"/>
                <w:sz w:val="10"/>
              </w:rPr>
              <w:t>206.0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retina</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0.9678 / Acc 0.9678</w:t>
            </w:r>
          </w:p>
        </w:tc>
        <w:tc>
          <w:tcPr>
            <w:tcW w:type="dxa" w:w="1584"/>
            <w:vAlign w:val="center"/>
          </w:tcPr>
          <w:p>
            <w:pPr>
              <w:spacing w:before="0" w:after="0" w:line="240" w:lineRule="auto"/>
              <w:jc w:val="center"/>
            </w:pPr>
            <w:r>
              <w:rPr>
                <w:b w:val="0"/>
                <w:sz w:val="10"/>
              </w:rPr>
              <w:t>0.100 / 0.258</w:t>
            </w:r>
          </w:p>
        </w:tc>
        <w:tc>
          <w:tcPr>
            <w:tcW w:type="dxa" w:w="1584"/>
            <w:vAlign w:val="center"/>
          </w:tcPr>
          <w:p>
            <w:pPr>
              <w:spacing w:before="0" w:after="0" w:line="240" w:lineRule="auto"/>
              <w:jc w:val="center"/>
            </w:pPr>
            <w:r>
              <w:rPr>
                <w:b w:val="0"/>
                <w:sz w:val="10"/>
              </w:rPr>
              <w:t>64.9 / 398.7</w:t>
            </w:r>
          </w:p>
        </w:tc>
        <w:tc>
          <w:tcPr>
            <w:tcW w:type="dxa" w:w="1584"/>
            <w:vAlign w:val="center"/>
          </w:tcPr>
          <w:p>
            <w:pPr>
              <w:spacing w:before="0" w:after="0" w:line="240" w:lineRule="auto"/>
              <w:jc w:val="center"/>
            </w:pPr>
            <w:r>
              <w:rPr>
                <w:b w:val="0"/>
                <w:sz w:val="10"/>
              </w:rPr>
              <w:t>208.0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tabula</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0.8006 / Acc 0.8006</w:t>
            </w:r>
          </w:p>
        </w:tc>
        <w:tc>
          <w:tcPr>
            <w:tcW w:type="dxa" w:w="1584"/>
            <w:vAlign w:val="center"/>
          </w:tcPr>
          <w:p>
            <w:pPr>
              <w:spacing w:before="0" w:after="0" w:line="240" w:lineRule="auto"/>
              <w:jc w:val="center"/>
            </w:pPr>
            <w:r>
              <w:rPr>
                <w:b w:val="0"/>
                <w:sz w:val="10"/>
              </w:rPr>
              <w:t>0.283 / 0.329</w:t>
            </w:r>
          </w:p>
        </w:tc>
        <w:tc>
          <w:tcPr>
            <w:tcW w:type="dxa" w:w="1584"/>
            <w:vAlign w:val="center"/>
          </w:tcPr>
          <w:p>
            <w:pPr>
              <w:spacing w:before="0" w:after="0" w:line="240" w:lineRule="auto"/>
              <w:jc w:val="center"/>
            </w:pPr>
            <w:r>
              <w:rPr>
                <w:b w:val="0"/>
                <w:sz w:val="10"/>
              </w:rPr>
              <w:t>75.2 / 367.3</w:t>
            </w:r>
          </w:p>
        </w:tc>
        <w:tc>
          <w:tcPr>
            <w:tcW w:type="dxa" w:w="1584"/>
            <w:vAlign w:val="center"/>
          </w:tcPr>
          <w:p>
            <w:pPr>
              <w:spacing w:before="0" w:after="0" w:line="240" w:lineRule="auto"/>
              <w:jc w:val="center"/>
            </w:pPr>
            <w:r>
              <w:rPr>
                <w:b w:val="0"/>
                <w:sz w:val="10"/>
              </w:rPr>
              <w:t>228.0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tabula</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0.7982 / Acc 0.7982</w:t>
            </w:r>
          </w:p>
        </w:tc>
        <w:tc>
          <w:tcPr>
            <w:tcW w:type="dxa" w:w="1584"/>
            <w:vAlign w:val="center"/>
          </w:tcPr>
          <w:p>
            <w:pPr>
              <w:spacing w:before="0" w:after="0" w:line="240" w:lineRule="auto"/>
              <w:jc w:val="center"/>
            </w:pPr>
            <w:r>
              <w:rPr>
                <w:b w:val="0"/>
                <w:sz w:val="10"/>
              </w:rPr>
              <w:t>0.393 / 0.425</w:t>
            </w:r>
          </w:p>
        </w:tc>
        <w:tc>
          <w:tcPr>
            <w:tcW w:type="dxa" w:w="1584"/>
            <w:vAlign w:val="center"/>
          </w:tcPr>
          <w:p>
            <w:pPr>
              <w:spacing w:before="0" w:after="0" w:line="240" w:lineRule="auto"/>
              <w:jc w:val="center"/>
            </w:pPr>
            <w:r>
              <w:rPr>
                <w:b w:val="0"/>
                <w:sz w:val="10"/>
              </w:rPr>
              <w:t>119.8 / 390.8</w:t>
            </w:r>
          </w:p>
        </w:tc>
        <w:tc>
          <w:tcPr>
            <w:tcW w:type="dxa" w:w="1584"/>
            <w:vAlign w:val="center"/>
          </w:tcPr>
          <w:p>
            <w:pPr>
              <w:spacing w:before="0" w:after="0" w:line="240" w:lineRule="auto"/>
              <w:jc w:val="center"/>
            </w:pPr>
            <w:r>
              <w:rPr>
                <w:b w:val="0"/>
                <w:sz w:val="10"/>
              </w:rPr>
              <w:t>228.0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tabula</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31</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Acc 0.7800 / Acc 0.7800</w:t>
            </w:r>
          </w:p>
        </w:tc>
        <w:tc>
          <w:tcPr>
            <w:tcW w:type="dxa" w:w="1584"/>
            <w:vAlign w:val="center"/>
          </w:tcPr>
          <w:p>
            <w:pPr>
              <w:spacing w:before="0" w:after="0" w:line="240" w:lineRule="auto"/>
              <w:jc w:val="center"/>
            </w:pPr>
            <w:r>
              <w:rPr>
                <w:b w:val="0"/>
                <w:sz w:val="10"/>
              </w:rPr>
              <w:t>0.250 / 0.315</w:t>
            </w:r>
          </w:p>
        </w:tc>
        <w:tc>
          <w:tcPr>
            <w:tcW w:type="dxa" w:w="1584"/>
            <w:vAlign w:val="center"/>
          </w:tcPr>
          <w:p>
            <w:pPr>
              <w:spacing w:before="0" w:after="0" w:line="240" w:lineRule="auto"/>
              <w:jc w:val="center"/>
            </w:pPr>
            <w:r>
              <w:rPr>
                <w:b w:val="0"/>
                <w:sz w:val="10"/>
              </w:rPr>
              <w:t>61.7 / 416.8</w:t>
            </w:r>
          </w:p>
        </w:tc>
        <w:tc>
          <w:tcPr>
            <w:tcW w:type="dxa" w:w="1584"/>
            <w:vAlign w:val="center"/>
          </w:tcPr>
          <w:p>
            <w:pPr>
              <w:spacing w:before="0" w:after="0" w:line="240" w:lineRule="auto"/>
              <w:jc w:val="center"/>
            </w:pPr>
            <w:r>
              <w:rPr>
                <w:b w:val="0"/>
                <w:sz w:val="10"/>
              </w:rPr>
              <w:t>226.0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tabula</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0.8006 / Acc 0.8006</w:t>
            </w:r>
          </w:p>
        </w:tc>
        <w:tc>
          <w:tcPr>
            <w:tcW w:type="dxa" w:w="1584"/>
            <w:vAlign w:val="center"/>
          </w:tcPr>
          <w:p>
            <w:pPr>
              <w:spacing w:before="0" w:after="0" w:line="240" w:lineRule="auto"/>
              <w:jc w:val="center"/>
            </w:pPr>
            <w:r>
              <w:rPr>
                <w:b w:val="0"/>
                <w:sz w:val="10"/>
              </w:rPr>
              <w:t>0.297 / 0.320</w:t>
            </w:r>
          </w:p>
        </w:tc>
        <w:tc>
          <w:tcPr>
            <w:tcW w:type="dxa" w:w="1584"/>
            <w:vAlign w:val="center"/>
          </w:tcPr>
          <w:p>
            <w:pPr>
              <w:spacing w:before="0" w:after="0" w:line="240" w:lineRule="auto"/>
              <w:jc w:val="center"/>
            </w:pPr>
            <w:r>
              <w:rPr>
                <w:b w:val="0"/>
                <w:sz w:val="10"/>
              </w:rPr>
              <w:t>75.2 / 367.4</w:t>
            </w:r>
          </w:p>
        </w:tc>
        <w:tc>
          <w:tcPr>
            <w:tcW w:type="dxa" w:w="1584"/>
            <w:vAlign w:val="center"/>
          </w:tcPr>
          <w:p>
            <w:pPr>
              <w:spacing w:before="0" w:after="0" w:line="240" w:lineRule="auto"/>
              <w:jc w:val="center"/>
            </w:pPr>
            <w:r>
              <w:rPr>
                <w:b w:val="0"/>
                <w:sz w:val="10"/>
              </w:rPr>
              <w:t>228.0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cifar100</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200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0.8883 / Acc 0.8880</w:t>
            </w:r>
          </w:p>
        </w:tc>
        <w:tc>
          <w:tcPr>
            <w:tcW w:type="dxa" w:w="1584"/>
            <w:vAlign w:val="center"/>
          </w:tcPr>
          <w:p>
            <w:pPr>
              <w:spacing w:before="0" w:after="0" w:line="240" w:lineRule="auto"/>
              <w:jc w:val="center"/>
            </w:pPr>
            <w:r>
              <w:rPr>
                <w:b w:val="0"/>
                <w:sz w:val="10"/>
              </w:rPr>
              <w:t>14.723 / 1.012</w:t>
            </w:r>
          </w:p>
        </w:tc>
        <w:tc>
          <w:tcPr>
            <w:tcW w:type="dxa" w:w="1584"/>
            <w:vAlign w:val="center"/>
          </w:tcPr>
          <w:p>
            <w:pPr>
              <w:spacing w:before="0" w:after="0" w:line="240" w:lineRule="auto"/>
              <w:jc w:val="center"/>
            </w:pPr>
            <w:r>
              <w:rPr>
                <w:b w:val="0"/>
                <w:sz w:val="10"/>
              </w:rPr>
              <w:t>705.2 / 676.3</w:t>
            </w:r>
          </w:p>
        </w:tc>
        <w:tc>
          <w:tcPr>
            <w:tcW w:type="dxa" w:w="1584"/>
            <w:vAlign w:val="center"/>
          </w:tcPr>
          <w:p>
            <w:pPr>
              <w:spacing w:before="0" w:after="0" w:line="240" w:lineRule="auto"/>
              <w:jc w:val="center"/>
            </w:pPr>
            <w:r>
              <w:rPr>
                <w:b w:val="0"/>
                <w:sz w:val="10"/>
              </w:rPr>
              <w:t>532.0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cifar100</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200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0.8879 / Acc 0.8868</w:t>
            </w:r>
          </w:p>
        </w:tc>
        <w:tc>
          <w:tcPr>
            <w:tcW w:type="dxa" w:w="1584"/>
            <w:vAlign w:val="center"/>
          </w:tcPr>
          <w:p>
            <w:pPr>
              <w:spacing w:before="0" w:after="0" w:line="240" w:lineRule="auto"/>
              <w:jc w:val="center"/>
            </w:pPr>
            <w:r>
              <w:rPr>
                <w:b w:val="0"/>
                <w:sz w:val="10"/>
              </w:rPr>
              <w:t>17.603 / 4.006</w:t>
            </w:r>
          </w:p>
        </w:tc>
        <w:tc>
          <w:tcPr>
            <w:tcW w:type="dxa" w:w="1584"/>
            <w:vAlign w:val="center"/>
          </w:tcPr>
          <w:p>
            <w:pPr>
              <w:spacing w:before="0" w:after="0" w:line="240" w:lineRule="auto"/>
              <w:jc w:val="center"/>
            </w:pPr>
            <w:r>
              <w:rPr>
                <w:b w:val="0"/>
                <w:sz w:val="10"/>
              </w:rPr>
              <w:t>1037.2 / 1008.4</w:t>
            </w:r>
          </w:p>
        </w:tc>
        <w:tc>
          <w:tcPr>
            <w:tcW w:type="dxa" w:w="1584"/>
            <w:vAlign w:val="center"/>
          </w:tcPr>
          <w:p>
            <w:pPr>
              <w:spacing w:before="0" w:after="0" w:line="240" w:lineRule="auto"/>
              <w:jc w:val="center"/>
            </w:pPr>
            <w:r>
              <w:rPr>
                <w:b w:val="0"/>
                <w:sz w:val="10"/>
              </w:rPr>
              <w:t>532.0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cifar100</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99</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Acc 0.8740 / Acc 0.8740</w:t>
            </w:r>
          </w:p>
        </w:tc>
        <w:tc>
          <w:tcPr>
            <w:tcW w:type="dxa" w:w="1584"/>
            <w:vAlign w:val="center"/>
          </w:tcPr>
          <w:p>
            <w:pPr>
              <w:spacing w:before="0" w:after="0" w:line="240" w:lineRule="auto"/>
              <w:jc w:val="center"/>
            </w:pPr>
            <w:r>
              <w:rPr>
                <w:b w:val="0"/>
                <w:sz w:val="10"/>
              </w:rPr>
              <w:t>6.006 / 0.675</w:t>
            </w:r>
          </w:p>
        </w:tc>
        <w:tc>
          <w:tcPr>
            <w:tcW w:type="dxa" w:w="1584"/>
            <w:vAlign w:val="center"/>
          </w:tcPr>
          <w:p>
            <w:pPr>
              <w:spacing w:before="0" w:after="0" w:line="240" w:lineRule="auto"/>
              <w:jc w:val="center"/>
            </w:pPr>
            <w:r>
              <w:rPr>
                <w:b w:val="0"/>
                <w:sz w:val="10"/>
              </w:rPr>
              <w:t>448.4 / 685.6</w:t>
            </w:r>
          </w:p>
        </w:tc>
        <w:tc>
          <w:tcPr>
            <w:tcW w:type="dxa" w:w="1584"/>
            <w:vAlign w:val="center"/>
          </w:tcPr>
          <w:p>
            <w:pPr>
              <w:spacing w:before="0" w:after="0" w:line="240" w:lineRule="auto"/>
              <w:jc w:val="center"/>
            </w:pPr>
            <w:r>
              <w:rPr>
                <w:b w:val="0"/>
                <w:sz w:val="10"/>
              </w:rPr>
              <w:t>532.0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cifar100</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200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Acc 0.8883 / Acc 0.8880</w:t>
            </w:r>
          </w:p>
        </w:tc>
        <w:tc>
          <w:tcPr>
            <w:tcW w:type="dxa" w:w="1584"/>
            <w:vAlign w:val="center"/>
          </w:tcPr>
          <w:p>
            <w:pPr>
              <w:spacing w:before="0" w:after="0" w:line="240" w:lineRule="auto"/>
              <w:jc w:val="center"/>
            </w:pPr>
            <w:r>
              <w:rPr>
                <w:b w:val="0"/>
                <w:sz w:val="10"/>
              </w:rPr>
              <w:t>14.599 / 1.007</w:t>
            </w:r>
          </w:p>
        </w:tc>
        <w:tc>
          <w:tcPr>
            <w:tcW w:type="dxa" w:w="1584"/>
            <w:vAlign w:val="center"/>
          </w:tcPr>
          <w:p>
            <w:pPr>
              <w:spacing w:before="0" w:after="0" w:line="240" w:lineRule="auto"/>
              <w:jc w:val="center"/>
            </w:pPr>
            <w:r>
              <w:rPr>
                <w:b w:val="0"/>
                <w:sz w:val="10"/>
              </w:rPr>
              <w:t>705.6 / 676.9</w:t>
            </w:r>
          </w:p>
        </w:tc>
        <w:tc>
          <w:tcPr>
            <w:tcW w:type="dxa" w:w="1584"/>
            <w:vAlign w:val="center"/>
          </w:tcPr>
          <w:p>
            <w:pPr>
              <w:spacing w:before="0" w:after="0" w:line="240" w:lineRule="auto"/>
              <w:jc w:val="center"/>
            </w:pPr>
            <w:r>
              <w:rPr>
                <w:b w:val="0"/>
                <w:sz w:val="10"/>
              </w:rPr>
              <w:t>532.0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cbmc citeseq</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RMSD 1056.46 / RMSD 1056.46</w:t>
            </w:r>
          </w:p>
        </w:tc>
        <w:tc>
          <w:tcPr>
            <w:tcW w:type="dxa" w:w="1584"/>
            <w:vAlign w:val="center"/>
          </w:tcPr>
          <w:p>
            <w:pPr>
              <w:spacing w:before="0" w:after="0" w:line="240" w:lineRule="auto"/>
              <w:jc w:val="center"/>
            </w:pPr>
            <w:r>
              <w:rPr>
                <w:b w:val="0"/>
                <w:sz w:val="10"/>
              </w:rPr>
              <w:t>0.603 / 0.292</w:t>
            </w:r>
          </w:p>
        </w:tc>
        <w:tc>
          <w:tcPr>
            <w:tcW w:type="dxa" w:w="1584"/>
            <w:vAlign w:val="center"/>
          </w:tcPr>
          <w:p>
            <w:pPr>
              <w:spacing w:before="0" w:after="0" w:line="240" w:lineRule="auto"/>
              <w:jc w:val="center"/>
            </w:pPr>
            <w:r>
              <w:rPr>
                <w:b w:val="0"/>
                <w:sz w:val="10"/>
              </w:rPr>
              <w:t>121.6 / 372.6</w:t>
            </w:r>
          </w:p>
        </w:tc>
        <w:tc>
          <w:tcPr>
            <w:tcW w:type="dxa" w:w="1584"/>
            <w:vAlign w:val="center"/>
          </w:tcPr>
          <w:p>
            <w:pPr>
              <w:spacing w:before="0" w:after="0" w:line="240" w:lineRule="auto"/>
              <w:jc w:val="center"/>
            </w:pPr>
            <w:r>
              <w:rPr>
                <w:b w:val="0"/>
                <w:sz w:val="10"/>
              </w:rPr>
              <w:t>256.0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cbmc citeseq</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RMSD 1056.88 / RMSD 1056.88</w:t>
            </w:r>
          </w:p>
        </w:tc>
        <w:tc>
          <w:tcPr>
            <w:tcW w:type="dxa" w:w="1584"/>
            <w:vAlign w:val="center"/>
          </w:tcPr>
          <w:p>
            <w:pPr>
              <w:spacing w:before="0" w:after="0" w:line="240" w:lineRule="auto"/>
              <w:jc w:val="center"/>
            </w:pPr>
            <w:r>
              <w:rPr>
                <w:b w:val="0"/>
                <w:sz w:val="10"/>
              </w:rPr>
              <w:t>0.772 / 0.433</w:t>
            </w:r>
          </w:p>
        </w:tc>
        <w:tc>
          <w:tcPr>
            <w:tcW w:type="dxa" w:w="1584"/>
            <w:vAlign w:val="center"/>
          </w:tcPr>
          <w:p>
            <w:pPr>
              <w:spacing w:before="0" w:after="0" w:line="240" w:lineRule="auto"/>
              <w:jc w:val="center"/>
            </w:pPr>
            <w:r>
              <w:rPr>
                <w:b w:val="0"/>
                <w:sz w:val="10"/>
              </w:rPr>
              <w:t>180.7 / 428.4</w:t>
            </w:r>
          </w:p>
        </w:tc>
        <w:tc>
          <w:tcPr>
            <w:tcW w:type="dxa" w:w="1584"/>
            <w:vAlign w:val="center"/>
          </w:tcPr>
          <w:p>
            <w:pPr>
              <w:spacing w:before="0" w:after="0" w:line="240" w:lineRule="auto"/>
              <w:jc w:val="center"/>
            </w:pPr>
            <w:r>
              <w:rPr>
                <w:b w:val="0"/>
                <w:sz w:val="10"/>
              </w:rPr>
              <w:t>256.0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cbmc citeseq</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10</w:t>
            </w:r>
          </w:p>
        </w:tc>
        <w:tc>
          <w:tcPr>
            <w:tcW w:type="dxa" w:w="1584"/>
            <w:vAlign w:val="center"/>
          </w:tcPr>
          <w:p>
            <w:pPr>
              <w:spacing w:before="0" w:after="0" w:line="240" w:lineRule="auto"/>
              <w:jc w:val="center"/>
            </w:pPr>
            <w:r>
              <w:rPr>
                <w:b w:val="0"/>
                <w:sz w:val="10"/>
              </w:rPr>
              <w:t>response-rank limit</w:t>
            </w:r>
          </w:p>
        </w:tc>
        <w:tc>
          <w:tcPr>
            <w:tcW w:type="dxa" w:w="1584"/>
            <w:vAlign w:val="center"/>
          </w:tcPr>
          <w:p>
            <w:pPr>
              <w:spacing w:before="0" w:after="0" w:line="240" w:lineRule="auto"/>
              <w:jc w:val="center"/>
            </w:pPr>
            <w:r>
              <w:rPr>
                <w:b w:val="0"/>
                <w:sz w:val="10"/>
              </w:rPr>
              <w:t>RMSD 1096.5 / RMSD 1096.5</w:t>
            </w:r>
          </w:p>
        </w:tc>
        <w:tc>
          <w:tcPr>
            <w:tcW w:type="dxa" w:w="1584"/>
            <w:vAlign w:val="center"/>
          </w:tcPr>
          <w:p>
            <w:pPr>
              <w:spacing w:before="0" w:after="0" w:line="240" w:lineRule="auto"/>
              <w:jc w:val="center"/>
            </w:pPr>
            <w:r>
              <w:rPr>
                <w:b w:val="0"/>
                <w:sz w:val="10"/>
              </w:rPr>
              <w:t>0.177 / 0.283</w:t>
            </w:r>
          </w:p>
        </w:tc>
        <w:tc>
          <w:tcPr>
            <w:tcW w:type="dxa" w:w="1584"/>
            <w:vAlign w:val="center"/>
          </w:tcPr>
          <w:p>
            <w:pPr>
              <w:spacing w:before="0" w:after="0" w:line="240" w:lineRule="auto"/>
              <w:jc w:val="center"/>
            </w:pPr>
            <w:r>
              <w:rPr>
                <w:b w:val="0"/>
                <w:sz w:val="10"/>
              </w:rPr>
              <w:t>61.4 / 403.1</w:t>
            </w:r>
          </w:p>
        </w:tc>
        <w:tc>
          <w:tcPr>
            <w:tcW w:type="dxa" w:w="1584"/>
            <w:vAlign w:val="center"/>
          </w:tcPr>
          <w:p>
            <w:pPr>
              <w:spacing w:before="0" w:after="0" w:line="240" w:lineRule="auto"/>
              <w:jc w:val="center"/>
            </w:pPr>
            <w:r>
              <w:rPr>
                <w:b w:val="0"/>
                <w:sz w:val="10"/>
              </w:rPr>
              <w:t>254.0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cbmc citeseq</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upper boundary</w:t>
            </w:r>
          </w:p>
        </w:tc>
        <w:tc>
          <w:tcPr>
            <w:tcW w:type="dxa" w:w="1584"/>
            <w:vAlign w:val="center"/>
          </w:tcPr>
          <w:p>
            <w:pPr>
              <w:spacing w:before="0" w:after="0" w:line="240" w:lineRule="auto"/>
              <w:jc w:val="center"/>
            </w:pPr>
            <w:r>
              <w:rPr>
                <w:b w:val="0"/>
                <w:sz w:val="10"/>
              </w:rPr>
              <w:t>RMSD 1056.46 / RMSD 1056.46</w:t>
            </w:r>
          </w:p>
        </w:tc>
        <w:tc>
          <w:tcPr>
            <w:tcW w:type="dxa" w:w="1584"/>
            <w:vAlign w:val="center"/>
          </w:tcPr>
          <w:p>
            <w:pPr>
              <w:spacing w:before="0" w:after="0" w:line="240" w:lineRule="auto"/>
              <w:jc w:val="center"/>
            </w:pPr>
            <w:r>
              <w:rPr>
                <w:b w:val="0"/>
                <w:sz w:val="10"/>
              </w:rPr>
              <w:t>0.608 / 0.291</w:t>
            </w:r>
          </w:p>
        </w:tc>
        <w:tc>
          <w:tcPr>
            <w:tcW w:type="dxa" w:w="1584"/>
            <w:vAlign w:val="center"/>
          </w:tcPr>
          <w:p>
            <w:pPr>
              <w:spacing w:before="0" w:after="0" w:line="240" w:lineRule="auto"/>
              <w:jc w:val="center"/>
            </w:pPr>
            <w:r>
              <w:rPr>
                <w:b w:val="0"/>
                <w:sz w:val="10"/>
              </w:rPr>
              <w:t>121.2 / 372.4</w:t>
            </w:r>
          </w:p>
        </w:tc>
        <w:tc>
          <w:tcPr>
            <w:tcW w:type="dxa" w:w="1584"/>
            <w:vAlign w:val="center"/>
          </w:tcPr>
          <w:p>
            <w:pPr>
              <w:spacing w:before="0" w:after="0" w:line="240" w:lineRule="auto"/>
              <w:jc w:val="center"/>
            </w:pPr>
            <w:r>
              <w:rPr>
                <w:b w:val="0"/>
                <w:sz w:val="10"/>
              </w:rPr>
              <w:t>256.0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prism</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5</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RMSD 0.54677 / RMSD 0.546448</w:t>
            </w:r>
          </w:p>
        </w:tc>
        <w:tc>
          <w:tcPr>
            <w:tcW w:type="dxa" w:w="1584"/>
            <w:vAlign w:val="center"/>
          </w:tcPr>
          <w:p>
            <w:pPr>
              <w:spacing w:before="0" w:after="0" w:line="240" w:lineRule="auto"/>
              <w:jc w:val="center"/>
            </w:pPr>
            <w:r>
              <w:rPr>
                <w:b w:val="0"/>
                <w:sz w:val="10"/>
              </w:rPr>
              <w:t>0.134 / 0.278</w:t>
            </w:r>
          </w:p>
        </w:tc>
        <w:tc>
          <w:tcPr>
            <w:tcW w:type="dxa" w:w="1584"/>
            <w:vAlign w:val="center"/>
          </w:tcPr>
          <w:p>
            <w:pPr>
              <w:spacing w:before="0" w:after="0" w:line="240" w:lineRule="auto"/>
              <w:jc w:val="center"/>
            </w:pPr>
            <w:r>
              <w:rPr>
                <w:b w:val="0"/>
                <w:sz w:val="10"/>
              </w:rPr>
              <w:t>93.7 / 404.8</w:t>
            </w:r>
          </w:p>
        </w:tc>
        <w:tc>
          <w:tcPr>
            <w:tcW w:type="dxa" w:w="1584"/>
            <w:vAlign w:val="center"/>
          </w:tcPr>
          <w:p>
            <w:pPr>
              <w:spacing w:before="0" w:after="0" w:line="240" w:lineRule="auto"/>
              <w:jc w:val="center"/>
            </w:pPr>
            <w:r>
              <w:rPr>
                <w:b w:val="0"/>
                <w:sz w:val="10"/>
              </w:rPr>
              <w:t>252.0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prism</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2</w:t>
            </w:r>
          </w:p>
        </w:tc>
        <w:tc>
          <w:tcPr>
            <w:tcW w:type="dxa" w:w="1584"/>
            <w:vAlign w:val="center"/>
          </w:tcPr>
          <w:p>
            <w:pPr>
              <w:spacing w:before="0" w:after="0" w:line="240" w:lineRule="auto"/>
              <w:jc w:val="center"/>
            </w:pPr>
            <w:r>
              <w:rPr>
                <w:b w:val="0"/>
                <w:sz w:val="10"/>
              </w:rPr>
              <w:t>lower boundary</w:t>
            </w:r>
          </w:p>
        </w:tc>
        <w:tc>
          <w:tcPr>
            <w:tcW w:type="dxa" w:w="1584"/>
            <w:vAlign w:val="center"/>
          </w:tcPr>
          <w:p>
            <w:pPr>
              <w:spacing w:before="0" w:after="0" w:line="240" w:lineRule="auto"/>
              <w:jc w:val="center"/>
            </w:pPr>
            <w:r>
              <w:rPr>
                <w:b w:val="0"/>
                <w:sz w:val="10"/>
              </w:rPr>
              <w:t>RMSD 0.552116 / RMSD 0.552237</w:t>
            </w:r>
          </w:p>
        </w:tc>
        <w:tc>
          <w:tcPr>
            <w:tcW w:type="dxa" w:w="1584"/>
            <w:vAlign w:val="center"/>
          </w:tcPr>
          <w:p>
            <w:pPr>
              <w:spacing w:before="0" w:after="0" w:line="240" w:lineRule="auto"/>
              <w:jc w:val="center"/>
            </w:pPr>
            <w:r>
              <w:rPr>
                <w:b w:val="0"/>
                <w:sz w:val="10"/>
              </w:rPr>
              <w:t>8.934 / 9.133</w:t>
            </w:r>
          </w:p>
        </w:tc>
        <w:tc>
          <w:tcPr>
            <w:tcW w:type="dxa" w:w="1584"/>
            <w:vAlign w:val="center"/>
          </w:tcPr>
          <w:p>
            <w:pPr>
              <w:spacing w:before="0" w:after="0" w:line="240" w:lineRule="auto"/>
              <w:jc w:val="center"/>
            </w:pPr>
            <w:r>
              <w:rPr>
                <w:b w:val="0"/>
                <w:sz w:val="10"/>
              </w:rPr>
              <w:t>148.8 / 423.7</w:t>
            </w:r>
          </w:p>
        </w:tc>
        <w:tc>
          <w:tcPr>
            <w:tcW w:type="dxa" w:w="1584"/>
            <w:vAlign w:val="center"/>
          </w:tcPr>
          <w:p>
            <w:pPr>
              <w:spacing w:before="0" w:after="0" w:line="240" w:lineRule="auto"/>
              <w:jc w:val="center"/>
            </w:pPr>
            <w:r>
              <w:rPr>
                <w:b w:val="0"/>
                <w:sz w:val="10"/>
              </w:rPr>
              <w:t>246.0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prism</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10</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RMSD 0.551182 / RMSD 0.551219</w:t>
            </w:r>
          </w:p>
        </w:tc>
        <w:tc>
          <w:tcPr>
            <w:tcW w:type="dxa" w:w="1584"/>
            <w:vAlign w:val="center"/>
          </w:tcPr>
          <w:p>
            <w:pPr>
              <w:spacing w:before="0" w:after="0" w:line="240" w:lineRule="auto"/>
              <w:jc w:val="center"/>
            </w:pPr>
            <w:r>
              <w:rPr>
                <w:b w:val="0"/>
                <w:sz w:val="10"/>
              </w:rPr>
              <w:t>0.176 / 0.291</w:t>
            </w:r>
          </w:p>
        </w:tc>
        <w:tc>
          <w:tcPr>
            <w:tcW w:type="dxa" w:w="1584"/>
            <w:vAlign w:val="center"/>
          </w:tcPr>
          <w:p>
            <w:pPr>
              <w:spacing w:before="0" w:after="0" w:line="240" w:lineRule="auto"/>
              <w:jc w:val="center"/>
            </w:pPr>
            <w:r>
              <w:rPr>
                <w:b w:val="0"/>
                <w:sz w:val="10"/>
              </w:rPr>
              <w:t>61.6 / 434.5</w:t>
            </w:r>
          </w:p>
        </w:tc>
        <w:tc>
          <w:tcPr>
            <w:tcW w:type="dxa" w:w="1584"/>
            <w:vAlign w:val="center"/>
          </w:tcPr>
          <w:p>
            <w:pPr>
              <w:spacing w:before="0" w:after="0" w:line="240" w:lineRule="auto"/>
              <w:jc w:val="center"/>
            </w:pPr>
            <w:r>
              <w:rPr>
                <w:b w:val="0"/>
                <w:sz w:val="10"/>
              </w:rPr>
              <w:t>236.0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prism</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5</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RMSD 0.54677 / RMSD 0.546448</w:t>
            </w:r>
          </w:p>
        </w:tc>
        <w:tc>
          <w:tcPr>
            <w:tcW w:type="dxa" w:w="1584"/>
            <w:vAlign w:val="center"/>
          </w:tcPr>
          <w:p>
            <w:pPr>
              <w:spacing w:before="0" w:after="0" w:line="240" w:lineRule="auto"/>
              <w:jc w:val="center"/>
            </w:pPr>
            <w:r>
              <w:rPr>
                <w:b w:val="0"/>
                <w:sz w:val="10"/>
              </w:rPr>
              <w:t>0.117 / 0.291</w:t>
            </w:r>
          </w:p>
        </w:tc>
        <w:tc>
          <w:tcPr>
            <w:tcW w:type="dxa" w:w="1584"/>
            <w:vAlign w:val="center"/>
          </w:tcPr>
          <w:p>
            <w:pPr>
              <w:spacing w:before="0" w:after="0" w:line="240" w:lineRule="auto"/>
              <w:jc w:val="center"/>
            </w:pPr>
            <w:r>
              <w:rPr>
                <w:b w:val="0"/>
                <w:sz w:val="10"/>
              </w:rPr>
              <w:t>93.7 / 392.3</w:t>
            </w:r>
          </w:p>
        </w:tc>
        <w:tc>
          <w:tcPr>
            <w:tcW w:type="dxa" w:w="1584"/>
            <w:vAlign w:val="center"/>
          </w:tcPr>
          <w:p>
            <w:pPr>
              <w:spacing w:before="0" w:after="0" w:line="240" w:lineRule="auto"/>
              <w:jc w:val="center"/>
            </w:pPr>
            <w:r>
              <w:rPr>
                <w:b w:val="0"/>
                <w:sz w:val="10"/>
              </w:rPr>
              <w:t>252.0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nmr</w:t>
            </w:r>
          </w:p>
        </w:tc>
        <w:tc>
          <w:tcPr>
            <w:tcW w:type="dxa" w:w="1584"/>
            <w:vAlign w:val="center"/>
          </w:tcPr>
          <w:p>
            <w:pPr>
              <w:spacing w:before="0" w:after="0" w:line="240" w:lineRule="auto"/>
              <w:jc w:val="center"/>
            </w:pPr>
            <w:r>
              <w:rPr>
                <w:b w:val="0"/>
                <w:sz w:val="10"/>
              </w:rPr>
              <w:t>kernel PLS</w:t>
            </w:r>
          </w:p>
        </w:tc>
        <w:tc>
          <w:tcPr>
            <w:tcW w:type="dxa" w:w="1584"/>
            <w:vAlign w:val="center"/>
          </w:tcPr>
          <w:p>
            <w:pPr>
              <w:spacing w:before="0" w:after="0" w:line="240" w:lineRule="auto"/>
              <w:jc w:val="center"/>
            </w:pPr>
            <w:r>
              <w:rPr>
                <w:b w:val="0"/>
                <w:sz w:val="10"/>
              </w:rPr>
              <w:t>n/a</w:t>
            </w:r>
          </w:p>
        </w:tc>
        <w:tc>
          <w:tcPr>
            <w:tcW w:type="dxa" w:w="1584"/>
            <w:vAlign w:val="center"/>
          </w:tcPr>
          <w:p>
            <w:pPr>
              <w:spacing w:before="0" w:after="0" w:line="240" w:lineRule="auto"/>
              <w:jc w:val="center"/>
            </w:pPr>
            <w:r>
              <w:rPr>
                <w:b w:val="0"/>
                <w:sz w:val="10"/>
              </w:rPr>
              <w:t>not evaluated</w:t>
            </w:r>
          </w:p>
        </w:tc>
        <w:tc>
          <w:tcPr>
            <w:tcW w:type="dxa" w:w="1584"/>
            <w:vAlign w:val="center"/>
          </w:tcPr>
          <w:p>
            <w:pPr>
              <w:spacing w:before="0" w:after="0" w:line="240" w:lineRule="auto"/>
              <w:jc w:val="center"/>
            </w:pPr>
            <w:r>
              <w:rPr>
                <w:b w:val="0"/>
                <w:sz w:val="10"/>
              </w:rPr>
              <w:t>not evaluated in NMR protocol / not evaluated in NMR protocol</w:t>
            </w:r>
          </w:p>
        </w:tc>
        <w:tc>
          <w:tcPr>
            <w:tcW w:type="dxa" w:w="1584"/>
            <w:vAlign w:val="center"/>
          </w:tcPr>
          <w:p>
            <w:pPr>
              <w:spacing w:before="0" w:after="0" w:line="240" w:lineRule="auto"/>
              <w:jc w:val="center"/>
            </w:pPr>
            <w:r>
              <w:rPr>
                <w:b w:val="0"/>
                <w:sz w:val="10"/>
              </w:rPr>
              <w:t>n/a</w:t>
            </w:r>
          </w:p>
        </w:tc>
        <w:tc>
          <w:tcPr>
            <w:tcW w:type="dxa" w:w="1584"/>
            <w:vAlign w:val="center"/>
          </w:tcPr>
          <w:p>
            <w:pPr>
              <w:spacing w:before="0" w:after="0" w:line="240" w:lineRule="auto"/>
              <w:jc w:val="center"/>
            </w:pPr>
            <w:r>
              <w:rPr>
                <w:b w:val="0"/>
                <w:sz w:val="10"/>
              </w:rPr>
              <w:t>NR / NR</w:t>
            </w:r>
          </w:p>
        </w:tc>
        <w:tc>
          <w:tcPr>
            <w:tcW w:type="dxa" w:w="1584"/>
            <w:vAlign w:val="center"/>
          </w:tcPr>
          <w:p>
            <w:pPr>
              <w:spacing w:before="0" w:after="0" w:line="240" w:lineRule="auto"/>
              <w:jc w:val="center"/>
            </w:pPr>
            <w:r>
              <w:rPr>
                <w:b w:val="0"/>
                <w:sz w:val="10"/>
              </w:rPr>
              <w:t>NR</w:t>
            </w:r>
          </w:p>
        </w:tc>
        <w:tc>
          <w:tcPr>
            <w:tcW w:type="dxa" w:w="1584"/>
            <w:vAlign w:val="center"/>
          </w:tcPr>
          <w:p>
            <w:pPr>
              <w:spacing w:before="0" w:after="0" w:line="240" w:lineRule="auto"/>
              <w:jc w:val="center"/>
            </w:pPr>
            <w:r>
              <w:rPr>
                <w:b w:val="0"/>
                <w:sz w:val="10"/>
              </w:rPr>
              <w:t>not evaluated in NMR protocol</w:t>
            </w:r>
          </w:p>
        </w:tc>
      </w:tr>
      <w:tr>
        <w:trPr>
          <w:cantSplit/>
        </w:trPr>
        <w:tc>
          <w:tcPr>
            <w:tcW w:type="dxa" w:w="1584"/>
            <w:vAlign w:val="center"/>
          </w:tcPr>
          <w:p>
            <w:pPr>
              <w:spacing w:before="0" w:after="0" w:line="240" w:lineRule="auto"/>
              <w:jc w:val="left"/>
            </w:pPr>
            <w:r>
              <w:rPr>
                <w:b w:val="0"/>
                <w:sz w:val="10"/>
              </w:rPr>
              <w:t>nmr</w:t>
            </w:r>
          </w:p>
        </w:tc>
        <w:tc>
          <w:tcPr>
            <w:tcW w:type="dxa" w:w="1584"/>
            <w:vAlign w:val="center"/>
          </w:tcPr>
          <w:p>
            <w:pPr>
              <w:spacing w:before="0" w:after="0" w:line="240" w:lineRule="auto"/>
              <w:jc w:val="center"/>
            </w:pPr>
            <w:r>
              <w:rPr>
                <w:b w:val="0"/>
                <w:sz w:val="10"/>
              </w:rPr>
              <w:t>OPLS</w:t>
            </w:r>
          </w:p>
        </w:tc>
        <w:tc>
          <w:tcPr>
            <w:tcW w:type="dxa" w:w="1584"/>
            <w:vAlign w:val="center"/>
          </w:tcPr>
          <w:p>
            <w:pPr>
              <w:spacing w:before="0" w:after="0" w:line="240" w:lineRule="auto"/>
              <w:jc w:val="center"/>
            </w:pPr>
            <w:r>
              <w:rPr>
                <w:b w:val="0"/>
                <w:sz w:val="10"/>
              </w:rPr>
              <w:t>n/a</w:t>
            </w:r>
          </w:p>
        </w:tc>
        <w:tc>
          <w:tcPr>
            <w:tcW w:type="dxa" w:w="1584"/>
            <w:vAlign w:val="center"/>
          </w:tcPr>
          <w:p>
            <w:pPr>
              <w:spacing w:before="0" w:after="0" w:line="240" w:lineRule="auto"/>
              <w:jc w:val="center"/>
            </w:pPr>
            <w:r>
              <w:rPr>
                <w:b w:val="0"/>
                <w:sz w:val="10"/>
              </w:rPr>
              <w:t>not evaluated</w:t>
            </w:r>
          </w:p>
        </w:tc>
        <w:tc>
          <w:tcPr>
            <w:tcW w:type="dxa" w:w="1584"/>
            <w:vAlign w:val="center"/>
          </w:tcPr>
          <w:p>
            <w:pPr>
              <w:spacing w:before="0" w:after="0" w:line="240" w:lineRule="auto"/>
              <w:jc w:val="center"/>
            </w:pPr>
            <w:r>
              <w:rPr>
                <w:b w:val="0"/>
                <w:sz w:val="10"/>
              </w:rPr>
              <w:t>not evaluated in NMR protocol / not evaluated in NMR protocol</w:t>
            </w:r>
          </w:p>
        </w:tc>
        <w:tc>
          <w:tcPr>
            <w:tcW w:type="dxa" w:w="1584"/>
            <w:vAlign w:val="center"/>
          </w:tcPr>
          <w:p>
            <w:pPr>
              <w:spacing w:before="0" w:after="0" w:line="240" w:lineRule="auto"/>
              <w:jc w:val="center"/>
            </w:pPr>
            <w:r>
              <w:rPr>
                <w:b w:val="0"/>
                <w:sz w:val="10"/>
              </w:rPr>
              <w:t>n/a</w:t>
            </w:r>
          </w:p>
        </w:tc>
        <w:tc>
          <w:tcPr>
            <w:tcW w:type="dxa" w:w="1584"/>
            <w:vAlign w:val="center"/>
          </w:tcPr>
          <w:p>
            <w:pPr>
              <w:spacing w:before="0" w:after="0" w:line="240" w:lineRule="auto"/>
              <w:jc w:val="center"/>
            </w:pPr>
            <w:r>
              <w:rPr>
                <w:b w:val="0"/>
                <w:sz w:val="10"/>
              </w:rPr>
              <w:t>NR / NR</w:t>
            </w:r>
          </w:p>
        </w:tc>
        <w:tc>
          <w:tcPr>
            <w:tcW w:type="dxa" w:w="1584"/>
            <w:vAlign w:val="center"/>
          </w:tcPr>
          <w:p>
            <w:pPr>
              <w:spacing w:before="0" w:after="0" w:line="240" w:lineRule="auto"/>
              <w:jc w:val="center"/>
            </w:pPr>
            <w:r>
              <w:rPr>
                <w:b w:val="0"/>
                <w:sz w:val="10"/>
              </w:rPr>
              <w:t>NR</w:t>
            </w:r>
          </w:p>
        </w:tc>
        <w:tc>
          <w:tcPr>
            <w:tcW w:type="dxa" w:w="1584"/>
            <w:vAlign w:val="center"/>
          </w:tcPr>
          <w:p>
            <w:pPr>
              <w:spacing w:before="0" w:after="0" w:line="240" w:lineRule="auto"/>
              <w:jc w:val="center"/>
            </w:pPr>
            <w:r>
              <w:rPr>
                <w:b w:val="0"/>
                <w:sz w:val="10"/>
              </w:rPr>
              <w:t>not evaluated in NMR protocol</w:t>
            </w:r>
          </w:p>
        </w:tc>
      </w:tr>
      <w:tr>
        <w:trPr>
          <w:cantSplit/>
        </w:trPr>
        <w:tc>
          <w:tcPr>
            <w:tcW w:type="dxa" w:w="1584"/>
            <w:vAlign w:val="center"/>
          </w:tcPr>
          <w:p>
            <w:pPr>
              <w:spacing w:before="0" w:after="0" w:line="240" w:lineRule="auto"/>
              <w:jc w:val="left"/>
            </w:pPr>
            <w:r>
              <w:rPr>
                <w:b w:val="0"/>
                <w:sz w:val="10"/>
              </w:rPr>
              <w:t>nmr</w:t>
            </w:r>
          </w:p>
        </w:tc>
        <w:tc>
          <w:tcPr>
            <w:tcW w:type="dxa" w:w="1584"/>
            <w:vAlign w:val="center"/>
          </w:tcPr>
          <w:p>
            <w:pPr>
              <w:spacing w:before="0" w:after="0" w:line="240" w:lineRule="auto"/>
              <w:jc w:val="center"/>
            </w:pPr>
            <w:r>
              <w:rPr>
                <w:b w:val="0"/>
                <w:sz w:val="10"/>
              </w:rPr>
              <w:t>PLS-SVD</w:t>
            </w:r>
          </w:p>
        </w:tc>
        <w:tc>
          <w:tcPr>
            <w:tcW w:type="dxa" w:w="1584"/>
            <w:vAlign w:val="center"/>
          </w:tcPr>
          <w:p>
            <w:pPr>
              <w:spacing w:before="0" w:after="0" w:line="240" w:lineRule="auto"/>
              <w:jc w:val="center"/>
            </w:pPr>
            <w:r>
              <w:rPr>
                <w:b w:val="0"/>
                <w:sz w:val="10"/>
              </w:rPr>
              <w:t>5</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RMSD 0.00104262 / RMSD 0.00104262</w:t>
            </w:r>
          </w:p>
        </w:tc>
        <w:tc>
          <w:tcPr>
            <w:tcW w:type="dxa" w:w="1584"/>
            <w:vAlign w:val="center"/>
          </w:tcPr>
          <w:p>
            <w:pPr>
              <w:spacing w:before="0" w:after="0" w:line="240" w:lineRule="auto"/>
              <w:jc w:val="center"/>
            </w:pPr>
            <w:r>
              <w:rPr>
                <w:b w:val="0"/>
                <w:sz w:val="10"/>
              </w:rPr>
              <w:t>2.447 / 0.898</w:t>
            </w:r>
          </w:p>
        </w:tc>
        <w:tc>
          <w:tcPr>
            <w:tcW w:type="dxa" w:w="1584"/>
            <w:vAlign w:val="center"/>
          </w:tcPr>
          <w:p>
            <w:pPr>
              <w:spacing w:before="0" w:after="0" w:line="240" w:lineRule="auto"/>
              <w:jc w:val="center"/>
            </w:pPr>
            <w:r>
              <w:rPr>
                <w:b w:val="0"/>
                <w:sz w:val="10"/>
              </w:rPr>
              <w:t>390.3 / 710.6</w:t>
            </w:r>
          </w:p>
        </w:tc>
        <w:tc>
          <w:tcPr>
            <w:tcW w:type="dxa" w:w="1584"/>
            <w:vAlign w:val="center"/>
          </w:tcPr>
          <w:p>
            <w:pPr>
              <w:spacing w:before="0" w:after="0" w:line="240" w:lineRule="auto"/>
              <w:jc w:val="center"/>
            </w:pPr>
            <w:r>
              <w:rPr>
                <w:b w:val="0"/>
                <w:sz w:val="10"/>
              </w:rPr>
              <w:t>590.0</w:t>
            </w:r>
          </w:p>
        </w:tc>
        <w:tc>
          <w:tcPr>
            <w:tcW w:type="dxa" w:w="1584"/>
            <w:vAlign w:val="center"/>
          </w:tcPr>
          <w:p>
            <w:pPr>
              <w:spacing w:before="0" w:after="0" w:line="240" w:lineRule="auto"/>
              <w:jc w:val="center"/>
            </w:pPr>
            <w:r>
              <w:rPr>
                <w:b w:val="0"/>
                <w:sz w:val="10"/>
              </w:rPr>
              <w:t>metric concordant</w:t>
            </w:r>
          </w:p>
        </w:tc>
      </w:tr>
      <w:tr>
        <w:trPr>
          <w:cantSplit/>
        </w:trPr>
        <w:tc>
          <w:tcPr>
            <w:tcW w:type="dxa" w:w="1584"/>
            <w:vAlign w:val="center"/>
          </w:tcPr>
          <w:p>
            <w:pPr>
              <w:spacing w:before="0" w:after="0" w:line="240" w:lineRule="auto"/>
              <w:jc w:val="left"/>
            </w:pPr>
            <w:r>
              <w:rPr>
                <w:b w:val="0"/>
                <w:sz w:val="10"/>
              </w:rPr>
              <w:t>nmr</w:t>
            </w:r>
          </w:p>
        </w:tc>
        <w:tc>
          <w:tcPr>
            <w:tcW w:type="dxa" w:w="1584"/>
            <w:vAlign w:val="center"/>
          </w:tcPr>
          <w:p>
            <w:pPr>
              <w:spacing w:before="0" w:after="0" w:line="240" w:lineRule="auto"/>
              <w:jc w:val="center"/>
            </w:pPr>
            <w:r>
              <w:rPr>
                <w:b w:val="0"/>
                <w:sz w:val="10"/>
              </w:rPr>
              <w:t>SIMPLS</w:t>
            </w:r>
          </w:p>
        </w:tc>
        <w:tc>
          <w:tcPr>
            <w:tcW w:type="dxa" w:w="1584"/>
            <w:vAlign w:val="center"/>
          </w:tcPr>
          <w:p>
            <w:pPr>
              <w:spacing w:before="0" w:after="0" w:line="240" w:lineRule="auto"/>
              <w:jc w:val="center"/>
            </w:pPr>
            <w:r>
              <w:rPr>
                <w:b w:val="0"/>
                <w:sz w:val="10"/>
              </w:rPr>
              <w:t>50</w:t>
            </w:r>
          </w:p>
        </w:tc>
        <w:tc>
          <w:tcPr>
            <w:tcW w:type="dxa" w:w="1584"/>
            <w:vAlign w:val="center"/>
          </w:tcPr>
          <w:p>
            <w:pPr>
              <w:spacing w:before="0" w:after="0" w:line="240" w:lineRule="auto"/>
              <w:jc w:val="center"/>
            </w:pPr>
            <w:r>
              <w:rPr>
                <w:b w:val="0"/>
                <w:sz w:val="10"/>
              </w:rPr>
              <w:t>interior tested value</w:t>
            </w:r>
          </w:p>
        </w:tc>
        <w:tc>
          <w:tcPr>
            <w:tcW w:type="dxa" w:w="1584"/>
            <w:vAlign w:val="center"/>
          </w:tcPr>
          <w:p>
            <w:pPr>
              <w:spacing w:before="0" w:after="0" w:line="240" w:lineRule="auto"/>
              <w:jc w:val="center"/>
            </w:pPr>
            <w:r>
              <w:rPr>
                <w:b w:val="0"/>
                <w:sz w:val="10"/>
              </w:rPr>
              <w:t>RMSD 0.000762589 / RMSD 0.000759138</w:t>
            </w:r>
          </w:p>
        </w:tc>
        <w:tc>
          <w:tcPr>
            <w:tcW w:type="dxa" w:w="1584"/>
            <w:vAlign w:val="center"/>
          </w:tcPr>
          <w:p>
            <w:pPr>
              <w:spacing w:before="0" w:after="0" w:line="240" w:lineRule="auto"/>
              <w:jc w:val="center"/>
            </w:pPr>
            <w:r>
              <w:rPr>
                <w:b w:val="0"/>
                <w:sz w:val="10"/>
              </w:rPr>
              <w:t>10.617 / 1.971</w:t>
            </w:r>
          </w:p>
        </w:tc>
        <w:tc>
          <w:tcPr>
            <w:tcW w:type="dxa" w:w="1584"/>
            <w:vAlign w:val="center"/>
          </w:tcPr>
          <w:p>
            <w:pPr>
              <w:spacing w:before="0" w:after="0" w:line="240" w:lineRule="auto"/>
              <w:jc w:val="center"/>
            </w:pPr>
            <w:r>
              <w:rPr>
                <w:b w:val="0"/>
                <w:sz w:val="10"/>
              </w:rPr>
              <w:t>407.0 / 698.3</w:t>
            </w:r>
          </w:p>
        </w:tc>
        <w:tc>
          <w:tcPr>
            <w:tcW w:type="dxa" w:w="1584"/>
            <w:vAlign w:val="center"/>
          </w:tcPr>
          <w:p>
            <w:pPr>
              <w:spacing w:before="0" w:after="0" w:line="240" w:lineRule="auto"/>
              <w:jc w:val="center"/>
            </w:pPr>
            <w:r>
              <w:rPr>
                <w:b w:val="0"/>
                <w:sz w:val="10"/>
              </w:rPr>
              <w:t>3414.0</w:t>
            </w:r>
          </w:p>
        </w:tc>
        <w:tc>
          <w:tcPr>
            <w:tcW w:type="dxa" w:w="1584"/>
            <w:vAlign w:val="center"/>
          </w:tcPr>
          <w:p>
            <w:pPr>
              <w:spacing w:before="0" w:after="0" w:line="240" w:lineRule="auto"/>
              <w:jc w:val="center"/>
            </w:pPr>
            <w:r>
              <w:rPr>
                <w:b w:val="0"/>
                <w:sz w:val="10"/>
              </w:rPr>
              <w:t>metric concordant</w:t>
            </w:r>
          </w:p>
        </w:tc>
      </w:tr>
    </w:tbl>
    <w:p>
      <w:pPr>
        <w:pStyle w:val="Heading1"/>
      </w:pPr>
      <w:r>
        <w:t>S17. NMR case study</w:t>
      </w:r>
    </w:p>
    <w:p>
      <w:r>
        <w:t>The family-selected predictive analysis and paired backend analysis answer different questions. Component selection used five paired training-only splits. The PLS-SVD candidate grid was 1, 2, 3, 5, 7, 10, 25, 50, 75, 100, 125, 150, 165, 175, 200, 250, and 300 components. The SIMPLS candidate grid was 10, 25, 50, 75, 100, 125, 150, 165, 175, 200, 250, and 300 components.</w:t>
      </w:r>
    </w:p>
    <w:p>
      <w:pPr/>
      <w:r>
        <w:t>For family f, component count a, and split s = 1,...,5, let e_f,s(a) denote validation RMSD. The implementation computes m_f(a) = (1/5) sum_s e_f,s(a), chooses the smallest a_min in argmin_a m_f(a), and defines the one-standard-error threshold h_f = m_f(a_min) + sd_s[e_f,s(a_min)]/sqrt(5), where sd is the sample standard deviation across the five splits. The eligible set is E_f = {a: m_f(a) &lt;= h_f}, and the returned count is a_selected = min(E_f).</w:t>
      </w:r>
    </w:p>
    <w:p>
      <w:pPr/>
      <w:r>
        <w:t>For PLS-SVD, a_min = 5, h_f = 0.001528979123, and E_f = {5}; therefore a_selected = 5. For SIMPLS, a_min = 50, h_f = 0.0009565399754, and E_f = {50, 75, 100}; therefore a_selected = 50. Each value is selected within the evaluated grid, not asserted to be a global optimum.</w:t>
      </w:r>
    </w:p>
    <w:p>
      <w:pPr/>
      <w:r>
        <w:t>The paired backend analysis changes only CPU versus CUDA within family. The deposited 165-component workflow uses the original centring-only protocol and is historical context. Predictor columns with chemical shifts strictly between 4.6 and 4.8 ppm were set to zero in both training and test predictor matrices before inner splitting or fitting. No response column was zeroed, masked, or excluded; all response metrics use all 28,355 coordinates. Main-text Figure 4 displays held-out sample AMI-00BP-8 (index 155), whose per-spectrum RMSD under 50-component SIMPLS CUDA rSVD was closest to the median across the 321 held-out spectra. This prespecified descriptive rule did not select the best-predicted or most visually concordant spectrum.</w:t>
      </w:r>
    </w:p>
    <w:p>
      <w:pPr>
        <w:pStyle w:val="Caption"/>
      </w:pPr>
      <w:r>
        <w:t>Table S12. Qualified NMR evidence. Family-selected predictive comparisons, matched solver/backend comparisons, and the deposited historical workflow answer different questions and are separated. Host memory is baseline-corrected process RSS; CUDA memory is total device use above the pre-run baseline and includes context.</w:t>
      </w:r>
    </w:p>
    <w:tbl>
      <w:tblPr>
        <w:tblW w:type="auto" w:w="0"/>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cantSplit/>
        </w:trPr>
        <w:tc>
          <w:tcPr>
            <w:tcW w:type="dxa" w:w="1584"/>
            <w:vAlign w:val="center"/>
          </w:tcPr>
          <w:p>
            <w:pPr>
              <w:spacing w:before="0" w:after="0" w:line="240" w:lineRule="auto"/>
              <w:jc w:val="left"/>
            </w:pPr>
            <w:r>
              <w:rPr>
                <w:b/>
                <w:sz w:val="10"/>
              </w:rPr>
              <w:t>Analysis</w:t>
            </w:r>
          </w:p>
        </w:tc>
        <w:tc>
          <w:tcPr>
            <w:tcW w:type="dxa" w:w="1584"/>
            <w:vAlign w:val="center"/>
          </w:tcPr>
          <w:p>
            <w:pPr>
              <w:spacing w:before="0" w:after="0" w:line="240" w:lineRule="auto"/>
              <w:jc w:val="center"/>
            </w:pPr>
            <w:r>
              <w:rPr>
                <w:b/>
                <w:sz w:val="10"/>
              </w:rPr>
              <w:t>Family</w:t>
            </w:r>
          </w:p>
        </w:tc>
        <w:tc>
          <w:tcPr>
            <w:tcW w:type="dxa" w:w="1584"/>
            <w:vAlign w:val="center"/>
          </w:tcPr>
          <w:p>
            <w:pPr>
              <w:spacing w:before="0" w:after="0" w:line="240" w:lineRule="auto"/>
              <w:jc w:val="center"/>
            </w:pPr>
            <w:r>
              <w:rPr>
                <w:b/>
                <w:sz w:val="10"/>
              </w:rPr>
              <w:t>Implementation</w:t>
            </w:r>
          </w:p>
        </w:tc>
        <w:tc>
          <w:tcPr>
            <w:tcW w:type="dxa" w:w="1584"/>
            <w:vAlign w:val="center"/>
          </w:tcPr>
          <w:p>
            <w:pPr>
              <w:spacing w:before="0" w:after="0" w:line="240" w:lineRule="auto"/>
              <w:jc w:val="center"/>
            </w:pPr>
            <w:r>
              <w:rPr>
                <w:b/>
                <w:sz w:val="10"/>
              </w:rPr>
              <w:t>A</w:t>
            </w:r>
          </w:p>
        </w:tc>
        <w:tc>
          <w:tcPr>
            <w:tcW w:type="dxa" w:w="1584"/>
            <w:vAlign w:val="center"/>
          </w:tcPr>
          <w:p>
            <w:pPr>
              <w:spacing w:before="0" w:after="0" w:line="240" w:lineRule="auto"/>
              <w:jc w:val="center"/>
            </w:pPr>
            <w:r>
              <w:rPr>
                <w:b/>
                <w:sz w:val="10"/>
              </w:rPr>
              <w:t>Predictive metric</w:t>
            </w:r>
          </w:p>
        </w:tc>
        <w:tc>
          <w:tcPr>
            <w:tcW w:type="dxa" w:w="1584"/>
            <w:vAlign w:val="center"/>
          </w:tcPr>
          <w:p>
            <w:pPr>
              <w:spacing w:before="0" w:after="0" w:line="240" w:lineRule="auto"/>
              <w:jc w:val="center"/>
            </w:pPr>
            <w:r>
              <w:rPr>
                <w:b/>
                <w:sz w:val="10"/>
              </w:rPr>
              <w:t>Time s</w:t>
            </w:r>
          </w:p>
        </w:tc>
        <w:tc>
          <w:tcPr>
            <w:tcW w:type="dxa" w:w="1584"/>
            <w:vAlign w:val="center"/>
          </w:tcPr>
          <w:p>
            <w:pPr>
              <w:spacing w:before="0" w:after="0" w:line="240" w:lineRule="auto"/>
              <w:jc w:val="center"/>
            </w:pPr>
            <w:r>
              <w:rPr>
                <w:b/>
                <w:sz w:val="10"/>
              </w:rPr>
              <w:t>Delta host MB</w:t>
            </w:r>
          </w:p>
        </w:tc>
        <w:tc>
          <w:tcPr>
            <w:tcW w:type="dxa" w:w="1584"/>
            <w:vAlign w:val="center"/>
          </w:tcPr>
          <w:p>
            <w:pPr>
              <w:spacing w:before="0" w:after="0" w:line="240" w:lineRule="auto"/>
              <w:jc w:val="center"/>
            </w:pPr>
            <w:r>
              <w:rPr>
                <w:b/>
                <w:sz w:val="10"/>
              </w:rPr>
              <w:t>Delta GPU MB</w:t>
            </w:r>
          </w:p>
        </w:tc>
        <w:tc>
          <w:tcPr>
            <w:tcW w:type="dxa" w:w="1584"/>
            <w:vAlign w:val="center"/>
          </w:tcPr>
          <w:p>
            <w:pPr>
              <w:spacing w:before="0" w:after="0" w:line="240" w:lineRule="auto"/>
              <w:jc w:val="center"/>
            </w:pPr>
            <w:r>
              <w:rPr>
                <w:b/>
                <w:sz w:val="10"/>
              </w:rPr>
              <w:t>Error detail / scope</w:t>
            </w:r>
          </w:p>
        </w:tc>
      </w:tr>
      <w:tr>
        <w:tc>
          <w:tcPr>
            <w:tcW w:type="dxa" w:w="1584"/>
            <w:vAlign w:val="center"/>
          </w:tcPr>
          <w:p>
            <w:pPr>
              <w:spacing w:before="0" w:after="0"/>
            </w:pPr>
            <w:r>
              <w:rPr>
                <w:b w:val="0"/>
                <w:sz w:val="12"/>
              </w:rPr>
              <w:t>Matched solver/backend</w:t>
            </w:r>
          </w:p>
        </w:tc>
        <w:tc>
          <w:tcPr>
            <w:tcW w:type="dxa" w:w="1584"/>
            <w:vAlign w:val="center"/>
          </w:tcPr>
          <w:p>
            <w:pPr>
              <w:spacing w:before="0" w:after="0"/>
            </w:pPr>
            <w:r>
              <w:rPr>
                <w:b w:val="0"/>
                <w:sz w:val="12"/>
              </w:rPr>
              <w:t>PLS-SVD</w:t>
            </w:r>
          </w:p>
        </w:tc>
        <w:tc>
          <w:tcPr>
            <w:tcW w:type="dxa" w:w="1584"/>
            <w:vAlign w:val="center"/>
          </w:tcPr>
          <w:p>
            <w:pPr>
              <w:spacing w:before="0" w:after="0"/>
            </w:pPr>
            <w:r>
              <w:rPr>
                <w:b w:val="0"/>
                <w:sz w:val="12"/>
              </w:rPr>
              <w:t>CPU irlba</w:t>
            </w:r>
          </w:p>
        </w:tc>
        <w:tc>
          <w:tcPr>
            <w:tcW w:type="dxa" w:w="1584"/>
            <w:vAlign w:val="center"/>
          </w:tcPr>
          <w:p>
            <w:pPr>
              <w:spacing w:before="0" w:after="0"/>
            </w:pPr>
            <w:r>
              <w:rPr>
                <w:b w:val="0"/>
                <w:sz w:val="12"/>
              </w:rPr>
              <w:t>5</w:t>
            </w:r>
          </w:p>
        </w:tc>
        <w:tc>
          <w:tcPr>
            <w:tcW w:type="dxa" w:w="1584"/>
            <w:vAlign w:val="center"/>
          </w:tcPr>
          <w:p>
            <w:pPr>
              <w:spacing w:before="0" w:after="0"/>
            </w:pPr>
            <w:r>
              <w:rPr>
                <w:b w:val="0"/>
                <w:sz w:val="12"/>
              </w:rPr>
              <w:t>RMSD 0.00104262; Q² 0.989159</w:t>
            </w:r>
          </w:p>
        </w:tc>
        <w:tc>
          <w:tcPr>
            <w:tcW w:type="dxa" w:w="1584"/>
            <w:vAlign w:val="center"/>
          </w:tcPr>
          <w:p>
            <w:pPr>
              <w:spacing w:before="0" w:after="0"/>
            </w:pPr>
            <w:r>
              <w:rPr>
                <w:b w:val="0"/>
                <w:sz w:val="12"/>
              </w:rPr>
              <w:t>264.291</w:t>
            </w:r>
          </w:p>
        </w:tc>
        <w:tc>
          <w:tcPr>
            <w:tcW w:type="dxa" w:w="1584"/>
            <w:vAlign w:val="center"/>
          </w:tcPr>
          <w:p>
            <w:pPr>
              <w:spacing w:before="0" w:after="0"/>
            </w:pPr>
            <w:r>
              <w:rPr>
                <w:b w:val="0"/>
                <w:sz w:val="12"/>
              </w:rPr>
              <w:t>3192.0</w:t>
            </w:r>
          </w:p>
        </w:tc>
        <w:tc>
          <w:tcPr>
            <w:tcW w:type="dxa" w:w="1584"/>
            <w:vAlign w:val="center"/>
          </w:tcPr>
          <w:p>
            <w:pPr>
              <w:spacing w:before="0" w:after="0"/>
            </w:pPr>
            <w:r>
              <w:rPr>
                <w:b w:val="0"/>
                <w:sz w:val="12"/>
              </w:rPr>
              <w:t>0.0</w:t>
            </w:r>
          </w:p>
        </w:tc>
        <w:tc>
          <w:tcPr>
            <w:tcW w:type="dxa" w:w="1584"/>
            <w:vAlign w:val="center"/>
          </w:tcPr>
          <w:p>
            <w:pPr>
              <w:spacing w:before="0" w:after="0"/>
            </w:pPr>
            <w:r>
              <w:rPr>
                <w:b w:val="0"/>
                <w:sz w:val="12"/>
              </w:rPr>
              <w:t>deterministic reference</w:t>
            </w:r>
          </w:p>
        </w:tc>
      </w:tr>
      <w:tr>
        <w:tc>
          <w:tcPr>
            <w:tcW w:type="dxa" w:w="1584"/>
            <w:vAlign w:val="center"/>
          </w:tcPr>
          <w:p>
            <w:pPr>
              <w:spacing w:before="0" w:after="0"/>
            </w:pPr>
            <w:r>
              <w:rPr>
                <w:b w:val="0"/>
                <w:sz w:val="12"/>
              </w:rPr>
              <w:t>Matched solver/backend</w:t>
            </w:r>
          </w:p>
        </w:tc>
        <w:tc>
          <w:tcPr>
            <w:tcW w:type="dxa" w:w="1584"/>
            <w:vAlign w:val="center"/>
          </w:tcPr>
          <w:p>
            <w:pPr>
              <w:spacing w:before="0" w:after="0"/>
            </w:pPr>
            <w:r>
              <w:rPr>
                <w:b w:val="0"/>
                <w:sz w:val="12"/>
              </w:rPr>
              <w:t>PLS-SVD</w:t>
            </w:r>
          </w:p>
        </w:tc>
        <w:tc>
          <w:tcPr>
            <w:tcW w:type="dxa" w:w="1584"/>
            <w:vAlign w:val="center"/>
          </w:tcPr>
          <w:p>
            <w:pPr>
              <w:spacing w:before="0" w:after="0"/>
            </w:pPr>
            <w:r>
              <w:rPr>
                <w:b w:val="0"/>
                <w:sz w:val="12"/>
              </w:rPr>
              <w:t>CPU rsvd</w:t>
            </w:r>
          </w:p>
        </w:tc>
        <w:tc>
          <w:tcPr>
            <w:tcW w:type="dxa" w:w="1584"/>
            <w:vAlign w:val="center"/>
          </w:tcPr>
          <w:p>
            <w:pPr>
              <w:spacing w:before="0" w:after="0"/>
            </w:pPr>
            <w:r>
              <w:rPr>
                <w:b w:val="0"/>
                <w:sz w:val="12"/>
              </w:rPr>
              <w:t>5</w:t>
            </w:r>
          </w:p>
        </w:tc>
        <w:tc>
          <w:tcPr>
            <w:tcW w:type="dxa" w:w="1584"/>
            <w:vAlign w:val="center"/>
          </w:tcPr>
          <w:p>
            <w:pPr>
              <w:spacing w:before="0" w:after="0"/>
            </w:pPr>
            <w:r>
              <w:rPr>
                <w:b w:val="0"/>
                <w:sz w:val="12"/>
              </w:rPr>
              <w:t>RMSD 0.00104262; Q² 0.989159</w:t>
            </w:r>
          </w:p>
        </w:tc>
        <w:tc>
          <w:tcPr>
            <w:tcW w:type="dxa" w:w="1584"/>
            <w:vAlign w:val="center"/>
          </w:tcPr>
          <w:p>
            <w:pPr>
              <w:spacing w:before="0" w:after="0"/>
            </w:pPr>
            <w:r>
              <w:rPr>
                <w:b w:val="0"/>
                <w:sz w:val="12"/>
              </w:rPr>
              <w:t>4.738</w:t>
            </w:r>
          </w:p>
        </w:tc>
        <w:tc>
          <w:tcPr>
            <w:tcW w:type="dxa" w:w="1584"/>
            <w:vAlign w:val="center"/>
          </w:tcPr>
          <w:p>
            <w:pPr>
              <w:spacing w:before="0" w:after="0"/>
            </w:pPr>
            <w:r>
              <w:rPr>
                <w:b w:val="0"/>
                <w:sz w:val="12"/>
              </w:rPr>
              <w:t>1091.1</w:t>
            </w:r>
          </w:p>
        </w:tc>
        <w:tc>
          <w:tcPr>
            <w:tcW w:type="dxa" w:w="1584"/>
            <w:vAlign w:val="center"/>
          </w:tcPr>
          <w:p>
            <w:pPr>
              <w:spacing w:before="0" w:after="0"/>
            </w:pPr>
            <w:r>
              <w:rPr>
                <w:b w:val="0"/>
                <w:sz w:val="12"/>
              </w:rPr>
              <w:t>0.0</w:t>
            </w:r>
          </w:p>
        </w:tc>
        <w:tc>
          <w:tcPr>
            <w:tcW w:type="dxa" w:w="1584"/>
            <w:vAlign w:val="center"/>
          </w:tcPr>
          <w:p>
            <w:pPr>
              <w:spacing w:before="0" w:after="0"/>
            </w:pPr>
            <w:r>
              <w:rPr>
                <w:b w:val="0"/>
                <w:sz w:val="12"/>
              </w:rPr>
              <w:t>vs IRLBA: rel. pred. error 6.6e-12; corr 1.000000; os=20, power=2, seed=123</w:t>
            </w:r>
          </w:p>
        </w:tc>
      </w:tr>
      <w:tr>
        <w:tc>
          <w:tcPr>
            <w:tcW w:type="dxa" w:w="1584"/>
            <w:vAlign w:val="center"/>
          </w:tcPr>
          <w:p>
            <w:pPr>
              <w:spacing w:before="0" w:after="0"/>
            </w:pPr>
            <w:r>
              <w:rPr>
                <w:b w:val="0"/>
                <w:sz w:val="12"/>
              </w:rPr>
              <w:t>Matched solver/backend</w:t>
            </w:r>
          </w:p>
        </w:tc>
        <w:tc>
          <w:tcPr>
            <w:tcW w:type="dxa" w:w="1584"/>
            <w:vAlign w:val="center"/>
          </w:tcPr>
          <w:p>
            <w:pPr>
              <w:spacing w:before="0" w:after="0"/>
            </w:pPr>
            <w:r>
              <w:rPr>
                <w:b w:val="0"/>
                <w:sz w:val="12"/>
              </w:rPr>
              <w:t>PLS-SVD</w:t>
            </w:r>
          </w:p>
        </w:tc>
        <w:tc>
          <w:tcPr>
            <w:tcW w:type="dxa" w:w="1584"/>
            <w:vAlign w:val="center"/>
          </w:tcPr>
          <w:p>
            <w:pPr>
              <w:spacing w:before="0" w:after="0"/>
            </w:pPr>
            <w:r>
              <w:rPr>
                <w:b w:val="0"/>
                <w:sz w:val="12"/>
              </w:rPr>
              <w:t>CUDA rsvd</w:t>
            </w:r>
          </w:p>
        </w:tc>
        <w:tc>
          <w:tcPr>
            <w:tcW w:type="dxa" w:w="1584"/>
            <w:vAlign w:val="center"/>
          </w:tcPr>
          <w:p>
            <w:pPr>
              <w:spacing w:before="0" w:after="0"/>
            </w:pPr>
            <w:r>
              <w:rPr>
                <w:b w:val="0"/>
                <w:sz w:val="12"/>
              </w:rPr>
              <w:t>5</w:t>
            </w:r>
          </w:p>
        </w:tc>
        <w:tc>
          <w:tcPr>
            <w:tcW w:type="dxa" w:w="1584"/>
            <w:vAlign w:val="center"/>
          </w:tcPr>
          <w:p>
            <w:pPr>
              <w:spacing w:before="0" w:after="0"/>
            </w:pPr>
            <w:r>
              <w:rPr>
                <w:b w:val="0"/>
                <w:sz w:val="12"/>
              </w:rPr>
              <w:t>RMSD 0.00104262; Q² 0.989159</w:t>
            </w:r>
          </w:p>
        </w:tc>
        <w:tc>
          <w:tcPr>
            <w:tcW w:type="dxa" w:w="1584"/>
            <w:vAlign w:val="center"/>
          </w:tcPr>
          <w:p>
            <w:pPr>
              <w:spacing w:before="0" w:after="0"/>
            </w:pPr>
            <w:r>
              <w:rPr>
                <w:b w:val="0"/>
                <w:sz w:val="12"/>
              </w:rPr>
              <w:t>0.408</w:t>
            </w:r>
          </w:p>
        </w:tc>
        <w:tc>
          <w:tcPr>
            <w:tcW w:type="dxa" w:w="1584"/>
            <w:vAlign w:val="center"/>
          </w:tcPr>
          <w:p>
            <w:pPr>
              <w:spacing w:before="0" w:after="0"/>
            </w:pPr>
            <w:r>
              <w:rPr>
                <w:b w:val="0"/>
                <w:sz w:val="12"/>
              </w:rPr>
              <w:t>1121.5</w:t>
            </w:r>
          </w:p>
        </w:tc>
        <w:tc>
          <w:tcPr>
            <w:tcW w:type="dxa" w:w="1584"/>
            <w:vAlign w:val="center"/>
          </w:tcPr>
          <w:p>
            <w:pPr>
              <w:spacing w:before="0" w:after="0"/>
            </w:pPr>
            <w:r>
              <w:rPr>
                <w:b w:val="0"/>
                <w:sz w:val="12"/>
              </w:rPr>
              <w:t>610</w:t>
            </w:r>
          </w:p>
        </w:tc>
        <w:tc>
          <w:tcPr>
            <w:tcW w:type="dxa" w:w="1584"/>
            <w:vAlign w:val="center"/>
          </w:tcPr>
          <w:p>
            <w:pPr>
              <w:spacing w:before="0" w:after="0"/>
            </w:pPr>
            <w:r>
              <w:rPr>
                <w:b w:val="0"/>
                <w:sz w:val="12"/>
              </w:rPr>
              <w:t>vs IRLBA: rel. pred. error 3.75e-11; corr 1.000000; os=20, power=2, seed=123</w:t>
            </w:r>
          </w:p>
        </w:tc>
      </w:tr>
      <w:tr>
        <w:tc>
          <w:tcPr>
            <w:tcW w:type="dxa" w:w="1584"/>
            <w:vAlign w:val="center"/>
          </w:tcPr>
          <w:p>
            <w:pPr>
              <w:spacing w:before="0" w:after="0"/>
            </w:pPr>
            <w:r>
              <w:rPr>
                <w:b w:val="0"/>
                <w:sz w:val="12"/>
              </w:rPr>
              <w:t>Matched solver/backend</w:t>
            </w:r>
          </w:p>
        </w:tc>
        <w:tc>
          <w:tcPr>
            <w:tcW w:type="dxa" w:w="1584"/>
            <w:vAlign w:val="center"/>
          </w:tcPr>
          <w:p>
            <w:pPr>
              <w:spacing w:before="0" w:after="0"/>
            </w:pPr>
            <w:r>
              <w:rPr>
                <w:b w:val="0"/>
                <w:sz w:val="12"/>
              </w:rPr>
              <w:t>SIMPLS</w:t>
            </w:r>
          </w:p>
        </w:tc>
        <w:tc>
          <w:tcPr>
            <w:tcW w:type="dxa" w:w="1584"/>
            <w:vAlign w:val="center"/>
          </w:tcPr>
          <w:p>
            <w:pPr>
              <w:spacing w:before="0" w:after="0"/>
            </w:pPr>
            <w:r>
              <w:rPr>
                <w:b w:val="0"/>
                <w:sz w:val="12"/>
              </w:rPr>
              <w:t>CPU irlba</w:t>
            </w:r>
          </w:p>
        </w:tc>
        <w:tc>
          <w:tcPr>
            <w:tcW w:type="dxa" w:w="1584"/>
            <w:vAlign w:val="center"/>
          </w:tcPr>
          <w:p>
            <w:pPr>
              <w:spacing w:before="0" w:after="0"/>
            </w:pPr>
            <w:r>
              <w:rPr>
                <w:b w:val="0"/>
                <w:sz w:val="12"/>
              </w:rPr>
              <w:t>50</w:t>
            </w:r>
          </w:p>
        </w:tc>
        <w:tc>
          <w:tcPr>
            <w:tcW w:type="dxa" w:w="1584"/>
            <w:vAlign w:val="center"/>
          </w:tcPr>
          <w:p>
            <w:pPr>
              <w:spacing w:before="0" w:after="0"/>
            </w:pPr>
            <w:r>
              <w:rPr>
                <w:b w:val="0"/>
                <w:sz w:val="12"/>
              </w:rPr>
              <w:t>RMSD 0.000762589; Q² 0.994200</w:t>
            </w:r>
          </w:p>
        </w:tc>
        <w:tc>
          <w:tcPr>
            <w:tcW w:type="dxa" w:w="1584"/>
            <w:vAlign w:val="center"/>
          </w:tcPr>
          <w:p>
            <w:pPr>
              <w:spacing w:before="0" w:after="0"/>
            </w:pPr>
            <w:r>
              <w:rPr>
                <w:b w:val="0"/>
                <w:sz w:val="12"/>
              </w:rPr>
              <w:t>350.662</w:t>
            </w:r>
          </w:p>
        </w:tc>
        <w:tc>
          <w:tcPr>
            <w:tcW w:type="dxa" w:w="1584"/>
            <w:vAlign w:val="center"/>
          </w:tcPr>
          <w:p>
            <w:pPr>
              <w:spacing w:before="0" w:after="0"/>
            </w:pPr>
            <w:r>
              <w:rPr>
                <w:b w:val="0"/>
                <w:sz w:val="12"/>
              </w:rPr>
              <w:t>3573.0</w:t>
            </w:r>
          </w:p>
        </w:tc>
        <w:tc>
          <w:tcPr>
            <w:tcW w:type="dxa" w:w="1584"/>
            <w:vAlign w:val="center"/>
          </w:tcPr>
          <w:p>
            <w:pPr>
              <w:spacing w:before="0" w:after="0"/>
            </w:pPr>
            <w:r>
              <w:rPr>
                <w:b w:val="0"/>
                <w:sz w:val="12"/>
              </w:rPr>
              <w:t>0.0</w:t>
            </w:r>
          </w:p>
        </w:tc>
        <w:tc>
          <w:tcPr>
            <w:tcW w:type="dxa" w:w="1584"/>
            <w:vAlign w:val="center"/>
          </w:tcPr>
          <w:p>
            <w:pPr>
              <w:spacing w:before="0" w:after="0"/>
            </w:pPr>
            <w:r>
              <w:rPr>
                <w:b w:val="0"/>
                <w:sz w:val="12"/>
              </w:rPr>
              <w:t>deterministic reference</w:t>
            </w:r>
          </w:p>
        </w:tc>
      </w:tr>
      <w:tr>
        <w:tc>
          <w:tcPr>
            <w:tcW w:type="dxa" w:w="1584"/>
            <w:vAlign w:val="center"/>
          </w:tcPr>
          <w:p>
            <w:pPr>
              <w:spacing w:before="0" w:after="0"/>
            </w:pPr>
            <w:r>
              <w:rPr>
                <w:b w:val="0"/>
                <w:sz w:val="12"/>
              </w:rPr>
              <w:t>Matched solver/backend</w:t>
            </w:r>
          </w:p>
        </w:tc>
        <w:tc>
          <w:tcPr>
            <w:tcW w:type="dxa" w:w="1584"/>
            <w:vAlign w:val="center"/>
          </w:tcPr>
          <w:p>
            <w:pPr>
              <w:spacing w:before="0" w:after="0"/>
            </w:pPr>
            <w:r>
              <w:rPr>
                <w:b w:val="0"/>
                <w:sz w:val="12"/>
              </w:rPr>
              <w:t>SIMPLS</w:t>
            </w:r>
          </w:p>
        </w:tc>
        <w:tc>
          <w:tcPr>
            <w:tcW w:type="dxa" w:w="1584"/>
            <w:vAlign w:val="center"/>
          </w:tcPr>
          <w:p>
            <w:pPr>
              <w:spacing w:before="0" w:after="0"/>
            </w:pPr>
            <w:r>
              <w:rPr>
                <w:b w:val="0"/>
                <w:sz w:val="12"/>
              </w:rPr>
              <w:t>CPU rsvd</w:t>
            </w:r>
          </w:p>
        </w:tc>
        <w:tc>
          <w:tcPr>
            <w:tcW w:type="dxa" w:w="1584"/>
            <w:vAlign w:val="center"/>
          </w:tcPr>
          <w:p>
            <w:pPr>
              <w:spacing w:before="0" w:after="0"/>
            </w:pPr>
            <w:r>
              <w:rPr>
                <w:b w:val="0"/>
                <w:sz w:val="12"/>
              </w:rPr>
              <w:t>50</w:t>
            </w:r>
          </w:p>
        </w:tc>
        <w:tc>
          <w:tcPr>
            <w:tcW w:type="dxa" w:w="1584"/>
            <w:vAlign w:val="center"/>
          </w:tcPr>
          <w:p>
            <w:pPr>
              <w:spacing w:before="0" w:after="0"/>
            </w:pPr>
            <w:r>
              <w:rPr>
                <w:b w:val="0"/>
                <w:sz w:val="12"/>
              </w:rPr>
              <w:t>RMSD 0.000762589; Q² 0.994200</w:t>
            </w:r>
          </w:p>
        </w:tc>
        <w:tc>
          <w:tcPr>
            <w:tcW w:type="dxa" w:w="1584"/>
            <w:vAlign w:val="center"/>
          </w:tcPr>
          <w:p>
            <w:pPr>
              <w:spacing w:before="0" w:after="0"/>
            </w:pPr>
            <w:r>
              <w:rPr>
                <w:b w:val="0"/>
                <w:sz w:val="12"/>
              </w:rPr>
              <w:t>9.795</w:t>
            </w:r>
          </w:p>
        </w:tc>
        <w:tc>
          <w:tcPr>
            <w:tcW w:type="dxa" w:w="1584"/>
            <w:vAlign w:val="center"/>
          </w:tcPr>
          <w:p>
            <w:pPr>
              <w:spacing w:before="0" w:after="0"/>
            </w:pPr>
            <w:r>
              <w:rPr>
                <w:b w:val="0"/>
                <w:sz w:val="12"/>
              </w:rPr>
              <w:t>1096.5</w:t>
            </w:r>
          </w:p>
        </w:tc>
        <w:tc>
          <w:tcPr>
            <w:tcW w:type="dxa" w:w="1584"/>
            <w:vAlign w:val="center"/>
          </w:tcPr>
          <w:p>
            <w:pPr>
              <w:spacing w:before="0" w:after="0"/>
            </w:pPr>
            <w:r>
              <w:rPr>
                <w:b w:val="0"/>
                <w:sz w:val="12"/>
              </w:rPr>
              <w:t>0.0</w:t>
            </w:r>
          </w:p>
        </w:tc>
        <w:tc>
          <w:tcPr>
            <w:tcW w:type="dxa" w:w="1584"/>
            <w:vAlign w:val="center"/>
          </w:tcPr>
          <w:p>
            <w:pPr>
              <w:spacing w:before="0" w:after="0"/>
            </w:pPr>
            <w:r>
              <w:rPr>
                <w:b w:val="0"/>
                <w:sz w:val="12"/>
              </w:rPr>
              <w:t>vs IRLBA: rel. pred. error 6.29e-11; corr 1.000000; os=20, power=2, seed=123</w:t>
            </w:r>
          </w:p>
        </w:tc>
      </w:tr>
      <w:tr>
        <w:tc>
          <w:tcPr>
            <w:tcW w:type="dxa" w:w="1584"/>
            <w:vAlign w:val="center"/>
          </w:tcPr>
          <w:p>
            <w:pPr>
              <w:spacing w:before="0" w:after="0"/>
            </w:pPr>
            <w:r>
              <w:rPr>
                <w:b w:val="0"/>
                <w:sz w:val="12"/>
              </w:rPr>
              <w:t>Matched solver/backend</w:t>
            </w:r>
          </w:p>
        </w:tc>
        <w:tc>
          <w:tcPr>
            <w:tcW w:type="dxa" w:w="1584"/>
            <w:vAlign w:val="center"/>
          </w:tcPr>
          <w:p>
            <w:pPr>
              <w:spacing w:before="0" w:after="0"/>
            </w:pPr>
            <w:r>
              <w:rPr>
                <w:b w:val="0"/>
                <w:sz w:val="12"/>
              </w:rPr>
              <w:t>SIMPLS</w:t>
            </w:r>
          </w:p>
        </w:tc>
        <w:tc>
          <w:tcPr>
            <w:tcW w:type="dxa" w:w="1584"/>
            <w:vAlign w:val="center"/>
          </w:tcPr>
          <w:p>
            <w:pPr>
              <w:spacing w:before="0" w:after="0"/>
            </w:pPr>
            <w:r>
              <w:rPr>
                <w:b w:val="0"/>
                <w:sz w:val="12"/>
              </w:rPr>
              <w:t>CUDA rsvd</w:t>
            </w:r>
          </w:p>
        </w:tc>
        <w:tc>
          <w:tcPr>
            <w:tcW w:type="dxa" w:w="1584"/>
            <w:vAlign w:val="center"/>
          </w:tcPr>
          <w:p>
            <w:pPr>
              <w:spacing w:before="0" w:after="0"/>
            </w:pPr>
            <w:r>
              <w:rPr>
                <w:b w:val="0"/>
                <w:sz w:val="12"/>
              </w:rPr>
              <w:t>50</w:t>
            </w:r>
          </w:p>
        </w:tc>
        <w:tc>
          <w:tcPr>
            <w:tcW w:type="dxa" w:w="1584"/>
            <w:vAlign w:val="center"/>
          </w:tcPr>
          <w:p>
            <w:pPr>
              <w:spacing w:before="0" w:after="0"/>
            </w:pPr>
            <w:r>
              <w:rPr>
                <w:b w:val="0"/>
                <w:sz w:val="12"/>
              </w:rPr>
              <w:t>RMSD 0.000759138; Q² 0.994253</w:t>
            </w:r>
          </w:p>
        </w:tc>
        <w:tc>
          <w:tcPr>
            <w:tcW w:type="dxa" w:w="1584"/>
            <w:vAlign w:val="center"/>
          </w:tcPr>
          <w:p>
            <w:pPr>
              <w:spacing w:before="0" w:after="0"/>
            </w:pPr>
            <w:r>
              <w:rPr>
                <w:b w:val="0"/>
                <w:sz w:val="12"/>
              </w:rPr>
              <w:t>1.508</w:t>
            </w:r>
          </w:p>
        </w:tc>
        <w:tc>
          <w:tcPr>
            <w:tcW w:type="dxa" w:w="1584"/>
            <w:vAlign w:val="center"/>
          </w:tcPr>
          <w:p>
            <w:pPr>
              <w:spacing w:before="0" w:after="0"/>
            </w:pPr>
            <w:r>
              <w:rPr>
                <w:b w:val="0"/>
                <w:sz w:val="12"/>
              </w:rPr>
              <w:t>1112.3</w:t>
            </w:r>
          </w:p>
        </w:tc>
        <w:tc>
          <w:tcPr>
            <w:tcW w:type="dxa" w:w="1584"/>
            <w:vAlign w:val="center"/>
          </w:tcPr>
          <w:p>
            <w:pPr>
              <w:spacing w:before="0" w:after="0"/>
            </w:pPr>
            <w:r>
              <w:rPr>
                <w:b w:val="0"/>
                <w:sz w:val="12"/>
              </w:rPr>
              <w:t>3576</w:t>
            </w:r>
          </w:p>
        </w:tc>
        <w:tc>
          <w:tcPr>
            <w:tcW w:type="dxa" w:w="1584"/>
            <w:vAlign w:val="center"/>
          </w:tcPr>
          <w:p>
            <w:pPr>
              <w:spacing w:before="0" w:after="0"/>
            </w:pPr>
            <w:r>
              <w:rPr>
                <w:b w:val="0"/>
                <w:sz w:val="12"/>
              </w:rPr>
              <w:t>vs IRLBA: rel. pred. error 0.00566; corr 0.999981; os=20, power=2, seed=123</w:t>
            </w:r>
          </w:p>
        </w:tc>
      </w:tr>
      <w:tr>
        <w:tc>
          <w:tcPr>
            <w:tcW w:type="dxa" w:w="1584"/>
            <w:vAlign w:val="center"/>
          </w:tcPr>
          <w:p>
            <w:pPr>
              <w:spacing w:before="0" w:after="0"/>
            </w:pPr>
            <w:r>
              <w:rPr>
                <w:b w:val="0"/>
                <w:sz w:val="12"/>
              </w:rPr>
              <w:t>Historical scientific context</w:t>
            </w:r>
          </w:p>
        </w:tc>
        <w:tc>
          <w:tcPr>
            <w:tcW w:type="dxa" w:w="1584"/>
            <w:vAlign w:val="center"/>
          </w:tcPr>
          <w:p>
            <w:pPr>
              <w:spacing w:before="0" w:after="0"/>
            </w:pPr>
            <w:r>
              <w:rPr>
                <w:b w:val="0"/>
                <w:sz w:val="12"/>
              </w:rPr>
              <w:t>PLS-SVD</w:t>
            </w:r>
          </w:p>
        </w:tc>
        <w:tc>
          <w:tcPr>
            <w:tcW w:type="dxa" w:w="1584"/>
            <w:vAlign w:val="center"/>
          </w:tcPr>
          <w:p>
            <w:pPr>
              <w:spacing w:before="0" w:after="0"/>
            </w:pPr>
            <w:r>
              <w:rPr>
                <w:b w:val="0"/>
                <w:sz w:val="12"/>
              </w:rPr>
              <w:t>deposited R/IRLBA</w:t>
            </w:r>
          </w:p>
        </w:tc>
        <w:tc>
          <w:tcPr>
            <w:tcW w:type="dxa" w:w="1584"/>
            <w:vAlign w:val="center"/>
          </w:tcPr>
          <w:p>
            <w:pPr>
              <w:spacing w:before="0" w:after="0"/>
            </w:pPr>
            <w:r>
              <w:rPr>
                <w:b w:val="0"/>
                <w:sz w:val="12"/>
              </w:rPr>
              <w:t>165</w:t>
            </w:r>
          </w:p>
        </w:tc>
        <w:tc>
          <w:tcPr>
            <w:tcW w:type="dxa" w:w="1584"/>
            <w:vAlign w:val="center"/>
          </w:tcPr>
          <w:p>
            <w:pPr>
              <w:spacing w:before="0" w:after="0"/>
            </w:pPr>
            <w:r>
              <w:rPr>
                <w:b w:val="0"/>
                <w:sz w:val="12"/>
              </w:rPr>
              <w:t>RMSD 0.000709909</w:t>
            </w:r>
          </w:p>
        </w:tc>
        <w:tc>
          <w:tcPr>
            <w:tcW w:type="dxa" w:w="1584"/>
            <w:vAlign w:val="center"/>
          </w:tcPr>
          <w:p>
            <w:pPr>
              <w:spacing w:before="0" w:after="0"/>
            </w:pPr>
            <w:r>
              <w:rPr>
                <w:b w:val="0"/>
                <w:sz w:val="12"/>
              </w:rPr>
              <w:t>447.601</w:t>
            </w:r>
          </w:p>
        </w:tc>
        <w:tc>
          <w:tcPr>
            <w:tcW w:type="dxa" w:w="1584"/>
            <w:vAlign w:val="center"/>
          </w:tcPr>
          <w:p>
            <w:pPr>
              <w:spacing w:before="0" w:after="0"/>
            </w:pPr>
            <w:r>
              <w:rPr>
                <w:b w:val="0"/>
                <w:sz w:val="12"/>
              </w:rPr>
              <w:t>3605.5</w:t>
            </w:r>
          </w:p>
        </w:tc>
        <w:tc>
          <w:tcPr>
            <w:tcW w:type="dxa" w:w="1584"/>
            <w:vAlign w:val="center"/>
          </w:tcPr>
          <w:p>
            <w:pPr>
              <w:spacing w:before="0" w:after="0"/>
            </w:pPr>
            <w:r>
              <w:rPr>
                <w:b w:val="0"/>
                <w:sz w:val="12"/>
              </w:rPr>
              <w:t>n/a</w:t>
            </w:r>
          </w:p>
        </w:tc>
        <w:tc>
          <w:tcPr>
            <w:tcW w:type="dxa" w:w="1584"/>
            <w:vAlign w:val="center"/>
          </w:tcPr>
          <w:p>
            <w:pPr>
              <w:spacing w:before="0" w:after="0"/>
            </w:pPr>
            <w:r>
              <w:rPr>
                <w:b w:val="0"/>
                <w:sz w:val="12"/>
              </w:rPr>
              <w:t>Different component count/workflow/hardware; not backend-only</w:t>
            </w:r>
          </w:p>
        </w:tc>
      </w:tr>
    </w:tbl>
    <w:p>
      <w:pPr>
        <w:pStyle w:val="Heading1"/>
      </w:pPr>
      <w:r>
        <w:t>S18. ImageNet exploratory stress test</w:t>
      </w:r>
    </w:p>
    <w:p>
      <w:r>
        <w:t>The pooled archive contained 1,281,167 precomputed DINOv2 embeddings with 1,024 features and 1,000 classes. Seed 123 assigned 1,000,000 rows to training and 281,167 to a complementary holdout; this was not the canonical ImageNet split. The current-package classification experiment used label-aware float32 SIMPLS, rSVD oversampling 20, two power iterations, seed 123, and CUDA LDA. SIMPLS deflation and score projection were host-resident, so the route is hybrid. A full-score top-5 attempt was killed at 27.1 GB process RSS; the reported run used 10,000-row prediction blocks and online metric accumulation without changing fitted scores or class decisions. The separate FAISS experiment used a different estimator and objective and remains a compression/retrieval study.</w:t>
      </w:r>
    </w:p>
    <w:p>
      <w:pPr>
        <w:pStyle w:val="Caption"/>
      </w:pPr>
      <w:r>
        <w:t>Table S13. Current exploratory ImageNet classification and representation results. Shared-path fit time is repeated only to identify the common fit and must not be interpreted as ten independent component-specific fits. The 1,000-component row is the requested boundary stress point, not a selected optimum. All classification rows are single-run feasibility estimates.</w:t>
      </w:r>
    </w:p>
    <w:tbl>
      <w:tblPr>
        <w:tblW w:type="auto" w:w="0"/>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rPr>
          <w:tblHeader w:val="true"/>
          <w:cantSplit/>
        </w:trPr>
        <w:tc>
          <w:tcPr>
            <w:tcW w:type="dxa" w:w="1584"/>
            <w:vAlign w:val="center"/>
          </w:tcPr>
          <w:p>
            <w:pPr>
              <w:spacing w:before="0" w:after="0" w:line="240" w:lineRule="auto"/>
              <w:jc w:val="left"/>
            </w:pPr>
            <w:r>
              <w:rPr>
                <w:b/>
                <w:sz w:val="10"/>
              </w:rPr>
              <w:t>Experiment</w:t>
            </w:r>
          </w:p>
        </w:tc>
        <w:tc>
          <w:tcPr>
            <w:tcW w:type="dxa" w:w="1584"/>
            <w:vAlign w:val="center"/>
          </w:tcPr>
          <w:p>
            <w:pPr>
              <w:spacing w:before="0" w:after="0" w:line="240" w:lineRule="auto"/>
              <w:jc w:val="center"/>
            </w:pPr>
            <w:r>
              <w:rPr>
                <w:b/>
                <w:sz w:val="10"/>
              </w:rPr>
              <w:t>Head / representation</w:t>
            </w:r>
          </w:p>
        </w:tc>
        <w:tc>
          <w:tcPr>
            <w:tcW w:type="dxa" w:w="1584"/>
            <w:vAlign w:val="center"/>
          </w:tcPr>
          <w:p>
            <w:pPr>
              <w:spacing w:before="0" w:after="0" w:line="240" w:lineRule="auto"/>
              <w:jc w:val="center"/>
            </w:pPr>
            <w:r>
              <w:rPr>
                <w:b/>
                <w:sz w:val="10"/>
              </w:rPr>
              <w:t>A/dim.</w:t>
            </w:r>
          </w:p>
        </w:tc>
        <w:tc>
          <w:tcPr>
            <w:tcW w:type="dxa" w:w="1584"/>
            <w:vAlign w:val="center"/>
          </w:tcPr>
          <w:p>
            <w:pPr>
              <w:spacing w:before="0" w:after="0" w:line="240" w:lineRule="auto"/>
              <w:jc w:val="center"/>
            </w:pPr>
            <w:r>
              <w:rPr>
                <w:b/>
                <w:sz w:val="10"/>
              </w:rPr>
              <w:t>Top-1</w:t>
            </w:r>
          </w:p>
        </w:tc>
        <w:tc>
          <w:tcPr>
            <w:tcW w:type="dxa" w:w="1584"/>
            <w:vAlign w:val="center"/>
          </w:tcPr>
          <w:p>
            <w:pPr>
              <w:spacing w:before="0" w:after="0" w:line="240" w:lineRule="auto"/>
              <w:jc w:val="center"/>
            </w:pPr>
            <w:r>
              <w:rPr>
                <w:b/>
                <w:sz w:val="10"/>
              </w:rPr>
              <w:t>Top-5</w:t>
            </w:r>
          </w:p>
        </w:tc>
        <w:tc>
          <w:tcPr>
            <w:tcW w:type="dxa" w:w="1584"/>
            <w:vAlign w:val="center"/>
          </w:tcPr>
          <w:p>
            <w:pPr>
              <w:spacing w:before="0" w:after="0" w:line="240" w:lineRule="auto"/>
              <w:jc w:val="center"/>
            </w:pPr>
            <w:r>
              <w:rPr>
                <w:b/>
                <w:sz w:val="10"/>
              </w:rPr>
              <w:t>End-to-end s</w:t>
            </w:r>
          </w:p>
        </w:tc>
        <w:tc>
          <w:tcPr>
            <w:tcW w:type="dxa" w:w="1584"/>
            <w:vAlign w:val="center"/>
          </w:tcPr>
          <w:p>
            <w:pPr>
              <w:spacing w:before="0" w:after="0" w:line="240" w:lineRule="auto"/>
              <w:jc w:val="center"/>
            </w:pPr>
            <w:r>
              <w:rPr>
                <w:b/>
                <w:sz w:val="10"/>
              </w:rPr>
              <w:t>Host RSS MB</w:t>
            </w:r>
          </w:p>
        </w:tc>
        <w:tc>
          <w:tcPr>
            <w:tcW w:type="dxa" w:w="1584"/>
            <w:vAlign w:val="center"/>
          </w:tcPr>
          <w:p>
            <w:pPr>
              <w:spacing w:before="0" w:after="0" w:line="240" w:lineRule="auto"/>
              <w:jc w:val="center"/>
            </w:pPr>
            <w:r>
              <w:rPr>
                <w:b/>
                <w:sz w:val="10"/>
              </w:rPr>
              <w:t>GPU MB</w:t>
            </w:r>
          </w:p>
        </w:tc>
        <w:tc>
          <w:tcPr>
            <w:tcW w:type="dxa" w:w="1584"/>
            <w:vAlign w:val="center"/>
          </w:tcPr>
          <w:p>
            <w:pPr>
              <w:spacing w:before="0" w:after="0" w:line="240" w:lineRule="auto"/>
              <w:jc w:val="center"/>
            </w:pPr>
            <w:r>
              <w:rPr>
                <w:b/>
                <w:sz w:val="10"/>
              </w:rPr>
              <w:t>Qualification</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100</w:t>
            </w:r>
          </w:p>
        </w:tc>
        <w:tc>
          <w:tcPr>
            <w:tcW w:type="dxa" w:w="1584"/>
            <w:vAlign w:val="center"/>
          </w:tcPr>
          <w:p>
            <w:pPr>
              <w:spacing w:before="0" w:after="0"/>
            </w:pPr>
            <w:r>
              <w:rPr>
                <w:b w:val="0"/>
                <w:sz w:val="12"/>
              </w:rPr>
              <w:t>0.7806</w:t>
            </w:r>
          </w:p>
        </w:tc>
        <w:tc>
          <w:tcPr>
            <w:tcW w:type="dxa" w:w="1584"/>
            <w:vAlign w:val="center"/>
          </w:tcPr>
          <w:p>
            <w:pPr>
              <w:spacing w:before="0" w:after="0"/>
            </w:pPr>
            <w:r>
              <w:rPr>
                <w:b w:val="0"/>
                <w:sz w:val="12"/>
              </w:rPr>
              <w:t>0.9278</w:t>
            </w:r>
          </w:p>
        </w:tc>
        <w:tc>
          <w:tcPr>
            <w:tcW w:type="dxa" w:w="1584"/>
            <w:vAlign w:val="center"/>
          </w:tcPr>
          <w:p>
            <w:pPr>
              <w:spacing w:before="0" w:after="0"/>
            </w:pPr>
            <w:r>
              <w:rPr>
                <w:b w:val="0"/>
                <w:sz w:val="12"/>
              </w:rPr>
              <w:t>shared fit 950.2 + prediction 41.6</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200</w:t>
            </w:r>
          </w:p>
        </w:tc>
        <w:tc>
          <w:tcPr>
            <w:tcW w:type="dxa" w:w="1584"/>
            <w:vAlign w:val="center"/>
          </w:tcPr>
          <w:p>
            <w:pPr>
              <w:spacing w:before="0" w:after="0"/>
            </w:pPr>
            <w:r>
              <w:rPr>
                <w:b w:val="0"/>
                <w:sz w:val="12"/>
              </w:rPr>
              <w:t>0.7907</w:t>
            </w:r>
          </w:p>
        </w:tc>
        <w:tc>
          <w:tcPr>
            <w:tcW w:type="dxa" w:w="1584"/>
            <w:vAlign w:val="center"/>
          </w:tcPr>
          <w:p>
            <w:pPr>
              <w:spacing w:before="0" w:after="0"/>
            </w:pPr>
            <w:r>
              <w:rPr>
                <w:b w:val="0"/>
                <w:sz w:val="12"/>
              </w:rPr>
              <w:t>0.9320</w:t>
            </w:r>
          </w:p>
        </w:tc>
        <w:tc>
          <w:tcPr>
            <w:tcW w:type="dxa" w:w="1584"/>
            <w:vAlign w:val="center"/>
          </w:tcPr>
          <w:p>
            <w:pPr>
              <w:spacing w:before="0" w:after="0"/>
            </w:pPr>
            <w:r>
              <w:rPr>
                <w:b w:val="0"/>
                <w:sz w:val="12"/>
              </w:rPr>
              <w:t>shared fit 950.2 + prediction 51.9</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300</w:t>
            </w:r>
          </w:p>
        </w:tc>
        <w:tc>
          <w:tcPr>
            <w:tcW w:type="dxa" w:w="1584"/>
            <w:vAlign w:val="center"/>
          </w:tcPr>
          <w:p>
            <w:pPr>
              <w:spacing w:before="0" w:after="0"/>
            </w:pPr>
            <w:r>
              <w:rPr>
                <w:b w:val="0"/>
                <w:sz w:val="12"/>
              </w:rPr>
              <w:t>0.7955</w:t>
            </w:r>
          </w:p>
        </w:tc>
        <w:tc>
          <w:tcPr>
            <w:tcW w:type="dxa" w:w="1584"/>
            <w:vAlign w:val="center"/>
          </w:tcPr>
          <w:p>
            <w:pPr>
              <w:spacing w:before="0" w:after="0"/>
            </w:pPr>
            <w:r>
              <w:rPr>
                <w:b w:val="0"/>
                <w:sz w:val="12"/>
              </w:rPr>
              <w:t>0.9334</w:t>
            </w:r>
          </w:p>
        </w:tc>
        <w:tc>
          <w:tcPr>
            <w:tcW w:type="dxa" w:w="1584"/>
            <w:vAlign w:val="center"/>
          </w:tcPr>
          <w:p>
            <w:pPr>
              <w:spacing w:before="0" w:after="0"/>
            </w:pPr>
            <w:r>
              <w:rPr>
                <w:b w:val="0"/>
                <w:sz w:val="12"/>
              </w:rPr>
              <w:t>shared fit 950.2 + prediction 62.2</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400</w:t>
            </w:r>
          </w:p>
        </w:tc>
        <w:tc>
          <w:tcPr>
            <w:tcW w:type="dxa" w:w="1584"/>
            <w:vAlign w:val="center"/>
          </w:tcPr>
          <w:p>
            <w:pPr>
              <w:spacing w:before="0" w:after="0"/>
            </w:pPr>
            <w:r>
              <w:rPr>
                <w:b w:val="0"/>
                <w:sz w:val="12"/>
              </w:rPr>
              <w:t>0.7984</w:t>
            </w:r>
          </w:p>
        </w:tc>
        <w:tc>
          <w:tcPr>
            <w:tcW w:type="dxa" w:w="1584"/>
            <w:vAlign w:val="center"/>
          </w:tcPr>
          <w:p>
            <w:pPr>
              <w:spacing w:before="0" w:after="0"/>
            </w:pPr>
            <w:r>
              <w:rPr>
                <w:b w:val="0"/>
                <w:sz w:val="12"/>
              </w:rPr>
              <w:t>0.9339</w:t>
            </w:r>
          </w:p>
        </w:tc>
        <w:tc>
          <w:tcPr>
            <w:tcW w:type="dxa" w:w="1584"/>
            <w:vAlign w:val="center"/>
          </w:tcPr>
          <w:p>
            <w:pPr>
              <w:spacing w:before="0" w:after="0"/>
            </w:pPr>
            <w:r>
              <w:rPr>
                <w:b w:val="0"/>
                <w:sz w:val="12"/>
              </w:rPr>
              <w:t>shared fit 950.2 + prediction 72.7</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500</w:t>
            </w:r>
          </w:p>
        </w:tc>
        <w:tc>
          <w:tcPr>
            <w:tcW w:type="dxa" w:w="1584"/>
            <w:vAlign w:val="center"/>
          </w:tcPr>
          <w:p>
            <w:pPr>
              <w:spacing w:before="0" w:after="0"/>
            </w:pPr>
            <w:r>
              <w:rPr>
                <w:b w:val="0"/>
                <w:sz w:val="12"/>
              </w:rPr>
              <w:t>0.8007</w:t>
            </w:r>
          </w:p>
        </w:tc>
        <w:tc>
          <w:tcPr>
            <w:tcW w:type="dxa" w:w="1584"/>
            <w:vAlign w:val="center"/>
          </w:tcPr>
          <w:p>
            <w:pPr>
              <w:spacing w:before="0" w:after="0"/>
            </w:pPr>
            <w:r>
              <w:rPr>
                <w:b w:val="0"/>
                <w:sz w:val="12"/>
              </w:rPr>
              <w:t>0.9347</w:t>
            </w:r>
          </w:p>
        </w:tc>
        <w:tc>
          <w:tcPr>
            <w:tcW w:type="dxa" w:w="1584"/>
            <w:vAlign w:val="center"/>
          </w:tcPr>
          <w:p>
            <w:pPr>
              <w:spacing w:before="0" w:after="0"/>
            </w:pPr>
            <w:r>
              <w:rPr>
                <w:b w:val="0"/>
                <w:sz w:val="12"/>
              </w:rPr>
              <w:t>shared fit 950.2 + prediction 82.9</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600</w:t>
            </w:r>
          </w:p>
        </w:tc>
        <w:tc>
          <w:tcPr>
            <w:tcW w:type="dxa" w:w="1584"/>
            <w:vAlign w:val="center"/>
          </w:tcPr>
          <w:p>
            <w:pPr>
              <w:spacing w:before="0" w:after="0"/>
            </w:pPr>
            <w:r>
              <w:rPr>
                <w:b w:val="0"/>
                <w:sz w:val="12"/>
              </w:rPr>
              <w:t>0.8030</w:t>
            </w:r>
          </w:p>
        </w:tc>
        <w:tc>
          <w:tcPr>
            <w:tcW w:type="dxa" w:w="1584"/>
            <w:vAlign w:val="center"/>
          </w:tcPr>
          <w:p>
            <w:pPr>
              <w:spacing w:before="0" w:after="0"/>
            </w:pPr>
            <w:r>
              <w:rPr>
                <w:b w:val="0"/>
                <w:sz w:val="12"/>
              </w:rPr>
              <w:t>0.9355</w:t>
            </w:r>
          </w:p>
        </w:tc>
        <w:tc>
          <w:tcPr>
            <w:tcW w:type="dxa" w:w="1584"/>
            <w:vAlign w:val="center"/>
          </w:tcPr>
          <w:p>
            <w:pPr>
              <w:spacing w:before="0" w:after="0"/>
            </w:pPr>
            <w:r>
              <w:rPr>
                <w:b w:val="0"/>
                <w:sz w:val="12"/>
              </w:rPr>
              <w:t>shared fit 950.2 + prediction 93.5</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700</w:t>
            </w:r>
          </w:p>
        </w:tc>
        <w:tc>
          <w:tcPr>
            <w:tcW w:type="dxa" w:w="1584"/>
            <w:vAlign w:val="center"/>
          </w:tcPr>
          <w:p>
            <w:pPr>
              <w:spacing w:before="0" w:after="0"/>
            </w:pPr>
            <w:r>
              <w:rPr>
                <w:b w:val="0"/>
                <w:sz w:val="12"/>
              </w:rPr>
              <w:t>0.8051</w:t>
            </w:r>
          </w:p>
        </w:tc>
        <w:tc>
          <w:tcPr>
            <w:tcW w:type="dxa" w:w="1584"/>
            <w:vAlign w:val="center"/>
          </w:tcPr>
          <w:p>
            <w:pPr>
              <w:spacing w:before="0" w:after="0"/>
            </w:pPr>
            <w:r>
              <w:rPr>
                <w:b w:val="0"/>
                <w:sz w:val="12"/>
              </w:rPr>
              <w:t>0.9367</w:t>
            </w:r>
          </w:p>
        </w:tc>
        <w:tc>
          <w:tcPr>
            <w:tcW w:type="dxa" w:w="1584"/>
            <w:vAlign w:val="center"/>
          </w:tcPr>
          <w:p>
            <w:pPr>
              <w:spacing w:before="0" w:after="0"/>
            </w:pPr>
            <w:r>
              <w:rPr>
                <w:b w:val="0"/>
                <w:sz w:val="12"/>
              </w:rPr>
              <w:t>shared fit 950.2 + prediction 103.3</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800</w:t>
            </w:r>
          </w:p>
        </w:tc>
        <w:tc>
          <w:tcPr>
            <w:tcW w:type="dxa" w:w="1584"/>
            <w:vAlign w:val="center"/>
          </w:tcPr>
          <w:p>
            <w:pPr>
              <w:spacing w:before="0" w:after="0"/>
            </w:pPr>
            <w:r>
              <w:rPr>
                <w:b w:val="0"/>
                <w:sz w:val="12"/>
              </w:rPr>
              <w:t>0.8069</w:t>
            </w:r>
          </w:p>
        </w:tc>
        <w:tc>
          <w:tcPr>
            <w:tcW w:type="dxa" w:w="1584"/>
            <w:vAlign w:val="center"/>
          </w:tcPr>
          <w:p>
            <w:pPr>
              <w:spacing w:before="0" w:after="0"/>
            </w:pPr>
            <w:r>
              <w:rPr>
                <w:b w:val="0"/>
                <w:sz w:val="12"/>
              </w:rPr>
              <w:t>0.9379</w:t>
            </w:r>
          </w:p>
        </w:tc>
        <w:tc>
          <w:tcPr>
            <w:tcW w:type="dxa" w:w="1584"/>
            <w:vAlign w:val="center"/>
          </w:tcPr>
          <w:p>
            <w:pPr>
              <w:spacing w:before="0" w:after="0"/>
            </w:pPr>
            <w:r>
              <w:rPr>
                <w:b w:val="0"/>
                <w:sz w:val="12"/>
              </w:rPr>
              <w:t>shared fit 950.2 + prediction 113.0</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900</w:t>
            </w:r>
          </w:p>
        </w:tc>
        <w:tc>
          <w:tcPr>
            <w:tcW w:type="dxa" w:w="1584"/>
            <w:vAlign w:val="center"/>
          </w:tcPr>
          <w:p>
            <w:pPr>
              <w:spacing w:before="0" w:after="0"/>
            </w:pPr>
            <w:r>
              <w:rPr>
                <w:b w:val="0"/>
                <w:sz w:val="12"/>
              </w:rPr>
              <w:t>0.8085</w:t>
            </w:r>
          </w:p>
        </w:tc>
        <w:tc>
          <w:tcPr>
            <w:tcW w:type="dxa" w:w="1584"/>
            <w:vAlign w:val="center"/>
          </w:tcPr>
          <w:p>
            <w:pPr>
              <w:spacing w:before="0" w:after="0"/>
            </w:pPr>
            <w:r>
              <w:rPr>
                <w:b w:val="0"/>
                <w:sz w:val="12"/>
              </w:rPr>
              <w:t>0.9387</w:t>
            </w:r>
          </w:p>
        </w:tc>
        <w:tc>
          <w:tcPr>
            <w:tcW w:type="dxa" w:w="1584"/>
            <w:vAlign w:val="center"/>
          </w:tcPr>
          <w:p>
            <w:pPr>
              <w:spacing w:before="0" w:after="0"/>
            </w:pPr>
            <w:r>
              <w:rPr>
                <w:b w:val="0"/>
                <w:sz w:val="12"/>
              </w:rPr>
              <w:t>shared fit 950.2 + prediction 124.4</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Shared SIMPLS path</w:t>
            </w:r>
          </w:p>
        </w:tc>
        <w:tc>
          <w:tcPr>
            <w:tcW w:type="dxa" w:w="1584"/>
            <w:vAlign w:val="center"/>
          </w:tcPr>
          <w:p>
            <w:pPr>
              <w:spacing w:before="0" w:after="0"/>
            </w:pPr>
            <w:r>
              <w:rPr>
                <w:b w:val="0"/>
                <w:sz w:val="12"/>
              </w:rPr>
              <w:t>LDA</w:t>
            </w:r>
          </w:p>
        </w:tc>
        <w:tc>
          <w:tcPr>
            <w:tcW w:type="dxa" w:w="1584"/>
            <w:vAlign w:val="center"/>
          </w:tcPr>
          <w:p>
            <w:pPr>
              <w:spacing w:before="0" w:after="0"/>
            </w:pPr>
            <w:r>
              <w:rPr>
                <w:b w:val="0"/>
                <w:sz w:val="12"/>
              </w:rPr>
              <w:t>1000</w:t>
            </w:r>
          </w:p>
        </w:tc>
        <w:tc>
          <w:tcPr>
            <w:tcW w:type="dxa" w:w="1584"/>
            <w:vAlign w:val="center"/>
          </w:tcPr>
          <w:p>
            <w:pPr>
              <w:spacing w:before="0" w:after="0"/>
            </w:pPr>
            <w:r>
              <w:rPr>
                <w:b w:val="0"/>
                <w:sz w:val="12"/>
              </w:rPr>
              <w:t>0.8094</w:t>
            </w:r>
          </w:p>
        </w:tc>
        <w:tc>
          <w:tcPr>
            <w:tcW w:type="dxa" w:w="1584"/>
            <w:vAlign w:val="center"/>
          </w:tcPr>
          <w:p>
            <w:pPr>
              <w:spacing w:before="0" w:after="0"/>
            </w:pPr>
            <w:r>
              <w:rPr>
                <w:b w:val="0"/>
                <w:sz w:val="12"/>
              </w:rPr>
              <w:t>0.9393</w:t>
            </w:r>
          </w:p>
        </w:tc>
        <w:tc>
          <w:tcPr>
            <w:tcW w:type="dxa" w:w="1584"/>
            <w:vAlign w:val="center"/>
          </w:tcPr>
          <w:p>
            <w:pPr>
              <w:spacing w:before="0" w:after="0"/>
            </w:pPr>
            <w:r>
              <w:rPr>
                <w:b w:val="0"/>
                <w:sz w:val="12"/>
              </w:rPr>
              <w:t>shared fit 950.2 + prediction 134.4</w:t>
            </w:r>
          </w:p>
        </w:tc>
        <w:tc>
          <w:tcPr>
            <w:tcW w:type="dxa" w:w="1584"/>
            <w:vAlign w:val="center"/>
          </w:tcPr>
          <w:p>
            <w:pPr>
              <w:spacing w:before="0" w:after="0"/>
            </w:pPr>
            <w:r>
              <w:rPr>
                <w:b w:val="0"/>
                <w:sz w:val="12"/>
              </w:rPr>
              <w:t>17236</w:t>
            </w:r>
          </w:p>
        </w:tc>
        <w:tc>
          <w:tcPr>
            <w:tcW w:type="dxa" w:w="1584"/>
            <w:vAlign w:val="center"/>
          </w:tcPr>
          <w:p>
            <w:pPr>
              <w:spacing w:before="0" w:after="0"/>
            </w:pPr>
            <w:r>
              <w:rPr>
                <w:b w:val="0"/>
                <w:sz w:val="12"/>
              </w:rPr>
              <w:t>5412</w:t>
            </w:r>
          </w:p>
        </w:tc>
        <w:tc>
          <w:tcPr>
            <w:tcW w:type="dxa" w:w="1584"/>
            <w:vAlign w:val="center"/>
          </w:tcPr>
          <w:p>
            <w:pPr>
              <w:spacing w:before="0" w:after="0"/>
            </w:pPr>
            <w:r>
              <w:rPr>
                <w:b w:val="0"/>
                <w:sz w:val="12"/>
              </w:rPr>
              <w:t>single exploratory run; hybrid; os=20, power=2, seed=123</w:t>
            </w:r>
          </w:p>
        </w:tc>
      </w:tr>
      <w:tr>
        <w:tc>
          <w:tcPr>
            <w:tcW w:type="dxa" w:w="1584"/>
            <w:vAlign w:val="center"/>
          </w:tcPr>
          <w:p>
            <w:pPr>
              <w:spacing w:before="0" w:after="0"/>
            </w:pPr>
            <w:r>
              <w:rPr>
                <w:b w:val="0"/>
                <w:sz w:val="12"/>
              </w:rPr>
              <w:t>FAISS exact retrieval</w:t>
            </w:r>
          </w:p>
        </w:tc>
        <w:tc>
          <w:tcPr>
            <w:tcW w:type="dxa" w:w="1584"/>
            <w:vAlign w:val="center"/>
          </w:tcPr>
          <w:p>
            <w:pPr>
              <w:spacing w:before="0" w:after="0"/>
            </w:pPr>
            <w:r>
              <w:rPr>
                <w:b w:val="0"/>
                <w:sz w:val="12"/>
              </w:rPr>
              <w:t>Raw DINOv2</w:t>
            </w:r>
          </w:p>
        </w:tc>
        <w:tc>
          <w:tcPr>
            <w:tcW w:type="dxa" w:w="1584"/>
            <w:vAlign w:val="center"/>
          </w:tcPr>
          <w:p>
            <w:pPr>
              <w:spacing w:before="0" w:after="0"/>
            </w:pPr>
            <w:r>
              <w:rPr>
                <w:b w:val="0"/>
                <w:sz w:val="12"/>
              </w:rPr>
              <w:t>raw</w:t>
            </w:r>
          </w:p>
        </w:tc>
        <w:tc>
          <w:tcPr>
            <w:tcW w:type="dxa" w:w="1584"/>
            <w:vAlign w:val="center"/>
          </w:tcPr>
          <w:p>
            <w:pPr>
              <w:spacing w:before="0" w:after="0"/>
            </w:pPr>
            <w:r>
              <w:rPr>
                <w:b w:val="0"/>
                <w:sz w:val="12"/>
              </w:rPr>
              <w:t>0.6556</w:t>
            </w:r>
          </w:p>
        </w:tc>
        <w:tc>
          <w:tcPr>
            <w:tcW w:type="dxa" w:w="1584"/>
            <w:vAlign w:val="center"/>
          </w:tcPr>
          <w:p>
            <w:pPr>
              <w:spacing w:before="0" w:after="0"/>
            </w:pPr>
            <w:r>
              <w:rPr>
                <w:b w:val="0"/>
                <w:sz w:val="12"/>
              </w:rPr>
              <w:t>0.9392</w:t>
            </w:r>
          </w:p>
        </w:tc>
        <w:tc>
          <w:tcPr>
            <w:tcW w:type="dxa" w:w="1584"/>
            <w:vAlign w:val="center"/>
          </w:tcPr>
          <w:p>
            <w:pPr>
              <w:spacing w:before="0" w:after="0"/>
            </w:pPr>
            <w:r>
              <w:rPr>
                <w:b w:val="0"/>
                <w:sz w:val="12"/>
              </w:rPr>
              <w:t>510.8</w:t>
            </w:r>
          </w:p>
        </w:tc>
        <w:tc>
          <w:tcPr>
            <w:tcW w:type="dxa" w:w="1584"/>
            <w:vAlign w:val="center"/>
          </w:tcPr>
          <w:p>
            <w:pPr>
              <w:spacing w:before="0" w:after="0"/>
            </w:pPr>
            <w:r>
              <w:rPr>
                <w:b w:val="0"/>
                <w:sz w:val="12"/>
              </w:rPr>
              <w:t>19163</w:t>
            </w:r>
          </w:p>
        </w:tc>
        <w:tc>
          <w:tcPr>
            <w:tcW w:type="dxa" w:w="1584"/>
            <w:vAlign w:val="center"/>
          </w:tcPr>
          <w:p>
            <w:pPr>
              <w:spacing w:before="0" w:after="0"/>
            </w:pPr>
            <w:r>
              <w:rPr>
                <w:b w:val="0"/>
                <w:sz w:val="12"/>
              </w:rPr>
              <w:t>5894</w:t>
            </w:r>
          </w:p>
        </w:tc>
        <w:tc>
          <w:tcPr>
            <w:tcW w:type="dxa" w:w="1584"/>
            <w:vAlign w:val="center"/>
          </w:tcPr>
          <w:p>
            <w:pPr>
              <w:spacing w:before="0" w:after="0"/>
            </w:pPr>
            <w:r>
              <w:rPr>
                <w:b w:val="0"/>
                <w:sz w:val="12"/>
              </w:rPr>
              <w:t>1.00x compression; 3 timing repeats</w:t>
            </w:r>
          </w:p>
        </w:tc>
      </w:tr>
      <w:tr>
        <w:tc>
          <w:tcPr>
            <w:tcW w:type="dxa" w:w="1584"/>
            <w:vAlign w:val="center"/>
          </w:tcPr>
          <w:p>
            <w:pPr>
              <w:spacing w:before="0" w:after="0"/>
            </w:pPr>
            <w:r>
              <w:rPr>
                <w:b w:val="0"/>
                <w:sz w:val="12"/>
              </w:rPr>
              <w:t>FAISS exact retrieval</w:t>
            </w:r>
          </w:p>
        </w:tc>
        <w:tc>
          <w:tcPr>
            <w:tcW w:type="dxa" w:w="1584"/>
            <w:vAlign w:val="center"/>
          </w:tcPr>
          <w:p>
            <w:pPr>
              <w:spacing w:before="0" w:after="0"/>
            </w:pPr>
            <w:r>
              <w:rPr>
                <w:b w:val="0"/>
                <w:sz w:val="12"/>
              </w:rPr>
              <w:t>PCA-rSVD scores</w:t>
            </w:r>
          </w:p>
        </w:tc>
        <w:tc>
          <w:tcPr>
            <w:tcW w:type="dxa" w:w="1584"/>
            <w:vAlign w:val="center"/>
          </w:tcPr>
          <w:p>
            <w:pPr>
              <w:spacing w:before="0" w:after="0"/>
            </w:pPr>
            <w:r>
              <w:rPr>
                <w:b w:val="0"/>
                <w:sz w:val="12"/>
              </w:rPr>
              <w:t>200</w:t>
            </w:r>
          </w:p>
        </w:tc>
        <w:tc>
          <w:tcPr>
            <w:tcW w:type="dxa" w:w="1584"/>
            <w:vAlign w:val="center"/>
          </w:tcPr>
          <w:p>
            <w:pPr>
              <w:spacing w:before="0" w:after="0"/>
            </w:pPr>
            <w:r>
              <w:rPr>
                <w:b w:val="0"/>
                <w:sz w:val="12"/>
              </w:rPr>
              <w:t>0.6430</w:t>
            </w:r>
          </w:p>
        </w:tc>
        <w:tc>
          <w:tcPr>
            <w:tcW w:type="dxa" w:w="1584"/>
            <w:vAlign w:val="center"/>
          </w:tcPr>
          <w:p>
            <w:pPr>
              <w:spacing w:before="0" w:after="0"/>
            </w:pPr>
            <w:r>
              <w:rPr>
                <w:b w:val="0"/>
                <w:sz w:val="12"/>
              </w:rPr>
              <w:t>0.9383</w:t>
            </w:r>
          </w:p>
        </w:tc>
        <w:tc>
          <w:tcPr>
            <w:tcW w:type="dxa" w:w="1584"/>
            <w:vAlign w:val="center"/>
          </w:tcPr>
          <w:p>
            <w:pPr>
              <w:spacing w:before="0" w:after="0"/>
            </w:pPr>
            <w:r>
              <w:rPr>
                <w:b w:val="0"/>
                <w:sz w:val="12"/>
              </w:rPr>
              <w:t>337.7</w:t>
            </w:r>
          </w:p>
        </w:tc>
        <w:tc>
          <w:tcPr>
            <w:tcW w:type="dxa" w:w="1584"/>
            <w:vAlign w:val="center"/>
          </w:tcPr>
          <w:p>
            <w:pPr>
              <w:spacing w:before="0" w:after="0"/>
            </w:pPr>
            <w:r>
              <w:rPr>
                <w:b w:val="0"/>
                <w:sz w:val="12"/>
              </w:rPr>
              <w:t>12250</w:t>
            </w:r>
          </w:p>
        </w:tc>
        <w:tc>
          <w:tcPr>
            <w:tcW w:type="dxa" w:w="1584"/>
            <w:vAlign w:val="center"/>
          </w:tcPr>
          <w:p>
            <w:pPr>
              <w:spacing w:before="0" w:after="0"/>
            </w:pPr>
            <w:r>
              <w:rPr>
                <w:b w:val="0"/>
                <w:sz w:val="12"/>
              </w:rPr>
              <w:t>4906</w:t>
            </w:r>
          </w:p>
        </w:tc>
        <w:tc>
          <w:tcPr>
            <w:tcW w:type="dxa" w:w="1584"/>
            <w:vAlign w:val="center"/>
          </w:tcPr>
          <w:p>
            <w:pPr>
              <w:spacing w:before="0" w:after="0"/>
            </w:pPr>
            <w:r>
              <w:rPr>
                <w:b w:val="0"/>
                <w:sz w:val="12"/>
              </w:rPr>
              <w:t>5.12x compression; 3 timing repeats</w:t>
            </w:r>
          </w:p>
        </w:tc>
      </w:tr>
      <w:tr>
        <w:tc>
          <w:tcPr>
            <w:tcW w:type="dxa" w:w="1584"/>
            <w:vAlign w:val="center"/>
          </w:tcPr>
          <w:p>
            <w:pPr>
              <w:spacing w:before="0" w:after="0"/>
            </w:pPr>
            <w:r>
              <w:rPr>
                <w:b w:val="0"/>
                <w:sz w:val="12"/>
              </w:rPr>
              <w:t>FAISS exact retrieval</w:t>
            </w:r>
          </w:p>
        </w:tc>
        <w:tc>
          <w:tcPr>
            <w:tcW w:type="dxa" w:w="1584"/>
            <w:vAlign w:val="center"/>
          </w:tcPr>
          <w:p>
            <w:pPr>
              <w:spacing w:before="0" w:after="0"/>
            </w:pPr>
            <w:r>
              <w:rPr>
                <w:b w:val="0"/>
                <w:sz w:val="12"/>
              </w:rPr>
              <w:t>PLS-SVD using rSVD scores</w:t>
            </w:r>
          </w:p>
        </w:tc>
        <w:tc>
          <w:tcPr>
            <w:tcW w:type="dxa" w:w="1584"/>
            <w:vAlign w:val="center"/>
          </w:tcPr>
          <w:p>
            <w:pPr>
              <w:spacing w:before="0" w:after="0"/>
            </w:pPr>
            <w:r>
              <w:rPr>
                <w:b w:val="0"/>
                <w:sz w:val="12"/>
              </w:rPr>
              <w:t>200</w:t>
            </w:r>
          </w:p>
        </w:tc>
        <w:tc>
          <w:tcPr>
            <w:tcW w:type="dxa" w:w="1584"/>
            <w:vAlign w:val="center"/>
          </w:tcPr>
          <w:p>
            <w:pPr>
              <w:spacing w:before="0" w:after="0"/>
            </w:pPr>
            <w:r>
              <w:rPr>
                <w:b w:val="0"/>
                <w:sz w:val="12"/>
              </w:rPr>
              <w:t>0.6516</w:t>
            </w:r>
          </w:p>
        </w:tc>
        <w:tc>
          <w:tcPr>
            <w:tcW w:type="dxa" w:w="1584"/>
            <w:vAlign w:val="center"/>
          </w:tcPr>
          <w:p>
            <w:pPr>
              <w:spacing w:before="0" w:after="0"/>
            </w:pPr>
            <w:r>
              <w:rPr>
                <w:b w:val="0"/>
                <w:sz w:val="12"/>
              </w:rPr>
              <w:t>0.9397</w:t>
            </w:r>
          </w:p>
        </w:tc>
        <w:tc>
          <w:tcPr>
            <w:tcW w:type="dxa" w:w="1584"/>
            <w:vAlign w:val="center"/>
          </w:tcPr>
          <w:p>
            <w:pPr>
              <w:spacing w:before="0" w:after="0"/>
            </w:pPr>
            <w:r>
              <w:rPr>
                <w:b w:val="0"/>
                <w:sz w:val="12"/>
              </w:rPr>
              <w:t>216.7</w:t>
            </w:r>
          </w:p>
        </w:tc>
        <w:tc>
          <w:tcPr>
            <w:tcW w:type="dxa" w:w="1584"/>
            <w:vAlign w:val="center"/>
          </w:tcPr>
          <w:p>
            <w:pPr>
              <w:spacing w:before="0" w:after="0"/>
            </w:pPr>
            <w:r>
              <w:rPr>
                <w:b w:val="0"/>
                <w:sz w:val="12"/>
              </w:rPr>
              <w:t>9925</w:t>
            </w:r>
          </w:p>
        </w:tc>
        <w:tc>
          <w:tcPr>
            <w:tcW w:type="dxa" w:w="1584"/>
            <w:vAlign w:val="center"/>
          </w:tcPr>
          <w:p>
            <w:pPr>
              <w:spacing w:before="0" w:after="0"/>
            </w:pPr>
            <w:r>
              <w:rPr>
                <w:b w:val="0"/>
                <w:sz w:val="12"/>
              </w:rPr>
              <w:t>2502</w:t>
            </w:r>
          </w:p>
        </w:tc>
        <w:tc>
          <w:tcPr>
            <w:tcW w:type="dxa" w:w="1584"/>
            <w:vAlign w:val="center"/>
          </w:tcPr>
          <w:p>
            <w:pPr>
              <w:spacing w:before="0" w:after="0"/>
            </w:pPr>
            <w:r>
              <w:rPr>
                <w:b w:val="0"/>
                <w:sz w:val="12"/>
              </w:rPr>
              <w:t>5.12x compression; 3 timing repeats</w:t>
            </w:r>
          </w:p>
        </w:tc>
      </w:tr>
    </w:tbl>
    <w:p>
      <w:pPr>
        <w:pStyle w:val="Heading1"/>
      </w:pPr>
      <w:r>
        <w:t>S19. Repeated outer-partition uncertainty</w:t>
      </w:r>
    </w:p>
    <w:p>
      <w:r>
        <w:t>MetRef, GTEx v8, and Retina used ten stratified 80/20 outer partitions with 5-fold training-only component selection. NMR used five random 80/20 outer partitions and 3-fold selection. Classification used deterministic float64 CPU IRLBA; NMR used fixed-seed float64 CUDA rSVD for feasibility. Empirical ranges are descriptive across partitions, not confidence intervals.</w:t>
      </w:r>
    </w:p>
    <w:p>
      <w:pPr>
        <w:pStyle w:val="Caption"/>
      </w:pPr>
      <w:r>
        <w:t>Table S14. Definitive repeated-partition predictive dispersion and selection stability. Values are mean (SD), empirical 2.5th-97.5th percentile range, and selected-component range.</w:t>
      </w:r>
    </w:p>
    <w:tbl>
      <w:tblPr>
        <w:tblW w:type="auto" w:w="0"/>
        <w:tblLayout w:type="autofit"/>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cantSplit/>
        </w:trPr>
        <w:tc>
          <w:tcPr>
            <w:tcW w:type="dxa" w:w="1426"/>
            <w:vAlign w:val="center"/>
          </w:tcPr>
          <w:p>
            <w:pPr>
              <w:spacing w:before="0" w:after="0" w:line="240" w:lineRule="auto"/>
              <w:jc w:val="left"/>
            </w:pPr>
            <w:r>
              <w:rPr>
                <w:b/>
                <w:sz w:val="10"/>
              </w:rPr>
              <w:t>Dataset</w:t>
            </w:r>
          </w:p>
        </w:tc>
        <w:tc>
          <w:tcPr>
            <w:tcW w:type="dxa" w:w="1426"/>
            <w:vAlign w:val="center"/>
          </w:tcPr>
          <w:p>
            <w:pPr>
              <w:spacing w:before="0" w:after="0" w:line="240" w:lineRule="auto"/>
              <w:jc w:val="center"/>
            </w:pPr>
            <w:r>
              <w:rPr>
                <w:b/>
                <w:sz w:val="10"/>
              </w:rPr>
              <w:t>Family</w:t>
            </w:r>
          </w:p>
        </w:tc>
        <w:tc>
          <w:tcPr>
            <w:tcW w:type="dxa" w:w="1426"/>
            <w:vAlign w:val="center"/>
          </w:tcPr>
          <w:p>
            <w:pPr>
              <w:spacing w:before="0" w:after="0" w:line="240" w:lineRule="auto"/>
              <w:jc w:val="center"/>
            </w:pPr>
            <w:r>
              <w:rPr>
                <w:b/>
                <w:sz w:val="10"/>
              </w:rPr>
              <w:t>Head</w:t>
            </w:r>
          </w:p>
        </w:tc>
        <w:tc>
          <w:tcPr>
            <w:tcW w:type="dxa" w:w="1426"/>
            <w:vAlign w:val="center"/>
          </w:tcPr>
          <w:p>
            <w:pPr>
              <w:spacing w:before="0" w:after="0" w:line="240" w:lineRule="auto"/>
              <w:jc w:val="center"/>
            </w:pPr>
            <w:r>
              <w:rPr>
                <w:b/>
                <w:sz w:val="10"/>
              </w:rPr>
              <w:t>Outer n</w:t>
            </w:r>
          </w:p>
        </w:tc>
        <w:tc>
          <w:tcPr>
            <w:tcW w:type="dxa" w:w="1426"/>
            <w:vAlign w:val="center"/>
          </w:tcPr>
          <w:p>
            <w:pPr>
              <w:spacing w:before="0" w:after="0" w:line="240" w:lineRule="auto"/>
              <w:jc w:val="center"/>
            </w:pPr>
            <w:r>
              <w:rPr>
                <w:b/>
                <w:sz w:val="10"/>
              </w:rPr>
              <w:t>Metric</w:t>
            </w:r>
          </w:p>
        </w:tc>
        <w:tc>
          <w:tcPr>
            <w:tcW w:type="dxa" w:w="1426"/>
            <w:vAlign w:val="center"/>
          </w:tcPr>
          <w:p>
            <w:pPr>
              <w:spacing w:before="0" w:after="0" w:line="240" w:lineRule="auto"/>
              <w:jc w:val="center"/>
            </w:pPr>
            <w:r>
              <w:rPr>
                <w:b/>
                <w:sz w:val="10"/>
              </w:rPr>
              <w:t>Mean (SD)</w:t>
            </w:r>
          </w:p>
        </w:tc>
        <w:tc>
          <w:tcPr>
            <w:tcW w:type="dxa" w:w="1426"/>
            <w:vAlign w:val="center"/>
          </w:tcPr>
          <w:p>
            <w:pPr>
              <w:spacing w:before="0" w:after="0" w:line="240" w:lineRule="auto"/>
              <w:jc w:val="center"/>
            </w:pPr>
            <w:r>
              <w:rPr>
                <w:b/>
                <w:sz w:val="10"/>
              </w:rPr>
              <w:t>Empirical range</w:t>
            </w:r>
          </w:p>
        </w:tc>
        <w:tc>
          <w:tcPr>
            <w:tcW w:type="dxa" w:w="1426"/>
            <w:vAlign w:val="center"/>
          </w:tcPr>
          <w:p>
            <w:pPr>
              <w:spacing w:before="0" w:after="0" w:line="240" w:lineRule="auto"/>
              <w:jc w:val="center"/>
            </w:pPr>
            <w:r>
              <w:rPr>
                <w:b/>
                <w:sz w:val="10"/>
              </w:rPr>
              <w:t>Selected A range</w:t>
            </w:r>
          </w:p>
        </w:tc>
        <w:tc>
          <w:tcPr>
            <w:tcW w:type="dxa" w:w="1426"/>
            <w:vAlign w:val="center"/>
          </w:tcPr>
          <w:p>
            <w:pPr>
              <w:spacing w:before="0" w:after="0" w:line="240" w:lineRule="auto"/>
              <w:jc w:val="center"/>
            </w:pPr>
            <w:r>
              <w:rPr>
                <w:b/>
                <w:sz w:val="10"/>
              </w:rPr>
              <w:t>Upper-bound freq.</w:t>
            </w:r>
          </w:p>
        </w:tc>
        <w:tc>
          <w:tcPr>
            <w:tcW w:type="dxa" w:w="1426"/>
            <w:vAlign w:val="center"/>
          </w:tcPr>
          <w:p>
            <w:pPr>
              <w:spacing w:before="0" w:after="0" w:line="240" w:lineRule="auto"/>
              <w:jc w:val="center"/>
            </w:pPr>
            <w:r>
              <w:rPr>
                <w:b/>
                <w:sz w:val="10"/>
              </w:rPr>
              <w:t>Constraint</w:t>
            </w:r>
          </w:p>
        </w:tc>
      </w:tr>
      <w:tr>
        <w:trPr>
          <w:cantSplit/>
        </w:trPr>
        <w:tc>
          <w:tcPr>
            <w:tcW w:type="dxa" w:w="1426"/>
            <w:vAlign w:val="center"/>
          </w:tcPr>
          <w:p>
            <w:pPr>
              <w:spacing w:before="0" w:after="0" w:line="240" w:lineRule="auto"/>
              <w:jc w:val="left"/>
            </w:pPr>
            <w:r>
              <w:rPr>
                <w:b w:val="0"/>
                <w:sz w:val="10"/>
              </w:rPr>
              <w:t>gtex v8</w:t>
            </w:r>
          </w:p>
        </w:tc>
        <w:tc>
          <w:tcPr>
            <w:tcW w:type="dxa" w:w="1426"/>
            <w:vAlign w:val="center"/>
          </w:tcPr>
          <w:p>
            <w:pPr>
              <w:spacing w:before="0" w:after="0" w:line="240" w:lineRule="auto"/>
              <w:jc w:val="center"/>
            </w:pPr>
            <w:r>
              <w:rPr>
                <w:b w:val="0"/>
                <w:sz w:val="10"/>
              </w:rPr>
              <w:t>kernel 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0.963437 (0.0048)</w:t>
            </w:r>
          </w:p>
        </w:tc>
        <w:tc>
          <w:tcPr>
            <w:tcW w:type="dxa" w:w="1426"/>
            <w:vAlign w:val="center"/>
          </w:tcPr>
          <w:p>
            <w:pPr>
              <w:spacing w:before="0" w:after="0" w:line="240" w:lineRule="auto"/>
              <w:jc w:val="center"/>
            </w:pPr>
            <w:r>
              <w:rPr>
                <w:b w:val="0"/>
                <w:sz w:val="10"/>
              </w:rPr>
              <w:t>0.956072-0.968702</w:t>
            </w:r>
          </w:p>
        </w:tc>
        <w:tc>
          <w:tcPr>
            <w:tcW w:type="dxa" w:w="1426"/>
            <w:vAlign w:val="center"/>
          </w:tcPr>
          <w:p>
            <w:pPr>
              <w:spacing w:before="0" w:after="0" w:line="240" w:lineRule="auto"/>
              <w:jc w:val="center"/>
            </w:pPr>
            <w:r>
              <w:rPr>
                <w:b w:val="0"/>
                <w:sz w:val="10"/>
              </w:rPr>
              <w:t>100-100</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gtex v8</w:t>
            </w:r>
          </w:p>
        </w:tc>
        <w:tc>
          <w:tcPr>
            <w:tcW w:type="dxa" w:w="1426"/>
            <w:vAlign w:val="center"/>
          </w:tcPr>
          <w:p>
            <w:pPr>
              <w:spacing w:before="0" w:after="0" w:line="240" w:lineRule="auto"/>
              <w:jc w:val="center"/>
            </w:pPr>
            <w:r>
              <w:rPr>
                <w:b w:val="0"/>
                <w:sz w:val="10"/>
              </w:rPr>
              <w:t>OPLS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0.961628 (0.00435)</w:t>
            </w:r>
          </w:p>
        </w:tc>
        <w:tc>
          <w:tcPr>
            <w:tcW w:type="dxa" w:w="1426"/>
            <w:vAlign w:val="center"/>
          </w:tcPr>
          <w:p>
            <w:pPr>
              <w:spacing w:before="0" w:after="0" w:line="240" w:lineRule="auto"/>
              <w:jc w:val="center"/>
            </w:pPr>
            <w:r>
              <w:rPr>
                <w:b w:val="0"/>
                <w:sz w:val="10"/>
              </w:rPr>
              <w:t>0.955362-0.96741</w:t>
            </w:r>
          </w:p>
        </w:tc>
        <w:tc>
          <w:tcPr>
            <w:tcW w:type="dxa" w:w="1426"/>
            <w:vAlign w:val="center"/>
          </w:tcPr>
          <w:p>
            <w:pPr>
              <w:spacing w:before="0" w:after="0" w:line="240" w:lineRule="auto"/>
              <w:jc w:val="center"/>
            </w:pPr>
            <w:r>
              <w:rPr>
                <w:b w:val="0"/>
                <w:sz w:val="10"/>
              </w:rPr>
              <w:t>100-100</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gtex v8</w:t>
            </w:r>
          </w:p>
        </w:tc>
        <w:tc>
          <w:tcPr>
            <w:tcW w:type="dxa" w:w="1426"/>
            <w:vAlign w:val="center"/>
          </w:tcPr>
          <w:p>
            <w:pPr>
              <w:spacing w:before="0" w:after="0" w:line="240" w:lineRule="auto"/>
              <w:jc w:val="center"/>
            </w:pPr>
            <w:r>
              <w:rPr>
                <w:b w:val="0"/>
                <w:sz w:val="10"/>
              </w:rPr>
              <w:t>PLS-SVD</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0.942765 (0.00642)</w:t>
            </w:r>
          </w:p>
        </w:tc>
        <w:tc>
          <w:tcPr>
            <w:tcW w:type="dxa" w:w="1426"/>
            <w:vAlign w:val="center"/>
          </w:tcPr>
          <w:p>
            <w:pPr>
              <w:spacing w:before="0" w:after="0" w:line="240" w:lineRule="auto"/>
              <w:jc w:val="center"/>
            </w:pPr>
            <w:r>
              <w:rPr>
                <w:b w:val="0"/>
                <w:sz w:val="10"/>
              </w:rPr>
              <w:t>0.929554-0.949031</w:t>
            </w:r>
          </w:p>
        </w:tc>
        <w:tc>
          <w:tcPr>
            <w:tcW w:type="dxa" w:w="1426"/>
            <w:vAlign w:val="center"/>
          </w:tcPr>
          <w:p>
            <w:pPr>
              <w:spacing w:before="0" w:after="0" w:line="240" w:lineRule="auto"/>
              <w:jc w:val="center"/>
            </w:pPr>
            <w:r>
              <w:rPr>
                <w:b w:val="0"/>
                <w:sz w:val="10"/>
              </w:rPr>
              <w:t>31-31</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t>rank constrained</w:t>
            </w:r>
          </w:p>
        </w:tc>
      </w:tr>
      <w:tr>
        <w:trPr>
          <w:cantSplit/>
        </w:trPr>
        <w:tc>
          <w:tcPr>
            <w:tcW w:type="dxa" w:w="1426"/>
            <w:vAlign w:val="center"/>
          </w:tcPr>
          <w:p>
            <w:pPr>
              <w:spacing w:before="0" w:after="0" w:line="240" w:lineRule="auto"/>
              <w:jc w:val="left"/>
            </w:pPr>
            <w:r>
              <w:rPr>
                <w:b w:val="0"/>
                <w:sz w:val="10"/>
              </w:rPr>
              <w:t>gtex v8</w:t>
            </w:r>
          </w:p>
        </w:tc>
        <w:tc>
          <w:tcPr>
            <w:tcW w:type="dxa" w:w="1426"/>
            <w:vAlign w:val="center"/>
          </w:tcPr>
          <w:p>
            <w:pPr>
              <w:spacing w:before="0" w:after="0" w:line="240" w:lineRule="auto"/>
              <w:jc w:val="center"/>
            </w:pPr>
            <w:r>
              <w:rPr>
                <w:b w:val="0"/>
                <w:sz w:val="10"/>
              </w:rPr>
              <w:t>SIMPLS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0.963437 (0.0048)</w:t>
            </w:r>
          </w:p>
        </w:tc>
        <w:tc>
          <w:tcPr>
            <w:tcW w:type="dxa" w:w="1426"/>
            <w:vAlign w:val="center"/>
          </w:tcPr>
          <w:p>
            <w:pPr>
              <w:spacing w:before="0" w:after="0" w:line="240" w:lineRule="auto"/>
              <w:jc w:val="center"/>
            </w:pPr>
            <w:r>
              <w:rPr>
                <w:b w:val="0"/>
                <w:sz w:val="10"/>
              </w:rPr>
              <w:t>0.956072-0.968702</w:t>
            </w:r>
          </w:p>
        </w:tc>
        <w:tc>
          <w:tcPr>
            <w:tcW w:type="dxa" w:w="1426"/>
            <w:vAlign w:val="center"/>
          </w:tcPr>
          <w:p>
            <w:pPr>
              <w:spacing w:before="0" w:after="0" w:line="240" w:lineRule="auto"/>
              <w:jc w:val="center"/>
            </w:pPr>
            <w:r>
              <w:rPr>
                <w:b w:val="0"/>
                <w:sz w:val="10"/>
              </w:rPr>
              <w:t>100-100</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metref</w:t>
            </w:r>
          </w:p>
        </w:tc>
        <w:tc>
          <w:tcPr>
            <w:tcW w:type="dxa" w:w="1426"/>
            <w:vAlign w:val="center"/>
          </w:tcPr>
          <w:p>
            <w:pPr>
              <w:spacing w:before="0" w:after="0" w:line="240" w:lineRule="auto"/>
              <w:jc w:val="center"/>
            </w:pPr>
            <w:r>
              <w:rPr>
                <w:b w:val="0"/>
                <w:sz w:val="10"/>
              </w:rPr>
              <w:t>kernel 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0.748023 (0.0269)</w:t>
            </w:r>
          </w:p>
        </w:tc>
        <w:tc>
          <w:tcPr>
            <w:tcW w:type="dxa" w:w="1426"/>
            <w:vAlign w:val="center"/>
          </w:tcPr>
          <w:p>
            <w:pPr>
              <w:spacing w:before="0" w:after="0" w:line="240" w:lineRule="auto"/>
              <w:jc w:val="center"/>
            </w:pPr>
            <w:r>
              <w:rPr>
                <w:b w:val="0"/>
                <w:sz w:val="10"/>
              </w:rPr>
              <w:t>0.706921-0.789689</w:t>
            </w:r>
          </w:p>
        </w:tc>
        <w:tc>
          <w:tcPr>
            <w:tcW w:type="dxa" w:w="1426"/>
            <w:vAlign w:val="center"/>
          </w:tcPr>
          <w:p>
            <w:pPr>
              <w:spacing w:before="0" w:after="0" w:line="240" w:lineRule="auto"/>
              <w:jc w:val="center"/>
            </w:pPr>
            <w:r>
              <w:rPr>
                <w:b w:val="0"/>
                <w:sz w:val="10"/>
              </w:rPr>
              <w:t>22-22</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metref</w:t>
            </w:r>
          </w:p>
        </w:tc>
        <w:tc>
          <w:tcPr>
            <w:tcW w:type="dxa" w:w="1426"/>
            <w:vAlign w:val="center"/>
          </w:tcPr>
          <w:p>
            <w:pPr>
              <w:spacing w:before="0" w:after="0" w:line="240" w:lineRule="auto"/>
              <w:jc w:val="center"/>
            </w:pPr>
            <w:r>
              <w:rPr>
                <w:b w:val="0"/>
                <w:sz w:val="10"/>
              </w:rPr>
              <w:t>kernel PLS</w:t>
            </w:r>
          </w:p>
        </w:tc>
        <w:tc>
          <w:tcPr>
            <w:tcW w:type="dxa" w:w="1426"/>
            <w:vAlign w:val="center"/>
          </w:tcPr>
          <w:p>
            <w:pPr>
              <w:spacing w:before="0" w:after="0" w:line="240" w:lineRule="auto"/>
              <w:jc w:val="center"/>
            </w:pPr>
            <w:r>
              <w:rPr>
                <w:b w:val="0"/>
                <w:sz w:val="10"/>
              </w:rPr>
              <w:t>lda</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0.858757 (0.0341)</w:t>
            </w:r>
          </w:p>
        </w:tc>
        <w:tc>
          <w:tcPr>
            <w:tcW w:type="dxa" w:w="1426"/>
            <w:vAlign w:val="center"/>
          </w:tcPr>
          <w:p>
            <w:pPr>
              <w:spacing w:before="0" w:after="0" w:line="240" w:lineRule="auto"/>
              <w:jc w:val="center"/>
            </w:pPr>
            <w:r>
              <w:rPr>
                <w:b w:val="0"/>
                <w:sz w:val="10"/>
              </w:rPr>
              <w:t>0.792938-0.900141</w:t>
            </w:r>
          </w:p>
        </w:tc>
        <w:tc>
          <w:tcPr>
            <w:tcW w:type="dxa" w:w="1426"/>
            <w:vAlign w:val="center"/>
          </w:tcPr>
          <w:p>
            <w:pPr>
              <w:spacing w:before="0" w:after="0" w:line="240" w:lineRule="auto"/>
              <w:jc w:val="center"/>
            </w:pPr>
            <w:r>
              <w:rPr>
                <w:b w:val="0"/>
                <w:sz w:val="10"/>
              </w:rPr>
              <w:t>22-22</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metref</w:t>
            </w:r>
          </w:p>
        </w:tc>
        <w:tc>
          <w:tcPr>
            <w:tcW w:type="dxa" w:w="1426"/>
            <w:vAlign w:val="center"/>
          </w:tcPr>
          <w:p>
            <w:pPr>
              <w:spacing w:before="0" w:after="0" w:line="240" w:lineRule="auto"/>
              <w:jc w:val="center"/>
            </w:pPr>
            <w:r>
              <w:rPr>
                <w:b w:val="0"/>
                <w:sz w:val="10"/>
              </w:rPr>
              <w:t>OPLS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0.756497 (0.0245)</w:t>
            </w:r>
          </w:p>
        </w:tc>
        <w:tc>
          <w:tcPr>
            <w:tcW w:type="dxa" w:w="1426"/>
            <w:vAlign w:val="center"/>
          </w:tcPr>
          <w:p>
            <w:pPr>
              <w:spacing w:before="0" w:after="0" w:line="240" w:lineRule="auto"/>
              <w:jc w:val="center"/>
            </w:pPr>
            <w:r>
              <w:rPr>
                <w:b w:val="0"/>
                <w:sz w:val="10"/>
              </w:rPr>
              <w:t>0.71822-0.792797</w:t>
            </w:r>
          </w:p>
        </w:tc>
        <w:tc>
          <w:tcPr>
            <w:tcW w:type="dxa" w:w="1426"/>
            <w:vAlign w:val="center"/>
          </w:tcPr>
          <w:p>
            <w:pPr>
              <w:spacing w:before="0" w:after="0" w:line="240" w:lineRule="auto"/>
              <w:jc w:val="center"/>
            </w:pPr>
            <w:r>
              <w:rPr>
                <w:b w:val="0"/>
                <w:sz w:val="10"/>
              </w:rPr>
              <w:t>22-22</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metref</w:t>
            </w:r>
          </w:p>
        </w:tc>
        <w:tc>
          <w:tcPr>
            <w:tcW w:type="dxa" w:w="1426"/>
            <w:vAlign w:val="center"/>
          </w:tcPr>
          <w:p>
            <w:pPr>
              <w:spacing w:before="0" w:after="0" w:line="240" w:lineRule="auto"/>
              <w:jc w:val="center"/>
            </w:pPr>
            <w:r>
              <w:rPr>
                <w:b w:val="0"/>
                <w:sz w:val="10"/>
              </w:rPr>
              <w:t>OPLS</w:t>
            </w:r>
          </w:p>
        </w:tc>
        <w:tc>
          <w:tcPr>
            <w:tcW w:type="dxa" w:w="1426"/>
            <w:vAlign w:val="center"/>
          </w:tcPr>
          <w:p>
            <w:pPr>
              <w:spacing w:before="0" w:after="0" w:line="240" w:lineRule="auto"/>
              <w:jc w:val="center"/>
            </w:pPr>
            <w:r>
              <w:rPr>
                <w:b w:val="0"/>
                <w:sz w:val="10"/>
              </w:rPr>
              <w:t>lda</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0.863842 (0.033)</w:t>
            </w:r>
          </w:p>
        </w:tc>
        <w:tc>
          <w:tcPr>
            <w:tcW w:type="dxa" w:w="1426"/>
            <w:vAlign w:val="center"/>
          </w:tcPr>
          <w:p>
            <w:pPr>
              <w:spacing w:before="0" w:after="0" w:line="240" w:lineRule="auto"/>
              <w:jc w:val="center"/>
            </w:pPr>
            <w:r>
              <w:rPr>
                <w:b w:val="0"/>
                <w:sz w:val="10"/>
              </w:rPr>
              <w:t>0.813559-0.901412</w:t>
            </w:r>
          </w:p>
        </w:tc>
        <w:tc>
          <w:tcPr>
            <w:tcW w:type="dxa" w:w="1426"/>
            <w:vAlign w:val="center"/>
          </w:tcPr>
          <w:p>
            <w:pPr>
              <w:spacing w:before="0" w:after="0" w:line="240" w:lineRule="auto"/>
              <w:jc w:val="center"/>
            </w:pPr>
            <w:r>
              <w:rPr>
                <w:b w:val="0"/>
                <w:sz w:val="10"/>
              </w:rPr>
              <w:t>22-22</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metref</w:t>
            </w:r>
          </w:p>
        </w:tc>
        <w:tc>
          <w:tcPr>
            <w:tcW w:type="dxa" w:w="1426"/>
            <w:vAlign w:val="center"/>
          </w:tcPr>
          <w:p>
            <w:pPr>
              <w:spacing w:before="0" w:after="0" w:line="240" w:lineRule="auto"/>
              <w:jc w:val="center"/>
            </w:pPr>
            <w:r>
              <w:rPr>
                <w:b w:val="0"/>
                <w:sz w:val="10"/>
              </w:rPr>
              <w:t>PLS-SVD</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0.742938 (0.0222)</w:t>
            </w:r>
          </w:p>
        </w:tc>
        <w:tc>
          <w:tcPr>
            <w:tcW w:type="dxa" w:w="1426"/>
            <w:vAlign w:val="center"/>
          </w:tcPr>
          <w:p>
            <w:pPr>
              <w:spacing w:before="0" w:after="0" w:line="240" w:lineRule="auto"/>
              <w:jc w:val="center"/>
            </w:pPr>
            <w:r>
              <w:rPr>
                <w:b w:val="0"/>
                <w:sz w:val="10"/>
              </w:rPr>
              <w:t>0.713136-0.77274</w:t>
            </w:r>
          </w:p>
        </w:tc>
        <w:tc>
          <w:tcPr>
            <w:tcW w:type="dxa" w:w="1426"/>
            <w:vAlign w:val="center"/>
          </w:tcPr>
          <w:p>
            <w:pPr>
              <w:spacing w:before="0" w:after="0" w:line="240" w:lineRule="auto"/>
              <w:jc w:val="center"/>
            </w:pPr>
            <w:r>
              <w:rPr>
                <w:b w:val="0"/>
                <w:sz w:val="10"/>
              </w:rPr>
              <w:t>20-21</w:t>
            </w:r>
          </w:p>
        </w:tc>
        <w:tc>
          <w:tcPr>
            <w:tcW w:type="dxa" w:w="1426"/>
            <w:vAlign w:val="center"/>
          </w:tcPr>
          <w:p>
            <w:pPr>
              <w:spacing w:before="0" w:after="0" w:line="240" w:lineRule="auto"/>
              <w:jc w:val="center"/>
            </w:pPr>
            <w:r>
              <w:rPr>
                <w:b w:val="0"/>
                <w:sz w:val="10"/>
              </w:rPr>
              <w:t>0.80</w:t>
            </w:r>
          </w:p>
        </w:tc>
        <w:tc>
          <w:tcPr>
            <w:tcW w:type="dxa" w:w="1426"/>
            <w:vAlign w:val="center"/>
          </w:tcPr>
          <w:p>
            <w:pPr>
              <w:spacing w:before="0" w:after="0" w:line="240" w:lineRule="auto"/>
              <w:jc w:val="center"/>
            </w:pPr>
            <w:r>
              <w:rPr>
                <w:b w:val="0"/>
                <w:sz w:val="10"/>
              </w:rPr>
              <w:t>rank constrained</w:t>
            </w:r>
          </w:p>
        </w:tc>
      </w:tr>
      <w:tr>
        <w:trPr>
          <w:cantSplit/>
        </w:trPr>
        <w:tc>
          <w:tcPr>
            <w:tcW w:type="dxa" w:w="1426"/>
            <w:vAlign w:val="center"/>
          </w:tcPr>
          <w:p>
            <w:pPr>
              <w:spacing w:before="0" w:after="0" w:line="240" w:lineRule="auto"/>
              <w:jc w:val="left"/>
            </w:pPr>
            <w:r>
              <w:rPr>
                <w:b w:val="0"/>
                <w:sz w:val="10"/>
              </w:rPr>
              <w:t>metref</w:t>
            </w:r>
          </w:p>
        </w:tc>
        <w:tc>
          <w:tcPr>
            <w:tcW w:type="dxa" w:w="1426"/>
            <w:vAlign w:val="center"/>
          </w:tcPr>
          <w:p>
            <w:pPr>
              <w:spacing w:before="0" w:after="0" w:line="240" w:lineRule="auto"/>
              <w:jc w:val="center"/>
            </w:pPr>
            <w:r>
              <w:rPr>
                <w:b w:val="0"/>
                <w:sz w:val="10"/>
              </w:rPr>
              <w:t>PLS-SVD</w:t>
            </w:r>
          </w:p>
        </w:tc>
        <w:tc>
          <w:tcPr>
            <w:tcW w:type="dxa" w:w="1426"/>
            <w:vAlign w:val="center"/>
          </w:tcPr>
          <w:p>
            <w:pPr>
              <w:spacing w:before="0" w:after="0" w:line="240" w:lineRule="auto"/>
              <w:jc w:val="center"/>
            </w:pPr>
            <w:r>
              <w:rPr>
                <w:b w:val="0"/>
                <w:sz w:val="10"/>
              </w:rPr>
              <w:t>lda</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0.821469 (0.0269)</w:t>
            </w:r>
          </w:p>
        </w:tc>
        <w:tc>
          <w:tcPr>
            <w:tcW w:type="dxa" w:w="1426"/>
            <w:vAlign w:val="center"/>
          </w:tcPr>
          <w:p>
            <w:pPr>
              <w:spacing w:before="0" w:after="0" w:line="240" w:lineRule="auto"/>
              <w:jc w:val="center"/>
            </w:pPr>
            <w:r>
              <w:rPr>
                <w:b w:val="0"/>
                <w:sz w:val="10"/>
              </w:rPr>
              <w:t>0.76596-0.846186</w:t>
            </w:r>
          </w:p>
        </w:tc>
        <w:tc>
          <w:tcPr>
            <w:tcW w:type="dxa" w:w="1426"/>
            <w:vAlign w:val="center"/>
          </w:tcPr>
          <w:p>
            <w:pPr>
              <w:spacing w:before="0" w:after="0" w:line="240" w:lineRule="auto"/>
              <w:jc w:val="center"/>
            </w:pPr>
            <w:r>
              <w:rPr>
                <w:b w:val="0"/>
                <w:sz w:val="10"/>
              </w:rPr>
              <w:t>21-21</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t>rank constrained</w:t>
            </w:r>
          </w:p>
        </w:tc>
      </w:tr>
      <w:tr>
        <w:trPr>
          <w:cantSplit/>
        </w:trPr>
        <w:tc>
          <w:tcPr>
            <w:tcW w:type="dxa" w:w="1426"/>
            <w:vAlign w:val="center"/>
          </w:tcPr>
          <w:p>
            <w:pPr>
              <w:spacing w:before="0" w:after="0" w:line="240" w:lineRule="auto"/>
              <w:jc w:val="left"/>
            </w:pPr>
            <w:r>
              <w:rPr>
                <w:b w:val="0"/>
                <w:sz w:val="10"/>
              </w:rPr>
              <w:t>metref</w:t>
            </w:r>
          </w:p>
        </w:tc>
        <w:tc>
          <w:tcPr>
            <w:tcW w:type="dxa" w:w="1426"/>
            <w:vAlign w:val="center"/>
          </w:tcPr>
          <w:p>
            <w:pPr>
              <w:spacing w:before="0" w:after="0" w:line="240" w:lineRule="auto"/>
              <w:jc w:val="center"/>
            </w:pPr>
            <w:r>
              <w:rPr>
                <w:b w:val="0"/>
                <w:sz w:val="10"/>
              </w:rPr>
              <w:t>SIMPLS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0.748023 (0.0269)</w:t>
            </w:r>
          </w:p>
        </w:tc>
        <w:tc>
          <w:tcPr>
            <w:tcW w:type="dxa" w:w="1426"/>
            <w:vAlign w:val="center"/>
          </w:tcPr>
          <w:p>
            <w:pPr>
              <w:spacing w:before="0" w:after="0" w:line="240" w:lineRule="auto"/>
              <w:jc w:val="center"/>
            </w:pPr>
            <w:r>
              <w:rPr>
                <w:b w:val="0"/>
                <w:sz w:val="10"/>
              </w:rPr>
              <w:t>0.706921-0.789689</w:t>
            </w:r>
          </w:p>
        </w:tc>
        <w:tc>
          <w:tcPr>
            <w:tcW w:type="dxa" w:w="1426"/>
            <w:vAlign w:val="center"/>
          </w:tcPr>
          <w:p>
            <w:pPr>
              <w:spacing w:before="0" w:after="0" w:line="240" w:lineRule="auto"/>
              <w:jc w:val="center"/>
            </w:pPr>
            <w:r>
              <w:rPr>
                <w:b w:val="0"/>
                <w:sz w:val="10"/>
              </w:rPr>
              <w:t>22-22</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metref</w:t>
            </w:r>
          </w:p>
        </w:tc>
        <w:tc>
          <w:tcPr>
            <w:tcW w:type="dxa" w:w="1426"/>
            <w:vAlign w:val="center"/>
          </w:tcPr>
          <w:p>
            <w:pPr>
              <w:spacing w:before="0" w:after="0" w:line="240" w:lineRule="auto"/>
              <w:jc w:val="center"/>
            </w:pPr>
            <w:r>
              <w:rPr>
                <w:b w:val="0"/>
                <w:sz w:val="10"/>
              </w:rPr>
              <w:t>SIMPLS</w:t>
            </w:r>
          </w:p>
        </w:tc>
        <w:tc>
          <w:tcPr>
            <w:tcW w:type="dxa" w:w="1426"/>
            <w:vAlign w:val="center"/>
          </w:tcPr>
          <w:p>
            <w:pPr>
              <w:spacing w:before="0" w:after="0" w:line="240" w:lineRule="auto"/>
              <w:jc w:val="center"/>
            </w:pPr>
            <w:r>
              <w:rPr>
                <w:b w:val="0"/>
                <w:sz w:val="10"/>
              </w:rPr>
              <w:t>lda</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0.858757 (0.0341)</w:t>
            </w:r>
          </w:p>
        </w:tc>
        <w:tc>
          <w:tcPr>
            <w:tcW w:type="dxa" w:w="1426"/>
            <w:vAlign w:val="center"/>
          </w:tcPr>
          <w:p>
            <w:pPr>
              <w:spacing w:before="0" w:after="0" w:line="240" w:lineRule="auto"/>
              <w:jc w:val="center"/>
            </w:pPr>
            <w:r>
              <w:rPr>
                <w:b w:val="0"/>
                <w:sz w:val="10"/>
              </w:rPr>
              <w:t>0.792938-0.900141</w:t>
            </w:r>
          </w:p>
        </w:tc>
        <w:tc>
          <w:tcPr>
            <w:tcW w:type="dxa" w:w="1426"/>
            <w:vAlign w:val="center"/>
          </w:tcPr>
          <w:p>
            <w:pPr>
              <w:spacing w:before="0" w:after="0" w:line="240" w:lineRule="auto"/>
              <w:jc w:val="center"/>
            </w:pPr>
            <w:r>
              <w:rPr>
                <w:b w:val="0"/>
                <w:sz w:val="10"/>
              </w:rPr>
              <w:t>22-22</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nmr</w:t>
            </w:r>
          </w:p>
        </w:tc>
        <w:tc>
          <w:tcPr>
            <w:tcW w:type="dxa" w:w="1426"/>
            <w:vAlign w:val="center"/>
          </w:tcPr>
          <w:p>
            <w:pPr>
              <w:spacing w:before="0" w:after="0" w:line="240" w:lineRule="auto"/>
              <w:jc w:val="center"/>
            </w:pPr>
            <w:r>
              <w:rPr>
                <w:b w:val="0"/>
                <w:sz w:val="10"/>
              </w:rPr>
              <w:t>PLS-SVD</w:t>
            </w:r>
          </w:p>
        </w:tc>
        <w:tc>
          <w:tcPr>
            <w:tcW w:type="dxa" w:w="1426"/>
            <w:vAlign w:val="center"/>
          </w:tcPr>
          <w:p>
            <w:pPr>
              <w:spacing w:before="0" w:after="0" w:line="240" w:lineRule="auto"/>
              <w:jc w:val="center"/>
            </w:pPr>
            <w:r>
              <w:rPr>
                <w:b w:val="0"/>
                <w:sz w:val="10"/>
              </w:rPr>
              <w:t>regression</w:t>
            </w:r>
          </w:p>
        </w:tc>
        <w:tc>
          <w:tcPr>
            <w:tcW w:type="dxa" w:w="1426"/>
            <w:vAlign w:val="center"/>
          </w:tcPr>
          <w:p>
            <w:pPr>
              <w:spacing w:before="0" w:after="0" w:line="240" w:lineRule="auto"/>
              <w:jc w:val="center"/>
            </w:pPr>
            <w:r>
              <w:rPr>
                <w:b w:val="0"/>
                <w:sz w:val="10"/>
              </w:rPr>
              <w:t>5</w:t>
            </w:r>
          </w:p>
        </w:tc>
        <w:tc>
          <w:tcPr>
            <w:tcW w:type="dxa" w:w="1426"/>
            <w:vAlign w:val="center"/>
          </w:tcPr>
          <w:p>
            <w:pPr>
              <w:spacing w:before="0" w:after="0" w:line="240" w:lineRule="auto"/>
              <w:jc w:val="center"/>
            </w:pPr>
            <w:r>
              <w:rPr>
                <w:b w:val="0"/>
                <w:sz w:val="10"/>
              </w:rPr>
              <w:t>RMSD</w:t>
            </w:r>
          </w:p>
        </w:tc>
        <w:tc>
          <w:tcPr>
            <w:tcW w:type="dxa" w:w="1426"/>
            <w:vAlign w:val="center"/>
          </w:tcPr>
          <w:p>
            <w:pPr>
              <w:spacing w:before="0" w:after="0" w:line="240" w:lineRule="auto"/>
              <w:jc w:val="center"/>
            </w:pPr>
            <w:r>
              <w:rPr>
                <w:b w:val="0"/>
                <w:sz w:val="10"/>
              </w:rPr>
              <w:t>0.000798261 (7.43e-05)</w:t>
            </w:r>
          </w:p>
        </w:tc>
        <w:tc>
          <w:tcPr>
            <w:tcW w:type="dxa" w:w="1426"/>
            <w:vAlign w:val="center"/>
          </w:tcPr>
          <w:p>
            <w:pPr>
              <w:spacing w:before="0" w:after="0" w:line="240" w:lineRule="auto"/>
              <w:jc w:val="center"/>
            </w:pPr>
            <w:r>
              <w:rPr>
                <w:b w:val="0"/>
                <w:sz w:val="10"/>
              </w:rPr>
              <w:t>0.000711782-0.0008999</w:t>
            </w:r>
          </w:p>
        </w:tc>
        <w:tc>
          <w:tcPr>
            <w:tcW w:type="dxa" w:w="1426"/>
            <w:vAlign w:val="center"/>
          </w:tcPr>
          <w:p>
            <w:pPr>
              <w:spacing w:before="0" w:after="0" w:line="240" w:lineRule="auto"/>
              <w:jc w:val="center"/>
            </w:pPr>
            <w:r>
              <w:rPr>
                <w:b w:val="0"/>
                <w:sz w:val="10"/>
              </w:rPr>
              <w:t>50-100</w:t>
            </w:r>
          </w:p>
        </w:tc>
        <w:tc>
          <w:tcPr>
            <w:tcW w:type="dxa" w:w="1426"/>
            <w:vAlign w:val="center"/>
          </w:tcPr>
          <w:p>
            <w:pPr>
              <w:spacing w:before="0" w:after="0" w:line="240" w:lineRule="auto"/>
              <w:jc w:val="center"/>
            </w:pPr>
            <w:r>
              <w:rPr>
                <w:b w:val="0"/>
                <w:sz w:val="10"/>
              </w:rPr>
              <w:t>0.20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nmr</w:t>
            </w:r>
          </w:p>
        </w:tc>
        <w:tc>
          <w:tcPr>
            <w:tcW w:type="dxa" w:w="1426"/>
            <w:vAlign w:val="center"/>
          </w:tcPr>
          <w:p>
            <w:pPr>
              <w:spacing w:before="0" w:after="0" w:line="240" w:lineRule="auto"/>
              <w:jc w:val="center"/>
            </w:pPr>
            <w:r>
              <w:rPr>
                <w:b w:val="0"/>
                <w:sz w:val="10"/>
              </w:rPr>
              <w:t>SIMPLS</w:t>
            </w:r>
          </w:p>
        </w:tc>
        <w:tc>
          <w:tcPr>
            <w:tcW w:type="dxa" w:w="1426"/>
            <w:vAlign w:val="center"/>
          </w:tcPr>
          <w:p>
            <w:pPr>
              <w:spacing w:before="0" w:after="0" w:line="240" w:lineRule="auto"/>
              <w:jc w:val="center"/>
            </w:pPr>
            <w:r>
              <w:rPr>
                <w:b w:val="0"/>
                <w:sz w:val="10"/>
              </w:rPr>
              <w:t>regression</w:t>
            </w:r>
          </w:p>
        </w:tc>
        <w:tc>
          <w:tcPr>
            <w:tcW w:type="dxa" w:w="1426"/>
            <w:vAlign w:val="center"/>
          </w:tcPr>
          <w:p>
            <w:pPr>
              <w:spacing w:before="0" w:after="0" w:line="240" w:lineRule="auto"/>
              <w:jc w:val="center"/>
            </w:pPr>
            <w:r>
              <w:rPr>
                <w:b w:val="0"/>
                <w:sz w:val="10"/>
              </w:rPr>
              <w:t>5</w:t>
            </w:r>
          </w:p>
        </w:tc>
        <w:tc>
          <w:tcPr>
            <w:tcW w:type="dxa" w:w="1426"/>
            <w:vAlign w:val="center"/>
          </w:tcPr>
          <w:p>
            <w:pPr>
              <w:spacing w:before="0" w:after="0" w:line="240" w:lineRule="auto"/>
              <w:jc w:val="center"/>
            </w:pPr>
            <w:r>
              <w:rPr>
                <w:b w:val="0"/>
                <w:sz w:val="10"/>
              </w:rPr>
              <w:t>RMSD</w:t>
            </w:r>
          </w:p>
        </w:tc>
        <w:tc>
          <w:tcPr>
            <w:tcW w:type="dxa" w:w="1426"/>
            <w:vAlign w:val="center"/>
          </w:tcPr>
          <w:p>
            <w:pPr>
              <w:spacing w:before="0" w:after="0" w:line="240" w:lineRule="auto"/>
              <w:jc w:val="center"/>
            </w:pPr>
            <w:r>
              <w:rPr>
                <w:b w:val="0"/>
                <w:sz w:val="10"/>
              </w:rPr>
              <w:t>0.000773708 (5.63e-05)</w:t>
            </w:r>
          </w:p>
        </w:tc>
        <w:tc>
          <w:tcPr>
            <w:tcW w:type="dxa" w:w="1426"/>
            <w:vAlign w:val="center"/>
          </w:tcPr>
          <w:p>
            <w:pPr>
              <w:spacing w:before="0" w:after="0" w:line="240" w:lineRule="auto"/>
              <w:jc w:val="center"/>
            </w:pPr>
            <w:r>
              <w:rPr>
                <w:b w:val="0"/>
                <w:sz w:val="10"/>
              </w:rPr>
              <w:t>0.000701997-0.000845392</w:t>
            </w:r>
          </w:p>
        </w:tc>
        <w:tc>
          <w:tcPr>
            <w:tcW w:type="dxa" w:w="1426"/>
            <w:vAlign w:val="center"/>
          </w:tcPr>
          <w:p>
            <w:pPr>
              <w:spacing w:before="0" w:after="0" w:line="240" w:lineRule="auto"/>
              <w:jc w:val="center"/>
            </w:pPr>
            <w:r>
              <w:rPr>
                <w:b w:val="0"/>
                <w:sz w:val="10"/>
              </w:rPr>
              <w:t>50-50</w:t>
            </w:r>
          </w:p>
        </w:tc>
        <w:tc>
          <w:tcPr>
            <w:tcW w:type="dxa" w:w="1426"/>
            <w:vAlign w:val="center"/>
          </w:tcPr>
          <w:p>
            <w:pPr>
              <w:spacing w:before="0" w:after="0" w:line="240" w:lineRule="auto"/>
              <w:jc w:val="center"/>
            </w:pPr>
            <w:r>
              <w:rPr>
                <w:b w:val="0"/>
                <w:sz w:val="10"/>
              </w:rPr>
              <w:t>0.00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retina</w:t>
            </w:r>
          </w:p>
        </w:tc>
        <w:tc>
          <w:tcPr>
            <w:tcW w:type="dxa" w:w="1426"/>
            <w:vAlign w:val="center"/>
          </w:tcPr>
          <w:p>
            <w:pPr>
              <w:spacing w:before="0" w:after="0" w:line="240" w:lineRule="auto"/>
              <w:jc w:val="center"/>
            </w:pPr>
            <w:r>
              <w:rPr>
                <w:b w:val="0"/>
                <w:sz w:val="10"/>
              </w:rPr>
              <w:t>kernel 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0.96799 (0.00151)</w:t>
            </w:r>
          </w:p>
        </w:tc>
        <w:tc>
          <w:tcPr>
            <w:tcW w:type="dxa" w:w="1426"/>
            <w:vAlign w:val="center"/>
          </w:tcPr>
          <w:p>
            <w:pPr>
              <w:spacing w:before="0" w:after="0" w:line="240" w:lineRule="auto"/>
              <w:jc w:val="center"/>
            </w:pPr>
            <w:r>
              <w:rPr>
                <w:b w:val="0"/>
                <w:sz w:val="10"/>
              </w:rPr>
              <w:t>0.965369-0.970341</w:t>
            </w:r>
          </w:p>
        </w:tc>
        <w:tc>
          <w:tcPr>
            <w:tcW w:type="dxa" w:w="1426"/>
            <w:vAlign w:val="center"/>
          </w:tcPr>
          <w:p>
            <w:pPr>
              <w:spacing w:before="0" w:after="0" w:line="240" w:lineRule="auto"/>
              <w:jc w:val="center"/>
            </w:pPr>
            <w:r>
              <w:rPr>
                <w:b w:val="0"/>
                <w:sz w:val="10"/>
              </w:rPr>
              <w:t>20-50</w:t>
            </w:r>
          </w:p>
        </w:tc>
        <w:tc>
          <w:tcPr>
            <w:tcW w:type="dxa" w:w="1426"/>
            <w:vAlign w:val="center"/>
          </w:tcPr>
          <w:p>
            <w:pPr>
              <w:spacing w:before="0" w:after="0" w:line="240" w:lineRule="auto"/>
              <w:jc w:val="center"/>
            </w:pPr>
            <w:r>
              <w:rPr>
                <w:b w:val="0"/>
                <w:sz w:val="10"/>
              </w:rPr>
              <w:t>0.10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retina</w:t>
            </w:r>
          </w:p>
        </w:tc>
        <w:tc>
          <w:tcPr>
            <w:tcW w:type="dxa" w:w="1426"/>
            <w:vAlign w:val="center"/>
          </w:tcPr>
          <w:p>
            <w:pPr>
              <w:spacing w:before="0" w:after="0" w:line="240" w:lineRule="auto"/>
              <w:jc w:val="center"/>
            </w:pPr>
            <w:r>
              <w:rPr>
                <w:b w:val="0"/>
                <w:sz w:val="10"/>
              </w:rPr>
              <w:t>kernel PLS</w:t>
            </w:r>
          </w:p>
        </w:tc>
        <w:tc>
          <w:tcPr>
            <w:tcW w:type="dxa" w:w="1426"/>
            <w:vAlign w:val="center"/>
          </w:tcPr>
          <w:p>
            <w:pPr>
              <w:spacing w:before="0" w:after="0" w:line="240" w:lineRule="auto"/>
              <w:jc w:val="center"/>
            </w:pPr>
            <w:r>
              <w:rPr>
                <w:b w:val="0"/>
                <w:sz w:val="10"/>
              </w:rPr>
              <w:t>lda</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0.968737 (0.00152)</w:t>
            </w:r>
          </w:p>
        </w:tc>
        <w:tc>
          <w:tcPr>
            <w:tcW w:type="dxa" w:w="1426"/>
            <w:vAlign w:val="center"/>
          </w:tcPr>
          <w:p>
            <w:pPr>
              <w:spacing w:before="0" w:after="0" w:line="240" w:lineRule="auto"/>
              <w:jc w:val="center"/>
            </w:pPr>
            <w:r>
              <w:rPr>
                <w:b w:val="0"/>
                <w:sz w:val="10"/>
              </w:rPr>
              <w:t>0.965966-0.970937</w:t>
            </w:r>
          </w:p>
        </w:tc>
        <w:tc>
          <w:tcPr>
            <w:tcW w:type="dxa" w:w="1426"/>
            <w:vAlign w:val="center"/>
          </w:tcPr>
          <w:p>
            <w:pPr>
              <w:spacing w:before="0" w:after="0" w:line="240" w:lineRule="auto"/>
              <w:jc w:val="center"/>
            </w:pPr>
            <w:r>
              <w:rPr>
                <w:b w:val="0"/>
                <w:sz w:val="10"/>
              </w:rPr>
              <w:t>20-50</w:t>
            </w:r>
          </w:p>
        </w:tc>
        <w:tc>
          <w:tcPr>
            <w:tcW w:type="dxa" w:w="1426"/>
            <w:vAlign w:val="center"/>
          </w:tcPr>
          <w:p>
            <w:pPr>
              <w:spacing w:before="0" w:after="0" w:line="240" w:lineRule="auto"/>
              <w:jc w:val="center"/>
            </w:pPr>
            <w:r>
              <w:rPr>
                <w:b w:val="0"/>
                <w:sz w:val="10"/>
              </w:rPr>
              <w:t>0.10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retina</w:t>
            </w:r>
          </w:p>
        </w:tc>
        <w:tc>
          <w:tcPr>
            <w:tcW w:type="dxa" w:w="1426"/>
            <w:vAlign w:val="center"/>
          </w:tcPr>
          <w:p>
            <w:pPr>
              <w:spacing w:before="0" w:after="0" w:line="240" w:lineRule="auto"/>
              <w:jc w:val="center"/>
            </w:pPr>
            <w:r>
              <w:rPr>
                <w:b w:val="0"/>
                <w:sz w:val="10"/>
              </w:rPr>
              <w:t>OPLS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0.951283 (0.00211)</w:t>
            </w:r>
          </w:p>
        </w:tc>
        <w:tc>
          <w:tcPr>
            <w:tcW w:type="dxa" w:w="1426"/>
            <w:vAlign w:val="center"/>
          </w:tcPr>
          <w:p>
            <w:pPr>
              <w:spacing w:before="0" w:after="0" w:line="240" w:lineRule="auto"/>
              <w:jc w:val="center"/>
            </w:pPr>
            <w:r>
              <w:rPr>
                <w:b w:val="0"/>
                <w:sz w:val="10"/>
              </w:rPr>
              <w:t>0.947217-0.953131</w:t>
            </w:r>
          </w:p>
        </w:tc>
        <w:tc>
          <w:tcPr>
            <w:tcW w:type="dxa" w:w="1426"/>
            <w:vAlign w:val="center"/>
          </w:tcPr>
          <w:p>
            <w:pPr>
              <w:spacing w:before="0" w:after="0" w:line="240" w:lineRule="auto"/>
              <w:jc w:val="center"/>
            </w:pPr>
            <w:r>
              <w:rPr>
                <w:b w:val="0"/>
                <w:sz w:val="10"/>
              </w:rPr>
              <w:t>30-40</w:t>
            </w:r>
          </w:p>
        </w:tc>
        <w:tc>
          <w:tcPr>
            <w:tcW w:type="dxa" w:w="1426"/>
            <w:vAlign w:val="center"/>
          </w:tcPr>
          <w:p>
            <w:pPr>
              <w:spacing w:before="0" w:after="0" w:line="240" w:lineRule="auto"/>
              <w:jc w:val="center"/>
            </w:pPr>
            <w:r>
              <w:rPr>
                <w:b w:val="0"/>
                <w:sz w:val="10"/>
              </w:rPr>
              <w:t>0.00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retina</w:t>
            </w:r>
          </w:p>
        </w:tc>
        <w:tc>
          <w:tcPr>
            <w:tcW w:type="dxa" w:w="1426"/>
            <w:vAlign w:val="center"/>
          </w:tcPr>
          <w:p>
            <w:pPr>
              <w:spacing w:before="0" w:after="0" w:line="240" w:lineRule="auto"/>
              <w:jc w:val="center"/>
            </w:pPr>
            <w:r>
              <w:rPr>
                <w:b w:val="0"/>
                <w:sz w:val="10"/>
              </w:rPr>
              <w:t>OPLS</w:t>
            </w:r>
          </w:p>
        </w:tc>
        <w:tc>
          <w:tcPr>
            <w:tcW w:type="dxa" w:w="1426"/>
            <w:vAlign w:val="center"/>
          </w:tcPr>
          <w:p>
            <w:pPr>
              <w:spacing w:before="0" w:after="0" w:line="240" w:lineRule="auto"/>
              <w:jc w:val="center"/>
            </w:pPr>
            <w:r>
              <w:rPr>
                <w:b w:val="0"/>
                <w:sz w:val="10"/>
              </w:rPr>
              <w:t>lda</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0.967143 (0.00152)</w:t>
            </w:r>
          </w:p>
        </w:tc>
        <w:tc>
          <w:tcPr>
            <w:tcW w:type="dxa" w:w="1426"/>
            <w:vAlign w:val="center"/>
          </w:tcPr>
          <w:p>
            <w:pPr>
              <w:spacing w:before="0" w:after="0" w:line="240" w:lineRule="auto"/>
              <w:jc w:val="center"/>
            </w:pPr>
            <w:r>
              <w:rPr>
                <w:b w:val="0"/>
                <w:sz w:val="10"/>
              </w:rPr>
              <w:t>0.964131-0.96898</w:t>
            </w:r>
          </w:p>
        </w:tc>
        <w:tc>
          <w:tcPr>
            <w:tcW w:type="dxa" w:w="1426"/>
            <w:vAlign w:val="center"/>
          </w:tcPr>
          <w:p>
            <w:pPr>
              <w:spacing w:before="0" w:after="0" w:line="240" w:lineRule="auto"/>
              <w:jc w:val="center"/>
            </w:pPr>
            <w:r>
              <w:rPr>
                <w:b w:val="0"/>
                <w:sz w:val="10"/>
              </w:rPr>
              <w:t>30-50</w:t>
            </w:r>
          </w:p>
        </w:tc>
        <w:tc>
          <w:tcPr>
            <w:tcW w:type="dxa" w:w="1426"/>
            <w:vAlign w:val="center"/>
          </w:tcPr>
          <w:p>
            <w:pPr>
              <w:spacing w:before="0" w:after="0" w:line="240" w:lineRule="auto"/>
              <w:jc w:val="center"/>
            </w:pPr>
            <w:r>
              <w:rPr>
                <w:b w:val="0"/>
                <w:sz w:val="10"/>
              </w:rPr>
              <w:t>0.10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retina</w:t>
            </w:r>
          </w:p>
        </w:tc>
        <w:tc>
          <w:tcPr>
            <w:tcW w:type="dxa" w:w="1426"/>
            <w:vAlign w:val="center"/>
          </w:tcPr>
          <w:p>
            <w:pPr>
              <w:spacing w:before="0" w:after="0" w:line="240" w:lineRule="auto"/>
              <w:jc w:val="center"/>
            </w:pPr>
            <w:r>
              <w:rPr>
                <w:b w:val="0"/>
                <w:sz w:val="10"/>
              </w:rPr>
              <w:t>PLS-SVD</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0.926266 (0.0022)</w:t>
            </w:r>
          </w:p>
        </w:tc>
        <w:tc>
          <w:tcPr>
            <w:tcW w:type="dxa" w:w="1426"/>
            <w:vAlign w:val="center"/>
          </w:tcPr>
          <w:p>
            <w:pPr>
              <w:spacing w:before="0" w:after="0" w:line="240" w:lineRule="auto"/>
              <w:jc w:val="center"/>
            </w:pPr>
            <w:r>
              <w:rPr>
                <w:b w:val="0"/>
                <w:sz w:val="10"/>
              </w:rPr>
              <w:t>0.923146-0.930036</w:t>
            </w:r>
          </w:p>
        </w:tc>
        <w:tc>
          <w:tcPr>
            <w:tcW w:type="dxa" w:w="1426"/>
            <w:vAlign w:val="center"/>
          </w:tcPr>
          <w:p>
            <w:pPr>
              <w:spacing w:before="0" w:after="0" w:line="240" w:lineRule="auto"/>
              <w:jc w:val="center"/>
            </w:pPr>
            <w:r>
              <w:rPr>
                <w:b w:val="0"/>
                <w:sz w:val="10"/>
              </w:rPr>
              <w:t>11-11</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t>rank constrained</w:t>
            </w:r>
          </w:p>
        </w:tc>
      </w:tr>
      <w:tr>
        <w:trPr>
          <w:cantSplit/>
        </w:trPr>
        <w:tc>
          <w:tcPr>
            <w:tcW w:type="dxa" w:w="1426"/>
            <w:vAlign w:val="center"/>
          </w:tcPr>
          <w:p>
            <w:pPr>
              <w:spacing w:before="0" w:after="0" w:line="240" w:lineRule="auto"/>
              <w:jc w:val="left"/>
            </w:pPr>
            <w:r>
              <w:rPr>
                <w:b w:val="0"/>
                <w:sz w:val="10"/>
              </w:rPr>
              <w:t>retina</w:t>
            </w:r>
          </w:p>
        </w:tc>
        <w:tc>
          <w:tcPr>
            <w:tcW w:type="dxa" w:w="1426"/>
            <w:vAlign w:val="center"/>
          </w:tcPr>
          <w:p>
            <w:pPr>
              <w:spacing w:before="0" w:after="0" w:line="240" w:lineRule="auto"/>
              <w:jc w:val="center"/>
            </w:pPr>
            <w:r>
              <w:rPr>
                <w:b w:val="0"/>
                <w:sz w:val="10"/>
              </w:rPr>
              <w:t>PLS-SVD</w:t>
            </w:r>
          </w:p>
        </w:tc>
        <w:tc>
          <w:tcPr>
            <w:tcW w:type="dxa" w:w="1426"/>
            <w:vAlign w:val="center"/>
          </w:tcPr>
          <w:p>
            <w:pPr>
              <w:spacing w:before="0" w:after="0" w:line="240" w:lineRule="auto"/>
              <w:jc w:val="center"/>
            </w:pPr>
            <w:r>
              <w:rPr>
                <w:b w:val="0"/>
                <w:sz w:val="10"/>
              </w:rPr>
              <w:t>lda</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0.947457 (0.00204)</w:t>
            </w:r>
          </w:p>
        </w:tc>
        <w:tc>
          <w:tcPr>
            <w:tcW w:type="dxa" w:w="1426"/>
            <w:vAlign w:val="center"/>
          </w:tcPr>
          <w:p>
            <w:pPr>
              <w:spacing w:before="0" w:after="0" w:line="240" w:lineRule="auto"/>
              <w:jc w:val="center"/>
            </w:pPr>
            <w:r>
              <w:rPr>
                <w:b w:val="0"/>
                <w:sz w:val="10"/>
              </w:rPr>
              <w:t>0.944398-0.950206</w:t>
            </w:r>
          </w:p>
        </w:tc>
        <w:tc>
          <w:tcPr>
            <w:tcW w:type="dxa" w:w="1426"/>
            <w:vAlign w:val="center"/>
          </w:tcPr>
          <w:p>
            <w:pPr>
              <w:spacing w:before="0" w:after="0" w:line="240" w:lineRule="auto"/>
              <w:jc w:val="center"/>
            </w:pPr>
            <w:r>
              <w:rPr>
                <w:b w:val="0"/>
                <w:sz w:val="10"/>
              </w:rPr>
              <w:t>11-11</w:t>
            </w:r>
          </w:p>
        </w:tc>
        <w:tc>
          <w:tcPr>
            <w:tcW w:type="dxa" w:w="1426"/>
            <w:vAlign w:val="center"/>
          </w:tcPr>
          <w:p>
            <w:pPr>
              <w:spacing w:before="0" w:after="0" w:line="240" w:lineRule="auto"/>
              <w:jc w:val="center"/>
            </w:pPr>
            <w:r>
              <w:rPr>
                <w:b w:val="0"/>
                <w:sz w:val="10"/>
              </w:rPr>
              <w:t>1.00</w:t>
            </w:r>
          </w:p>
        </w:tc>
        <w:tc>
          <w:tcPr>
            <w:tcW w:type="dxa" w:w="1426"/>
            <w:vAlign w:val="center"/>
          </w:tcPr>
          <w:p>
            <w:pPr>
              <w:spacing w:before="0" w:after="0" w:line="240" w:lineRule="auto"/>
              <w:jc w:val="center"/>
            </w:pPr>
            <w:r>
              <w:rPr>
                <w:b w:val="0"/>
                <w:sz w:val="10"/>
              </w:rPr>
              <w:t>rank constrained</w:t>
            </w:r>
          </w:p>
        </w:tc>
      </w:tr>
      <w:tr>
        <w:trPr>
          <w:cantSplit/>
        </w:trPr>
        <w:tc>
          <w:tcPr>
            <w:tcW w:type="dxa" w:w="1426"/>
            <w:vAlign w:val="center"/>
          </w:tcPr>
          <w:p>
            <w:pPr>
              <w:spacing w:before="0" w:after="0" w:line="240" w:lineRule="auto"/>
              <w:jc w:val="left"/>
            </w:pPr>
            <w:r>
              <w:rPr>
                <w:b w:val="0"/>
                <w:sz w:val="10"/>
              </w:rPr>
              <w:t>retina</w:t>
            </w:r>
          </w:p>
        </w:tc>
        <w:tc>
          <w:tcPr>
            <w:tcW w:type="dxa" w:w="1426"/>
            <w:vAlign w:val="center"/>
          </w:tcPr>
          <w:p>
            <w:pPr>
              <w:spacing w:before="0" w:after="0" w:line="240" w:lineRule="auto"/>
              <w:jc w:val="center"/>
            </w:pPr>
            <w:r>
              <w:rPr>
                <w:b w:val="0"/>
                <w:sz w:val="10"/>
              </w:rPr>
              <w:t>SIMPLS</w:t>
            </w:r>
          </w:p>
        </w:tc>
        <w:tc>
          <w:tcPr>
            <w:tcW w:type="dxa" w:w="1426"/>
            <w:vAlign w:val="center"/>
          </w:tcPr>
          <w:p>
            <w:pPr>
              <w:spacing w:before="0" w:after="0" w:line="240" w:lineRule="auto"/>
              <w:jc w:val="center"/>
            </w:pPr>
            <w:r>
              <w:rPr>
                <w:b w:val="0"/>
                <w:sz w:val="10"/>
              </w:rPr>
              <w:t>argmax</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0.96799 (0.00151)</w:t>
            </w:r>
          </w:p>
        </w:tc>
        <w:tc>
          <w:tcPr>
            <w:tcW w:type="dxa" w:w="1426"/>
            <w:vAlign w:val="center"/>
          </w:tcPr>
          <w:p>
            <w:pPr>
              <w:spacing w:before="0" w:after="0" w:line="240" w:lineRule="auto"/>
              <w:jc w:val="center"/>
            </w:pPr>
            <w:r>
              <w:rPr>
                <w:b w:val="0"/>
                <w:sz w:val="10"/>
              </w:rPr>
              <w:t>0.965369-0.970341</w:t>
            </w:r>
          </w:p>
        </w:tc>
        <w:tc>
          <w:tcPr>
            <w:tcW w:type="dxa" w:w="1426"/>
            <w:vAlign w:val="center"/>
          </w:tcPr>
          <w:p>
            <w:pPr>
              <w:spacing w:before="0" w:after="0" w:line="240" w:lineRule="auto"/>
              <w:jc w:val="center"/>
            </w:pPr>
            <w:r>
              <w:rPr>
                <w:b w:val="0"/>
                <w:sz w:val="10"/>
              </w:rPr>
              <w:t>20-50</w:t>
            </w:r>
          </w:p>
        </w:tc>
        <w:tc>
          <w:tcPr>
            <w:tcW w:type="dxa" w:w="1426"/>
            <w:vAlign w:val="center"/>
          </w:tcPr>
          <w:p>
            <w:pPr>
              <w:spacing w:before="0" w:after="0" w:line="240" w:lineRule="auto"/>
              <w:jc w:val="center"/>
            </w:pPr>
            <w:r>
              <w:rPr>
                <w:b w:val="0"/>
                <w:sz w:val="10"/>
              </w:rPr>
              <w:t>0.10</w:t>
            </w:r>
          </w:p>
        </w:tc>
        <w:tc>
          <w:tcPr>
            <w:tcW w:type="dxa" w:w="1426"/>
            <w:vAlign w:val="center"/>
          </w:tcPr>
          <w:p>
            <w:pPr>
              <w:spacing w:before="0" w:after="0" w:line="240" w:lineRule="auto"/>
              <w:jc w:val="center"/>
            </w:pPr>
            <w:r>
              <w:rPr>
                <w:b w:val="0"/>
                <w:sz w:val="10"/>
              </w:rPr>
            </w:r>
          </w:p>
        </w:tc>
      </w:tr>
      <w:tr>
        <w:trPr>
          <w:cantSplit/>
        </w:trPr>
        <w:tc>
          <w:tcPr>
            <w:tcW w:type="dxa" w:w="1426"/>
            <w:vAlign w:val="center"/>
          </w:tcPr>
          <w:p>
            <w:pPr>
              <w:spacing w:before="0" w:after="0" w:line="240" w:lineRule="auto"/>
              <w:jc w:val="left"/>
            </w:pPr>
            <w:r>
              <w:rPr>
                <w:b w:val="0"/>
                <w:sz w:val="10"/>
              </w:rPr>
              <w:t>retina</w:t>
            </w:r>
          </w:p>
        </w:tc>
        <w:tc>
          <w:tcPr>
            <w:tcW w:type="dxa" w:w="1426"/>
            <w:vAlign w:val="center"/>
          </w:tcPr>
          <w:p>
            <w:pPr>
              <w:spacing w:before="0" w:after="0" w:line="240" w:lineRule="auto"/>
              <w:jc w:val="center"/>
            </w:pPr>
            <w:r>
              <w:rPr>
                <w:b w:val="0"/>
                <w:sz w:val="10"/>
              </w:rPr>
              <w:t>SIMPLS</w:t>
            </w:r>
          </w:p>
        </w:tc>
        <w:tc>
          <w:tcPr>
            <w:tcW w:type="dxa" w:w="1426"/>
            <w:vAlign w:val="center"/>
          </w:tcPr>
          <w:p>
            <w:pPr>
              <w:spacing w:before="0" w:after="0" w:line="240" w:lineRule="auto"/>
              <w:jc w:val="center"/>
            </w:pPr>
            <w:r>
              <w:rPr>
                <w:b w:val="0"/>
                <w:sz w:val="10"/>
              </w:rPr>
              <w:t>lda</w:t>
            </w:r>
          </w:p>
        </w:tc>
        <w:tc>
          <w:tcPr>
            <w:tcW w:type="dxa" w:w="1426"/>
            <w:vAlign w:val="center"/>
          </w:tcPr>
          <w:p>
            <w:pPr>
              <w:spacing w:before="0" w:after="0" w:line="240" w:lineRule="auto"/>
              <w:jc w:val="center"/>
            </w:pPr>
            <w:r>
              <w:rPr>
                <w:b w:val="0"/>
                <w:sz w:val="10"/>
              </w:rPr>
              <w:t>10</w:t>
            </w:r>
          </w:p>
        </w:tc>
        <w:tc>
          <w:tcPr>
            <w:tcW w:type="dxa" w:w="1426"/>
            <w:vAlign w:val="center"/>
          </w:tcPr>
          <w:p>
            <w:pPr>
              <w:spacing w:before="0" w:after="0" w:line="240" w:lineRule="auto"/>
              <w:jc w:val="center"/>
            </w:pPr>
            <w:r>
              <w:rPr>
                <w:b w:val="0"/>
                <w:sz w:val="10"/>
              </w:rPr>
              <w:t>accuracy</w:t>
            </w:r>
          </w:p>
        </w:tc>
        <w:tc>
          <w:tcPr>
            <w:tcW w:type="dxa" w:w="1426"/>
            <w:vAlign w:val="center"/>
          </w:tcPr>
          <w:p>
            <w:pPr>
              <w:spacing w:before="0" w:after="0" w:line="240" w:lineRule="auto"/>
              <w:jc w:val="center"/>
            </w:pPr>
            <w:r>
              <w:rPr>
                <w:b w:val="0"/>
                <w:sz w:val="10"/>
              </w:rPr>
              <w:t>0.968737 (0.00152)</w:t>
            </w:r>
          </w:p>
        </w:tc>
        <w:tc>
          <w:tcPr>
            <w:tcW w:type="dxa" w:w="1426"/>
            <w:vAlign w:val="center"/>
          </w:tcPr>
          <w:p>
            <w:pPr>
              <w:spacing w:before="0" w:after="0" w:line="240" w:lineRule="auto"/>
              <w:jc w:val="center"/>
            </w:pPr>
            <w:r>
              <w:rPr>
                <w:b w:val="0"/>
                <w:sz w:val="10"/>
              </w:rPr>
              <w:t>0.965966-0.970937</w:t>
            </w:r>
          </w:p>
        </w:tc>
        <w:tc>
          <w:tcPr>
            <w:tcW w:type="dxa" w:w="1426"/>
            <w:vAlign w:val="center"/>
          </w:tcPr>
          <w:p>
            <w:pPr>
              <w:spacing w:before="0" w:after="0" w:line="240" w:lineRule="auto"/>
              <w:jc w:val="center"/>
            </w:pPr>
            <w:r>
              <w:rPr>
                <w:b w:val="0"/>
                <w:sz w:val="10"/>
              </w:rPr>
              <w:t>20-50</w:t>
            </w:r>
          </w:p>
        </w:tc>
        <w:tc>
          <w:tcPr>
            <w:tcW w:type="dxa" w:w="1426"/>
            <w:vAlign w:val="center"/>
          </w:tcPr>
          <w:p>
            <w:pPr>
              <w:spacing w:before="0" w:after="0" w:line="240" w:lineRule="auto"/>
              <w:jc w:val="center"/>
            </w:pPr>
            <w:r>
              <w:rPr>
                <w:b w:val="0"/>
                <w:sz w:val="10"/>
              </w:rPr>
              <w:t>0.10</w:t>
            </w:r>
          </w:p>
        </w:tc>
        <w:tc>
          <w:tcPr>
            <w:tcW w:type="dxa" w:w="1426"/>
            <w:vAlign w:val="center"/>
          </w:tcPr>
          <w:p>
            <w:pPr>
              <w:spacing w:before="0" w:after="0" w:line="240" w:lineRule="auto"/>
              <w:jc w:val="center"/>
            </w:pPr>
            <w:r>
              <w:rPr>
                <w:b w:val="0"/>
                <w:sz w:val="10"/>
              </w:rPr>
            </w:r>
          </w:p>
        </w:tc>
      </w:tr>
    </w:tbl>
    <w:p>
      <w:pPr>
        <w:pStyle w:val="Heading1"/>
      </w:pPr>
      <w:r>
        <w:t>S20. Analysis provenance</w:t>
      </w:r>
    </w:p>
    <w:p>
      <w:r>
        <w:t>The ledger never infers a historical commit from a package version or result date. Where a run did not record its Git SHA, the source status is explicitly not recoverable. SHA-256 prefixes identify immutable result archives; full digests are retained in the machine-readable ledger. The 0.99.10 code audit is documented separately in benchmark/CODE_AUDIT_0.99.10.md and does not alter historical result provenance.</w:t>
      </w:r>
    </w:p>
    <w:p>
      <w:pPr>
        <w:pStyle w:val="Caption"/>
      </w:pPr>
      <w:r>
        <w:t>Table S15. Definitive analysis provenance. Archive paths are relative to the repository root.</w:t>
      </w:r>
    </w:p>
    <w:tbl>
      <w:tblPr>
        <w:tblW w:type="auto" w:w="0"/>
        <w:tblLayout w:type="autofit"/>
        <w:tblLook w:firstColumn="1" w:firstRow="1" w:lastColumn="0" w:lastRow="0" w:noHBand="0" w:noVBand="1" w:val="04A0"/>
      </w:tblPr>
      <w:tblGrid>
        <w:gridCol w:w="2037"/>
        <w:gridCol w:w="2037"/>
        <w:gridCol w:w="2037"/>
        <w:gridCol w:w="2037"/>
        <w:gridCol w:w="2037"/>
        <w:gridCol w:w="2037"/>
        <w:gridCol w:w="2037"/>
      </w:tblGrid>
      <w:tr>
        <w:trPr>
          <w:tblHeader w:val="true"/>
          <w:cantSplit/>
        </w:trPr>
        <w:tc>
          <w:tcPr>
            <w:tcW w:type="dxa" w:w="2037"/>
            <w:vAlign w:val="center"/>
          </w:tcPr>
          <w:p>
            <w:pPr>
              <w:spacing w:before="0" w:after="0" w:line="240" w:lineRule="auto"/>
              <w:jc w:val="left"/>
            </w:pPr>
            <w:r>
              <w:rPr>
                <w:b/>
                <w:sz w:val="9"/>
              </w:rPr>
              <w:t>ID</w:t>
            </w:r>
          </w:p>
        </w:tc>
        <w:tc>
          <w:tcPr>
            <w:tcW w:type="dxa" w:w="2037"/>
            <w:vAlign w:val="center"/>
          </w:tcPr>
          <w:p>
            <w:pPr>
              <w:spacing w:before="0" w:after="0" w:line="240" w:lineRule="auto"/>
              <w:jc w:val="center"/>
            </w:pPr>
            <w:r>
              <w:rPr>
                <w:b/>
                <w:sz w:val="9"/>
              </w:rPr>
              <w:t>Authoritative output</w:t>
            </w:r>
          </w:p>
        </w:tc>
        <w:tc>
          <w:tcPr>
            <w:tcW w:type="dxa" w:w="2037"/>
            <w:vAlign w:val="center"/>
          </w:tcPr>
          <w:p>
            <w:pPr>
              <w:spacing w:before="0" w:after="0" w:line="240" w:lineRule="auto"/>
              <w:jc w:val="center"/>
            </w:pPr>
            <w:r>
              <w:rPr>
                <w:b/>
                <w:sz w:val="9"/>
              </w:rPr>
              <w:t>Result archive</w:t>
            </w:r>
          </w:p>
        </w:tc>
        <w:tc>
          <w:tcPr>
            <w:tcW w:type="dxa" w:w="2037"/>
            <w:vAlign w:val="center"/>
          </w:tcPr>
          <w:p>
            <w:pPr>
              <w:spacing w:before="0" w:after="0" w:line="240" w:lineRule="auto"/>
              <w:jc w:val="center"/>
            </w:pPr>
            <w:r>
              <w:rPr>
                <w:b/>
                <w:sz w:val="9"/>
              </w:rPr>
              <w:t>Version</w:t>
            </w:r>
          </w:p>
        </w:tc>
        <w:tc>
          <w:tcPr>
            <w:tcW w:type="dxa" w:w="2037"/>
            <w:vAlign w:val="center"/>
          </w:tcPr>
          <w:p>
            <w:pPr>
              <w:spacing w:before="0" w:after="0" w:line="240" w:lineRule="auto"/>
              <w:jc w:val="center"/>
            </w:pPr>
            <w:r>
              <w:rPr>
                <w:b/>
                <w:sz w:val="9"/>
              </w:rPr>
              <w:t>Source status</w:t>
            </w:r>
          </w:p>
        </w:tc>
        <w:tc>
          <w:tcPr>
            <w:tcW w:type="dxa" w:w="2037"/>
            <w:vAlign w:val="center"/>
          </w:tcPr>
          <w:p>
            <w:pPr>
              <w:spacing w:before="0" w:after="0" w:line="240" w:lineRule="auto"/>
              <w:jc w:val="center"/>
            </w:pPr>
            <w:r>
              <w:rPr>
                <w:b/>
                <w:sz w:val="9"/>
              </w:rPr>
              <w:t>Generating script</w:t>
            </w:r>
          </w:p>
        </w:tc>
        <w:tc>
          <w:tcPr>
            <w:tcW w:type="dxa" w:w="2037"/>
            <w:vAlign w:val="center"/>
          </w:tcPr>
          <w:p>
            <w:pPr>
              <w:spacing w:before="0" w:after="0" w:line="240" w:lineRule="auto"/>
              <w:jc w:val="center"/>
            </w:pPr>
            <w:r>
              <w:rPr>
                <w:b/>
                <w:sz w:val="9"/>
              </w:rPr>
              <w:t>SHA-256 prefix</w:t>
            </w:r>
          </w:p>
        </w:tc>
      </w:tr>
      <w:tr>
        <w:tc>
          <w:tcPr>
            <w:tcW w:type="dxa" w:w="2037"/>
            <w:vAlign w:val="center"/>
          </w:tcPr>
          <w:p>
            <w:pPr>
              <w:spacing w:before="0" w:after="0"/>
            </w:pPr>
            <w:r>
              <w:rPr>
                <w:b w:val="0"/>
                <w:sz w:val="12"/>
              </w:rPr>
              <w:t>A01</w:t>
            </w:r>
          </w:p>
        </w:tc>
        <w:tc>
          <w:tcPr>
            <w:tcW w:type="dxa" w:w="2037"/>
            <w:vAlign w:val="center"/>
          </w:tcPr>
          <w:p>
            <w:pPr>
              <w:spacing w:before="0" w:after="0"/>
            </w:pPr>
            <w:r>
              <w:rPr>
                <w:b w:val="0"/>
                <w:sz w:val="12"/>
              </w:rPr>
              <w:t>Tables S11 and selected-point main figure</w:t>
            </w:r>
          </w:p>
        </w:tc>
        <w:tc>
          <w:tcPr>
            <w:tcW w:type="dxa" w:w="2037"/>
            <w:vAlign w:val="center"/>
          </w:tcPr>
          <w:p>
            <w:pPr>
              <w:spacing w:before="0" w:after="0"/>
            </w:pPr>
            <w:r>
              <w:rPr>
                <w:b w:val="0"/>
                <w:sz w:val="12"/>
              </w:rPr>
              <w:t>benchmark_results/manuscript_revision_cycle20_20260725</w:t>
            </w:r>
          </w:p>
        </w:tc>
        <w:tc>
          <w:tcPr>
            <w:tcW w:type="dxa" w:w="2037"/>
            <w:vAlign w:val="center"/>
          </w:tcPr>
          <w:p>
            <w:pPr>
              <w:spacing w:before="0" w:after="0"/>
            </w:pPr>
            <w:r>
              <w:rPr>
                <w:b w:val="0"/>
                <w:sz w:val="12"/>
              </w:rPr>
              <w:t>0.99.6</w:t>
            </w:r>
          </w:p>
        </w:tc>
        <w:tc>
          <w:tcPr>
            <w:tcW w:type="dxa" w:w="2037"/>
            <w:vAlign w:val="center"/>
          </w:tcPr>
          <w:p>
            <w:pPr>
              <w:spacing w:before="0" w:after="0"/>
            </w:pPr>
            <w:r>
              <w:rPr>
                <w:b w:val="0"/>
                <w:sz w:val="12"/>
              </w:rPr>
              <w:t>not recoverable;not inferred</w:t>
            </w:r>
          </w:p>
        </w:tc>
        <w:tc>
          <w:tcPr>
            <w:tcW w:type="dxa" w:w="2037"/>
            <w:vAlign w:val="center"/>
          </w:tcPr>
          <w:p>
            <w:pPr>
              <w:spacing w:before="0" w:after="0"/>
            </w:pPr>
            <w:r>
              <w:rPr>
                <w:b w:val="0"/>
                <w:sz w:val="12"/>
              </w:rPr>
              <w:t>benchmark/summarize_paired_backend_selected.R</w:t>
            </w:r>
          </w:p>
        </w:tc>
        <w:tc>
          <w:tcPr>
            <w:tcW w:type="dxa" w:w="2037"/>
            <w:vAlign w:val="center"/>
          </w:tcPr>
          <w:p>
            <w:pPr>
              <w:spacing w:before="0" w:after="0"/>
            </w:pPr>
            <w:r>
              <w:rPr>
                <w:b w:val="0"/>
                <w:sz w:val="12"/>
              </w:rPr>
              <w:t>8285bfe1f04b</w:t>
            </w:r>
          </w:p>
        </w:tc>
      </w:tr>
      <w:tr>
        <w:tc>
          <w:tcPr>
            <w:tcW w:type="dxa" w:w="2037"/>
            <w:vAlign w:val="center"/>
          </w:tcPr>
          <w:p>
            <w:pPr>
              <w:spacing w:before="0" w:after="0"/>
            </w:pPr>
            <w:r>
              <w:rPr>
                <w:b w:val="0"/>
                <w:sz w:val="12"/>
              </w:rPr>
              <w:t>A02</w:t>
            </w:r>
          </w:p>
        </w:tc>
        <w:tc>
          <w:tcPr>
            <w:tcW w:type="dxa" w:w="2037"/>
            <w:vAlign w:val="center"/>
          </w:tcPr>
          <w:p>
            <w:pPr>
              <w:spacing w:before="0" w:after="0"/>
            </w:pPr>
            <w:r>
              <w:rPr>
                <w:b w:val="0"/>
                <w:sz w:val="12"/>
              </w:rPr>
              <w:t>Table S10</w:t>
            </w:r>
          </w:p>
        </w:tc>
        <w:tc>
          <w:tcPr>
            <w:tcW w:type="dxa" w:w="2037"/>
            <w:vAlign w:val="center"/>
          </w:tcPr>
          <w:p>
            <w:pPr>
              <w:spacing w:before="0" w:after="0"/>
            </w:pPr>
            <w:r>
              <w:rPr>
                <w:b w:val="0"/>
                <w:sz w:val="12"/>
              </w:rPr>
              <w:t>benchmark_results/manuscript_revision_cycle15_20260725</w:t>
            </w:r>
          </w:p>
        </w:tc>
        <w:tc>
          <w:tcPr>
            <w:tcW w:type="dxa" w:w="2037"/>
            <w:vAlign w:val="center"/>
          </w:tcPr>
          <w:p>
            <w:pPr>
              <w:spacing w:before="0" w:after="0"/>
            </w:pPr>
            <w:r>
              <w:rPr>
                <w:b w:val="0"/>
                <w:sz w:val="12"/>
              </w:rPr>
              <w:t>0.99.6</w:t>
            </w:r>
          </w:p>
        </w:tc>
        <w:tc>
          <w:tcPr>
            <w:tcW w:type="dxa" w:w="2037"/>
            <w:vAlign w:val="center"/>
          </w:tcPr>
          <w:p>
            <w:pPr>
              <w:spacing w:before="0" w:after="0"/>
            </w:pPr>
            <w:r>
              <w:rPr>
                <w:b w:val="0"/>
                <w:sz w:val="12"/>
              </w:rPr>
              <w:t>not recoverable;not inferred</w:t>
            </w:r>
          </w:p>
        </w:tc>
        <w:tc>
          <w:tcPr>
            <w:tcW w:type="dxa" w:w="2037"/>
            <w:vAlign w:val="center"/>
          </w:tcPr>
          <w:p>
            <w:pPr>
              <w:spacing w:before="0" w:after="0"/>
            </w:pPr>
            <w:r>
              <w:rPr>
                <w:b w:val="0"/>
                <w:sz w:val="12"/>
              </w:rPr>
              <w:t>benchmark/benchmark_pls_package_comparison.R</w:t>
            </w:r>
          </w:p>
        </w:tc>
        <w:tc>
          <w:tcPr>
            <w:tcW w:type="dxa" w:w="2037"/>
            <w:vAlign w:val="center"/>
          </w:tcPr>
          <w:p>
            <w:pPr>
              <w:spacing w:before="0" w:after="0"/>
            </w:pPr>
            <w:r>
              <w:rPr>
                <w:b w:val="0"/>
                <w:sz w:val="12"/>
              </w:rPr>
              <w:t>a0eb50a1e208</w:t>
            </w:r>
          </w:p>
        </w:tc>
      </w:tr>
      <w:tr>
        <w:tc>
          <w:tcPr>
            <w:tcW w:type="dxa" w:w="2037"/>
            <w:vAlign w:val="center"/>
          </w:tcPr>
          <w:p>
            <w:pPr>
              <w:spacing w:before="0" w:after="0"/>
            </w:pPr>
            <w:r>
              <w:rPr>
                <w:b w:val="0"/>
                <w:sz w:val="12"/>
              </w:rPr>
              <w:t>A03</w:t>
            </w:r>
          </w:p>
        </w:tc>
        <w:tc>
          <w:tcPr>
            <w:tcW w:type="dxa" w:w="2037"/>
            <w:vAlign w:val="center"/>
          </w:tcPr>
          <w:p>
            <w:pPr>
              <w:spacing w:before="0" w:after="0"/>
            </w:pPr>
            <w:r>
              <w:rPr>
                <w:b w:val="0"/>
                <w:sz w:val="12"/>
              </w:rPr>
              <w:t>Tables S7-S8</w:t>
            </w:r>
          </w:p>
        </w:tc>
        <w:tc>
          <w:tcPr>
            <w:tcW w:type="dxa" w:w="2037"/>
            <w:vAlign w:val="center"/>
          </w:tcPr>
          <w:p>
            <w:pPr>
              <w:spacing w:before="0" w:after="0"/>
            </w:pPr>
            <w:r>
              <w:rPr>
                <w:b w:val="0"/>
                <w:sz w:val="12"/>
              </w:rPr>
              <w:t>benchmark_results/simpls_estimator_preservation_reliable_power2_final_20260725</w:t>
            </w:r>
          </w:p>
        </w:tc>
        <w:tc>
          <w:tcPr>
            <w:tcW w:type="dxa" w:w="2037"/>
            <w:vAlign w:val="center"/>
          </w:tcPr>
          <w:p>
            <w:pPr>
              <w:spacing w:before="0" w:after="0"/>
            </w:pPr>
            <w:r>
              <w:rPr>
                <w:b w:val="0"/>
                <w:sz w:val="12"/>
              </w:rPr>
              <w:t>0.99.6</w:t>
            </w:r>
          </w:p>
        </w:tc>
        <w:tc>
          <w:tcPr>
            <w:tcW w:type="dxa" w:w="2037"/>
            <w:vAlign w:val="center"/>
          </w:tcPr>
          <w:p>
            <w:pPr>
              <w:spacing w:before="0" w:after="0"/>
            </w:pPr>
            <w:r>
              <w:rPr>
                <w:b w:val="0"/>
                <w:sz w:val="12"/>
              </w:rPr>
              <w:t>not recoverable;not inferred</w:t>
            </w:r>
          </w:p>
        </w:tc>
        <w:tc>
          <w:tcPr>
            <w:tcW w:type="dxa" w:w="2037"/>
            <w:vAlign w:val="center"/>
          </w:tcPr>
          <w:p>
            <w:pPr>
              <w:spacing w:before="0" w:after="0"/>
            </w:pPr>
            <w:r>
              <w:rPr>
                <w:b w:val="0"/>
                <w:sz w:val="12"/>
              </w:rPr>
              <w:t>benchmark/benchmark_simpls_estimator_preservation.R</w:t>
            </w:r>
          </w:p>
        </w:tc>
        <w:tc>
          <w:tcPr>
            <w:tcW w:type="dxa" w:w="2037"/>
            <w:vAlign w:val="center"/>
          </w:tcPr>
          <w:p>
            <w:pPr>
              <w:spacing w:before="0" w:after="0"/>
            </w:pPr>
            <w:r>
              <w:rPr>
                <w:b w:val="0"/>
                <w:sz w:val="12"/>
              </w:rPr>
              <w:t>49417c27d832</w:t>
            </w:r>
          </w:p>
        </w:tc>
      </w:tr>
      <w:tr>
        <w:tc>
          <w:tcPr>
            <w:tcW w:type="dxa" w:w="2037"/>
            <w:vAlign w:val="center"/>
          </w:tcPr>
          <w:p>
            <w:pPr>
              <w:spacing w:before="0" w:after="0"/>
            </w:pPr>
            <w:r>
              <w:rPr>
                <w:b w:val="0"/>
                <w:sz w:val="12"/>
              </w:rPr>
              <w:t>A04</w:t>
            </w:r>
          </w:p>
        </w:tc>
        <w:tc>
          <w:tcPr>
            <w:tcW w:type="dxa" w:w="2037"/>
            <w:vAlign w:val="center"/>
          </w:tcPr>
          <w:p>
            <w:pPr>
              <w:spacing w:before="0" w:after="0"/>
            </w:pPr>
            <w:r>
              <w:rPr>
                <w:b w:val="0"/>
                <w:sz w:val="12"/>
              </w:rPr>
              <w:t>Table S12</w:t>
            </w:r>
          </w:p>
        </w:tc>
        <w:tc>
          <w:tcPr>
            <w:tcW w:type="dxa" w:w="2037"/>
            <w:vAlign w:val="center"/>
          </w:tcPr>
          <w:p>
            <w:pPr>
              <w:spacing w:before="0" w:after="0"/>
            </w:pPr>
            <w:r>
              <w:rPr>
                <w:b w:val="0"/>
                <w:sz w:val="12"/>
              </w:rPr>
              <w:t>benchmark_results/review_nmr_extended_selection_20260725</w:t>
            </w:r>
          </w:p>
        </w:tc>
        <w:tc>
          <w:tcPr>
            <w:tcW w:type="dxa" w:w="2037"/>
            <w:vAlign w:val="center"/>
          </w:tcPr>
          <w:p>
            <w:pPr>
              <w:spacing w:before="0" w:after="0"/>
            </w:pPr>
            <w:r>
              <w:rPr>
                <w:b w:val="0"/>
                <w:sz w:val="12"/>
              </w:rPr>
              <w:t>0.99.6</w:t>
            </w:r>
          </w:p>
        </w:tc>
        <w:tc>
          <w:tcPr>
            <w:tcW w:type="dxa" w:w="2037"/>
            <w:vAlign w:val="center"/>
          </w:tcPr>
          <w:p>
            <w:pPr>
              <w:spacing w:before="0" w:after="0"/>
            </w:pPr>
            <w:r>
              <w:rPr>
                <w:b w:val="0"/>
                <w:sz w:val="12"/>
              </w:rPr>
              <w:t>not recoverable;not inferred</w:t>
            </w:r>
          </w:p>
        </w:tc>
        <w:tc>
          <w:tcPr>
            <w:tcW w:type="dxa" w:w="2037"/>
            <w:vAlign w:val="center"/>
          </w:tcPr>
          <w:p>
            <w:pPr>
              <w:spacing w:before="0" w:after="0"/>
            </w:pPr>
            <w:r>
              <w:rPr>
                <w:b w:val="0"/>
                <w:sz w:val="12"/>
              </w:rPr>
              <w:t>benchmark/review_nmr_extended_component_selection.R</w:t>
            </w:r>
          </w:p>
        </w:tc>
        <w:tc>
          <w:tcPr>
            <w:tcW w:type="dxa" w:w="2037"/>
            <w:vAlign w:val="center"/>
          </w:tcPr>
          <w:p>
            <w:pPr>
              <w:spacing w:before="0" w:after="0"/>
            </w:pPr>
            <w:r>
              <w:rPr>
                <w:b w:val="0"/>
                <w:sz w:val="12"/>
              </w:rPr>
              <w:t>62f5da8c637a</w:t>
            </w:r>
          </w:p>
        </w:tc>
      </w:tr>
      <w:tr>
        <w:tc>
          <w:tcPr>
            <w:tcW w:type="dxa" w:w="2037"/>
            <w:vAlign w:val="center"/>
          </w:tcPr>
          <w:p>
            <w:pPr>
              <w:spacing w:before="0" w:after="0"/>
            </w:pPr>
            <w:r>
              <w:rPr>
                <w:b w:val="0"/>
                <w:sz w:val="12"/>
              </w:rPr>
              <w:t>A05</w:t>
            </w:r>
          </w:p>
        </w:tc>
        <w:tc>
          <w:tcPr>
            <w:tcW w:type="dxa" w:w="2037"/>
            <w:vAlign w:val="center"/>
          </w:tcPr>
          <w:p>
            <w:pPr>
              <w:spacing w:before="0" w:after="0"/>
            </w:pPr>
            <w:r>
              <w:rPr>
                <w:b w:val="0"/>
                <w:sz w:val="12"/>
              </w:rPr>
              <w:t>Table S12</w:t>
            </w:r>
          </w:p>
        </w:tc>
        <w:tc>
          <w:tcPr>
            <w:tcW w:type="dxa" w:w="2037"/>
            <w:vAlign w:val="center"/>
          </w:tcPr>
          <w:p>
            <w:pPr>
              <w:spacing w:before="0" w:after="0"/>
            </w:pPr>
            <w:r>
              <w:rPr>
                <w:b w:val="0"/>
                <w:sz w:val="12"/>
              </w:rPr>
              <w:t>benchmark_results/nmr_matched_contrasts_20260726</w:t>
            </w:r>
          </w:p>
        </w:tc>
        <w:tc>
          <w:tcPr>
            <w:tcW w:type="dxa" w:w="2037"/>
            <w:vAlign w:val="center"/>
          </w:tcPr>
          <w:p>
            <w:pPr>
              <w:spacing w:before="0" w:after="0"/>
            </w:pPr>
            <w:r>
              <w:rPr>
                <w:b w:val="0"/>
                <w:sz w:val="12"/>
              </w:rPr>
              <w:t>0.99.6</w:t>
            </w:r>
          </w:p>
        </w:tc>
        <w:tc>
          <w:tcPr>
            <w:tcW w:type="dxa" w:w="2037"/>
            <w:vAlign w:val="center"/>
          </w:tcPr>
          <w:p>
            <w:pPr>
              <w:spacing w:before="0" w:after="0"/>
            </w:pPr>
            <w:r>
              <w:rPr>
                <w:b w:val="0"/>
                <w:sz w:val="12"/>
              </w:rPr>
              <w:t>not recoverable;not inferred</w:t>
            </w:r>
          </w:p>
        </w:tc>
        <w:tc>
          <w:tcPr>
            <w:tcW w:type="dxa" w:w="2037"/>
            <w:vAlign w:val="center"/>
          </w:tcPr>
          <w:p>
            <w:pPr>
              <w:spacing w:before="0" w:after="0"/>
            </w:pPr>
            <w:r>
              <w:rPr>
                <w:b w:val="0"/>
                <w:sz w:val="12"/>
              </w:rPr>
              <w:t>benchmark/plot_nmr_matched_contrasts.R</w:t>
            </w:r>
          </w:p>
        </w:tc>
        <w:tc>
          <w:tcPr>
            <w:tcW w:type="dxa" w:w="2037"/>
            <w:vAlign w:val="center"/>
          </w:tcPr>
          <w:p>
            <w:pPr>
              <w:spacing w:before="0" w:after="0"/>
            </w:pPr>
            <w:r>
              <w:rPr>
                <w:b w:val="0"/>
                <w:sz w:val="12"/>
              </w:rPr>
              <w:t>287f1ca7865d</w:t>
            </w:r>
          </w:p>
        </w:tc>
      </w:tr>
      <w:tr>
        <w:tc>
          <w:tcPr>
            <w:tcW w:type="dxa" w:w="2037"/>
            <w:vAlign w:val="center"/>
          </w:tcPr>
          <w:p>
            <w:pPr>
              <w:spacing w:before="0" w:after="0"/>
            </w:pPr>
            <w:r>
              <w:rPr>
                <w:b w:val="0"/>
                <w:sz w:val="12"/>
              </w:rPr>
              <w:t>A06</w:t>
            </w:r>
          </w:p>
        </w:tc>
        <w:tc>
          <w:tcPr>
            <w:tcW w:type="dxa" w:w="2037"/>
            <w:vAlign w:val="center"/>
          </w:tcPr>
          <w:p>
            <w:pPr>
              <w:spacing w:before="0" w:after="0"/>
            </w:pPr>
            <w:r>
              <w:rPr>
                <w:b w:val="0"/>
                <w:sz w:val="12"/>
              </w:rPr>
              <w:t>Table S13</w:t>
            </w:r>
          </w:p>
        </w:tc>
        <w:tc>
          <w:tcPr>
            <w:tcW w:type="dxa" w:w="2037"/>
            <w:vAlign w:val="center"/>
          </w:tcPr>
          <w:p>
            <w:pPr>
              <w:spacing w:before="0" w:after="0"/>
            </w:pPr>
            <w:r>
              <w:rPr>
                <w:b w:val="0"/>
                <w:sz w:val="12"/>
              </w:rPr>
              <w:t>benchmark_results/imagenet_faiss_matched_1m_20260725</w:t>
            </w:r>
          </w:p>
        </w:tc>
        <w:tc>
          <w:tcPr>
            <w:tcW w:type="dxa" w:w="2037"/>
            <w:vAlign w:val="center"/>
          </w:tcPr>
          <w:p>
            <w:pPr>
              <w:spacing w:before="0" w:after="0"/>
            </w:pPr>
            <w:r>
              <w:rPr>
                <w:b w:val="0"/>
                <w:sz w:val="12"/>
              </w:rPr>
              <w:t>0.99.6</w:t>
            </w:r>
          </w:p>
        </w:tc>
        <w:tc>
          <w:tcPr>
            <w:tcW w:type="dxa" w:w="2037"/>
            <w:vAlign w:val="center"/>
          </w:tcPr>
          <w:p>
            <w:pPr>
              <w:spacing w:before="0" w:after="0"/>
            </w:pPr>
            <w:r>
              <w:rPr>
                <w:b w:val="0"/>
                <w:sz w:val="12"/>
              </w:rPr>
              <w:t>not recoverable;not inferred</w:t>
            </w:r>
          </w:p>
        </w:tc>
        <w:tc>
          <w:tcPr>
            <w:tcW w:type="dxa" w:w="2037"/>
            <w:vAlign w:val="center"/>
          </w:tcPr>
          <w:p>
            <w:pPr>
              <w:spacing w:before="0" w:after="0"/>
            </w:pPr>
            <w:r>
              <w:rPr>
                <w:b w:val="0"/>
                <w:sz w:val="12"/>
              </w:rPr>
              <w:t>benchmark/benchmark_imagenet_faiss_matched_retrieval.R</w:t>
            </w:r>
          </w:p>
        </w:tc>
        <w:tc>
          <w:tcPr>
            <w:tcW w:type="dxa" w:w="2037"/>
            <w:vAlign w:val="center"/>
          </w:tcPr>
          <w:p>
            <w:pPr>
              <w:spacing w:before="0" w:after="0"/>
            </w:pPr>
            <w:r>
              <w:rPr>
                <w:b w:val="0"/>
                <w:sz w:val="12"/>
              </w:rPr>
              <w:t>20b28a5330fc</w:t>
            </w:r>
          </w:p>
        </w:tc>
      </w:tr>
      <w:tr>
        <w:tc>
          <w:tcPr>
            <w:tcW w:type="dxa" w:w="2037"/>
            <w:vAlign w:val="center"/>
          </w:tcPr>
          <w:p>
            <w:pPr>
              <w:spacing w:before="0" w:after="0"/>
            </w:pPr>
            <w:r>
              <w:rPr>
                <w:b w:val="0"/>
                <w:sz w:val="12"/>
              </w:rPr>
              <w:t>A07</w:t>
            </w:r>
          </w:p>
        </w:tc>
        <w:tc>
          <w:tcPr>
            <w:tcW w:type="dxa" w:w="2037"/>
            <w:vAlign w:val="center"/>
          </w:tcPr>
          <w:p>
            <w:pPr>
              <w:spacing w:before="0" w:after="0"/>
            </w:pPr>
            <w:r>
              <w:rPr>
                <w:b w:val="0"/>
                <w:sz w:val="12"/>
              </w:rPr>
              <w:t>Table S9</w:t>
            </w:r>
          </w:p>
        </w:tc>
        <w:tc>
          <w:tcPr>
            <w:tcW w:type="dxa" w:w="2037"/>
            <w:vAlign w:val="center"/>
          </w:tcPr>
          <w:p>
            <w:pPr>
              <w:spacing w:before="0" w:after="0"/>
            </w:pPr>
            <w:r>
              <w:rPr>
                <w:b w:val="0"/>
                <w:sz w:val="12"/>
              </w:rPr>
              <w:t>benchmark_results/cv_compiled_vs_r_loop_20260725</w:t>
            </w:r>
          </w:p>
        </w:tc>
        <w:tc>
          <w:tcPr>
            <w:tcW w:type="dxa" w:w="2037"/>
            <w:vAlign w:val="center"/>
          </w:tcPr>
          <w:p>
            <w:pPr>
              <w:spacing w:before="0" w:after="0"/>
            </w:pPr>
            <w:r>
              <w:rPr>
                <w:b w:val="0"/>
                <w:sz w:val="12"/>
              </w:rPr>
              <w:t>0.99.6</w:t>
            </w:r>
          </w:p>
        </w:tc>
        <w:tc>
          <w:tcPr>
            <w:tcW w:type="dxa" w:w="2037"/>
            <w:vAlign w:val="center"/>
          </w:tcPr>
          <w:p>
            <w:pPr>
              <w:spacing w:before="0" w:after="0"/>
            </w:pPr>
            <w:r>
              <w:rPr>
                <w:b w:val="0"/>
                <w:sz w:val="12"/>
              </w:rPr>
              <w:t>not recoverable;not inferred</w:t>
            </w:r>
          </w:p>
        </w:tc>
        <w:tc>
          <w:tcPr>
            <w:tcW w:type="dxa" w:w="2037"/>
            <w:vAlign w:val="center"/>
          </w:tcPr>
          <w:p>
            <w:pPr>
              <w:spacing w:before="0" w:after="0"/>
            </w:pPr>
            <w:r>
              <w:rPr>
                <w:b w:val="0"/>
                <w:sz w:val="12"/>
              </w:rPr>
              <w:t>benchmark/benchmark_cv_compiled_vs_r_loop.R</w:t>
            </w:r>
          </w:p>
        </w:tc>
        <w:tc>
          <w:tcPr>
            <w:tcW w:type="dxa" w:w="2037"/>
            <w:vAlign w:val="center"/>
          </w:tcPr>
          <w:p>
            <w:pPr>
              <w:spacing w:before="0" w:after="0"/>
            </w:pPr>
            <w:r>
              <w:rPr>
                <w:b w:val="0"/>
                <w:sz w:val="12"/>
              </w:rPr>
              <w:t>fcfd9eec2765</w:t>
            </w:r>
          </w:p>
        </w:tc>
      </w:tr>
      <w:tr>
        <w:tc>
          <w:tcPr>
            <w:tcW w:type="dxa" w:w="2037"/>
            <w:vAlign w:val="center"/>
          </w:tcPr>
          <w:p>
            <w:pPr>
              <w:spacing w:before="0" w:after="0"/>
            </w:pPr>
            <w:r>
              <w:rPr>
                <w:b w:val="0"/>
                <w:sz w:val="12"/>
              </w:rPr>
              <w:t>A08</w:t>
            </w:r>
          </w:p>
        </w:tc>
        <w:tc>
          <w:tcPr>
            <w:tcW w:type="dxa" w:w="2037"/>
            <w:vAlign w:val="center"/>
          </w:tcPr>
          <w:p>
            <w:pPr>
              <w:spacing w:before="0" w:after="0"/>
            </w:pPr>
            <w:r>
              <w:rPr>
                <w:b w:val="0"/>
                <w:sz w:val="12"/>
              </w:rPr>
              <w:t>Table S7a</w:t>
            </w:r>
          </w:p>
        </w:tc>
        <w:tc>
          <w:tcPr>
            <w:tcW w:type="dxa" w:w="2037"/>
            <w:vAlign w:val="center"/>
          </w:tcPr>
          <w:p>
            <w:pPr>
              <w:spacing w:before="0" w:after="0"/>
            </w:pPr>
            <w:r>
              <w:rPr>
                <w:b w:val="0"/>
                <w:sz w:val="12"/>
              </w:rPr>
              <w:t>benchmark_results/simpls_multidataset_ablation_20260725</w:t>
            </w:r>
          </w:p>
        </w:tc>
        <w:tc>
          <w:tcPr>
            <w:tcW w:type="dxa" w:w="2037"/>
            <w:vAlign w:val="center"/>
          </w:tcPr>
          <w:p>
            <w:pPr>
              <w:spacing w:before="0" w:after="0"/>
            </w:pPr>
            <w:r>
              <w:rPr>
                <w:b w:val="0"/>
                <w:sz w:val="12"/>
              </w:rPr>
              <w:t>0.99.6</w:t>
            </w:r>
          </w:p>
        </w:tc>
        <w:tc>
          <w:tcPr>
            <w:tcW w:type="dxa" w:w="2037"/>
            <w:vAlign w:val="center"/>
          </w:tcPr>
          <w:p>
            <w:pPr>
              <w:spacing w:before="0" w:after="0"/>
            </w:pPr>
            <w:r>
              <w:rPr>
                <w:b w:val="0"/>
                <w:sz w:val="12"/>
              </w:rPr>
              <w:t>not recoverable;not inferred</w:t>
            </w:r>
          </w:p>
        </w:tc>
        <w:tc>
          <w:tcPr>
            <w:tcW w:type="dxa" w:w="2037"/>
            <w:vAlign w:val="center"/>
          </w:tcPr>
          <w:p>
            <w:pPr>
              <w:spacing w:before="0" w:after="0"/>
            </w:pPr>
            <w:r>
              <w:rPr>
                <w:b w:val="0"/>
                <w:sz w:val="12"/>
              </w:rPr>
              <w:t>benchmark/benchmark_simpls_multidataset_ablation.R</w:t>
            </w:r>
          </w:p>
        </w:tc>
        <w:tc>
          <w:tcPr>
            <w:tcW w:type="dxa" w:w="2037"/>
            <w:vAlign w:val="center"/>
          </w:tcPr>
          <w:p>
            <w:pPr>
              <w:spacing w:before="0" w:after="0"/>
            </w:pPr>
            <w:r>
              <w:rPr>
                <w:b w:val="0"/>
                <w:sz w:val="12"/>
              </w:rPr>
              <w:t>5d1846d33ca9</w:t>
            </w:r>
          </w:p>
        </w:tc>
      </w:tr>
      <w:tr>
        <w:tc>
          <w:tcPr>
            <w:tcW w:type="dxa" w:w="2037"/>
            <w:vAlign w:val="center"/>
          </w:tcPr>
          <w:p>
            <w:pPr>
              <w:spacing w:before="0" w:after="0"/>
            </w:pPr>
            <w:r>
              <w:rPr>
                <w:b w:val="0"/>
                <w:sz w:val="12"/>
              </w:rPr>
              <w:t>A09</w:t>
            </w:r>
          </w:p>
        </w:tc>
        <w:tc>
          <w:tcPr>
            <w:tcW w:type="dxa" w:w="2037"/>
            <w:vAlign w:val="center"/>
          </w:tcPr>
          <w:p>
            <w:pPr>
              <w:spacing w:before="0" w:after="0"/>
            </w:pPr>
            <w:r>
              <w:rPr>
                <w:b w:val="0"/>
                <w:sz w:val="12"/>
              </w:rPr>
              <w:t>Table S11</w:t>
            </w:r>
          </w:p>
        </w:tc>
        <w:tc>
          <w:tcPr>
            <w:tcW w:type="dxa" w:w="2037"/>
            <w:vAlign w:val="center"/>
          </w:tcPr>
          <w:p>
            <w:pPr>
              <w:spacing w:before="0" w:after="0"/>
            </w:pPr>
            <w:r>
              <w:rPr>
                <w:b w:val="0"/>
                <w:sz w:val="12"/>
              </w:rPr>
              <w:t>benchmark_results/float32_backend_agreement_cycle5</w:t>
            </w:r>
          </w:p>
        </w:tc>
        <w:tc>
          <w:tcPr>
            <w:tcW w:type="dxa" w:w="2037"/>
            <w:vAlign w:val="center"/>
          </w:tcPr>
          <w:p>
            <w:pPr>
              <w:spacing w:before="0" w:after="0"/>
            </w:pPr>
            <w:r>
              <w:rPr>
                <w:b w:val="0"/>
                <w:sz w:val="12"/>
              </w:rPr>
              <w:t>0.99.6</w:t>
            </w:r>
          </w:p>
        </w:tc>
        <w:tc>
          <w:tcPr>
            <w:tcW w:type="dxa" w:w="2037"/>
            <w:vAlign w:val="center"/>
          </w:tcPr>
          <w:p>
            <w:pPr>
              <w:spacing w:before="0" w:after="0"/>
            </w:pPr>
            <w:r>
              <w:rPr>
                <w:b w:val="0"/>
                <w:sz w:val="12"/>
              </w:rPr>
              <w:t>not recoverable;not inferred</w:t>
            </w:r>
          </w:p>
        </w:tc>
        <w:tc>
          <w:tcPr>
            <w:tcW w:type="dxa" w:w="2037"/>
            <w:vAlign w:val="center"/>
          </w:tcPr>
          <w:p>
            <w:pPr>
              <w:spacing w:before="0" w:after="0"/>
            </w:pPr>
            <w:r>
              <w:rPr>
                <w:b w:val="0"/>
                <w:sz w:val="12"/>
              </w:rPr>
              <w:t>scripts/run_reviewer_precision_validation.sh</w:t>
            </w:r>
          </w:p>
        </w:tc>
        <w:tc>
          <w:tcPr>
            <w:tcW w:type="dxa" w:w="2037"/>
            <w:vAlign w:val="center"/>
          </w:tcPr>
          <w:p>
            <w:pPr>
              <w:spacing w:before="0" w:after="0"/>
            </w:pPr>
            <w:r>
              <w:rPr>
                <w:b w:val="0"/>
                <w:sz w:val="12"/>
              </w:rPr>
              <w:t>7d440d6c99f3</w:t>
            </w:r>
          </w:p>
        </w:tc>
      </w:tr>
      <w:tr>
        <w:tc>
          <w:tcPr>
            <w:tcW w:type="dxa" w:w="2037"/>
            <w:vAlign w:val="center"/>
          </w:tcPr>
          <w:p>
            <w:pPr>
              <w:spacing w:before="0" w:after="0"/>
            </w:pPr>
            <w:r>
              <w:rPr>
                <w:b w:val="0"/>
                <w:sz w:val="12"/>
              </w:rPr>
              <w:t>A10</w:t>
            </w:r>
          </w:p>
        </w:tc>
        <w:tc>
          <w:tcPr>
            <w:tcW w:type="dxa" w:w="2037"/>
            <w:vAlign w:val="center"/>
          </w:tcPr>
          <w:p>
            <w:pPr>
              <w:spacing w:before="0" w:after="0"/>
            </w:pPr>
            <w:r>
              <w:rPr>
                <w:b w:val="0"/>
                <w:sz w:val="12"/>
              </w:rPr>
              <w:t>Table S7</w:t>
            </w:r>
          </w:p>
        </w:tc>
        <w:tc>
          <w:tcPr>
            <w:tcW w:type="dxa" w:w="2037"/>
            <w:vAlign w:val="center"/>
          </w:tcPr>
          <w:p>
            <w:pPr>
              <w:spacing w:before="0" w:after="0"/>
            </w:pPr>
            <w:r>
              <w:rPr>
                <w:b w:val="0"/>
                <w:sz w:val="12"/>
              </w:rPr>
              <w:t>benchmark_results/lda_backend_agreement_order_fixed</w:t>
            </w:r>
          </w:p>
        </w:tc>
        <w:tc>
          <w:tcPr>
            <w:tcW w:type="dxa" w:w="2037"/>
            <w:vAlign w:val="center"/>
          </w:tcPr>
          <w:p>
            <w:pPr>
              <w:spacing w:before="0" w:after="0"/>
            </w:pPr>
            <w:r>
              <w:rPr>
                <w:b w:val="0"/>
                <w:sz w:val="12"/>
              </w:rPr>
              <w:t>0.99.6</w:t>
            </w:r>
          </w:p>
        </w:tc>
        <w:tc>
          <w:tcPr>
            <w:tcW w:type="dxa" w:w="2037"/>
            <w:vAlign w:val="center"/>
          </w:tcPr>
          <w:p>
            <w:pPr>
              <w:spacing w:before="0" w:after="0"/>
            </w:pPr>
            <w:r>
              <w:rPr>
                <w:b w:val="0"/>
                <w:sz w:val="12"/>
              </w:rPr>
              <w:t>not recoverable;not inferred</w:t>
            </w:r>
          </w:p>
        </w:tc>
        <w:tc>
          <w:tcPr>
            <w:tcW w:type="dxa" w:w="2037"/>
            <w:vAlign w:val="center"/>
          </w:tcPr>
          <w:p>
            <w:pPr>
              <w:spacing w:before="0" w:after="0"/>
            </w:pPr>
            <w:r>
              <w:rPr>
                <w:b w:val="0"/>
                <w:sz w:val="12"/>
              </w:rPr>
              <w:t>scripts/rerun_cuda_lda_package_comparison.sh</w:t>
            </w:r>
          </w:p>
        </w:tc>
        <w:tc>
          <w:tcPr>
            <w:tcW w:type="dxa" w:w="2037"/>
            <w:vAlign w:val="center"/>
          </w:tcPr>
          <w:p>
            <w:pPr>
              <w:spacing w:before="0" w:after="0"/>
            </w:pPr>
            <w:r>
              <w:rPr>
                <w:b w:val="0"/>
                <w:sz w:val="12"/>
              </w:rPr>
              <w:t>35799a8caf39</w:t>
            </w:r>
          </w:p>
        </w:tc>
      </w:tr>
      <w:tr>
        <w:tc>
          <w:tcPr>
            <w:tcW w:type="dxa" w:w="2037"/>
            <w:vAlign w:val="center"/>
          </w:tcPr>
          <w:p>
            <w:pPr>
              <w:spacing w:before="0" w:after="0"/>
            </w:pPr>
            <w:r>
              <w:rPr>
                <w:b w:val="0"/>
                <w:sz w:val="12"/>
              </w:rPr>
              <w:t>A11</w:t>
            </w:r>
          </w:p>
        </w:tc>
        <w:tc>
          <w:tcPr>
            <w:tcW w:type="dxa" w:w="2037"/>
            <w:vAlign w:val="center"/>
          </w:tcPr>
          <w:p>
            <w:pPr>
              <w:spacing w:before="0" w:after="0"/>
            </w:pPr>
            <w:r>
              <w:rPr>
                <w:b w:val="0"/>
                <w:sz w:val="12"/>
              </w:rPr>
              <w:t>Table S10</w:t>
            </w:r>
          </w:p>
        </w:tc>
        <w:tc>
          <w:tcPr>
            <w:tcW w:type="dxa" w:w="2037"/>
            <w:vAlign w:val="center"/>
          </w:tcPr>
          <w:p>
            <w:pPr>
              <w:spacing w:before="0" w:after="0"/>
            </w:pPr>
            <w:r>
              <w:rPr>
                <w:b w:val="0"/>
                <w:sz w:val="12"/>
              </w:rPr>
              <w:t>benchmark_results/manuscript_revision_cycle43_20260726</w:t>
            </w:r>
          </w:p>
        </w:tc>
        <w:tc>
          <w:tcPr>
            <w:tcW w:type="dxa" w:w="2037"/>
            <w:vAlign w:val="center"/>
          </w:tcPr>
          <w:p>
            <w:pPr>
              <w:spacing w:before="0" w:after="0"/>
            </w:pPr>
            <w:r>
              <w:rPr>
                <w:b w:val="0"/>
                <w:sz w:val="12"/>
              </w:rPr>
              <w:t>0.99.6</w:t>
            </w:r>
          </w:p>
        </w:tc>
        <w:tc>
          <w:tcPr>
            <w:tcW w:type="dxa" w:w="2037"/>
            <w:vAlign w:val="center"/>
          </w:tcPr>
          <w:p>
            <w:pPr>
              <w:spacing w:before="0" w:after="0"/>
            </w:pPr>
            <w:r>
              <w:rPr>
                <w:b w:val="0"/>
                <w:sz w:val="12"/>
              </w:rPr>
              <w:t>not recoverable;not inferred</w:t>
            </w:r>
          </w:p>
        </w:tc>
        <w:tc>
          <w:tcPr>
            <w:tcW w:type="dxa" w:w="2037"/>
            <w:vAlign w:val="center"/>
          </w:tcPr>
          <w:p>
            <w:pPr>
              <w:spacing w:before="0" w:after="0"/>
            </w:pPr>
            <w:r>
              <w:rPr>
                <w:b w:val="0"/>
                <w:sz w:val="12"/>
              </w:rPr>
              <w:t>scripts/run_kernel_sensitivity_after_suite.sh</w:t>
            </w:r>
          </w:p>
        </w:tc>
        <w:tc>
          <w:tcPr>
            <w:tcW w:type="dxa" w:w="2037"/>
            <w:vAlign w:val="center"/>
          </w:tcPr>
          <w:p>
            <w:pPr>
              <w:spacing w:before="0" w:after="0"/>
            </w:pPr>
            <w:r>
              <w:rPr>
                <w:b w:val="0"/>
                <w:sz w:val="12"/>
              </w:rPr>
              <w:t>655adc44784e</w:t>
            </w:r>
          </w:p>
        </w:tc>
      </w:tr>
      <w:tr>
        <w:tc>
          <w:tcPr>
            <w:tcW w:type="dxa" w:w="2037"/>
            <w:vAlign w:val="center"/>
          </w:tcPr>
          <w:p>
            <w:pPr>
              <w:spacing w:before="0" w:after="0"/>
            </w:pPr>
            <w:r>
              <w:rPr>
                <w:b w:val="0"/>
                <w:sz w:val="12"/>
              </w:rPr>
              <w:t>A12</w:t>
            </w:r>
          </w:p>
        </w:tc>
        <w:tc>
          <w:tcPr>
            <w:tcW w:type="dxa" w:w="2037"/>
            <w:vAlign w:val="center"/>
          </w:tcPr>
          <w:p>
            <w:pPr>
              <w:spacing w:before="0" w:after="0"/>
            </w:pPr>
            <w:r>
              <w:rPr>
                <w:b w:val="0"/>
                <w:sz w:val="12"/>
              </w:rPr>
              <w:t>Table S7b</w:t>
            </w:r>
          </w:p>
        </w:tc>
        <w:tc>
          <w:tcPr>
            <w:tcW w:type="dxa" w:w="2037"/>
            <w:vAlign w:val="center"/>
          </w:tcPr>
          <w:p>
            <w:pPr>
              <w:spacing w:before="0" w:after="0"/>
            </w:pPr>
            <w:r>
              <w:rPr>
                <w:b w:val="0"/>
                <w:sz w:val="12"/>
              </w:rPr>
              <w:t>benchmark_results/simpls_vs_plssvd_shapes_20260726_cuda</w:t>
            </w:r>
          </w:p>
        </w:tc>
        <w:tc>
          <w:tcPr>
            <w:tcW w:type="dxa" w:w="2037"/>
            <w:vAlign w:val="center"/>
          </w:tcPr>
          <w:p>
            <w:pPr>
              <w:spacing w:before="0" w:after="0"/>
            </w:pPr>
            <w:r>
              <w:rPr>
                <w:b w:val="0"/>
                <w:sz w:val="12"/>
              </w:rPr>
              <w:t>0.99.6</w:t>
            </w:r>
          </w:p>
        </w:tc>
        <w:tc>
          <w:tcPr>
            <w:tcW w:type="dxa" w:w="2037"/>
            <w:vAlign w:val="center"/>
          </w:tcPr>
          <w:p>
            <w:pPr>
              <w:spacing w:before="0" w:after="0"/>
            </w:pPr>
            <w:r>
              <w:rPr>
                <w:b w:val="0"/>
                <w:sz w:val="12"/>
              </w:rPr>
              <w:t>not recoverable;not inferred</w:t>
            </w:r>
          </w:p>
        </w:tc>
        <w:tc>
          <w:tcPr>
            <w:tcW w:type="dxa" w:w="2037"/>
            <w:vAlign w:val="center"/>
          </w:tcPr>
          <w:p>
            <w:pPr>
              <w:spacing w:before="0" w:after="0"/>
            </w:pPr>
            <w:r>
              <w:rPr>
                <w:b w:val="0"/>
                <w:sz w:val="12"/>
              </w:rPr>
              <w:t>benchmark/benchmark_simpls_vs_plssvd_shapes.R</w:t>
            </w:r>
          </w:p>
        </w:tc>
        <w:tc>
          <w:tcPr>
            <w:tcW w:type="dxa" w:w="2037"/>
            <w:vAlign w:val="center"/>
          </w:tcPr>
          <w:p>
            <w:pPr>
              <w:spacing w:before="0" w:after="0"/>
            </w:pPr>
            <w:r>
              <w:rPr>
                <w:b w:val="0"/>
                <w:sz w:val="12"/>
              </w:rPr>
              <w:t>edadcb285e08</w:t>
            </w:r>
          </w:p>
        </w:tc>
      </w:tr>
      <w:tr>
        <w:tc>
          <w:tcPr>
            <w:tcW w:type="dxa" w:w="2037"/>
            <w:vAlign w:val="center"/>
          </w:tcPr>
          <w:p>
            <w:pPr>
              <w:spacing w:before="0" w:after="0"/>
            </w:pPr>
            <w:r>
              <w:rPr>
                <w:b w:val="0"/>
                <w:sz w:val="12"/>
              </w:rPr>
              <w:t>A13</w:t>
            </w:r>
          </w:p>
        </w:tc>
        <w:tc>
          <w:tcPr>
            <w:tcW w:type="dxa" w:w="2037"/>
            <w:vAlign w:val="center"/>
          </w:tcPr>
          <w:p>
            <w:pPr>
              <w:spacing w:before="0" w:after="0"/>
            </w:pPr>
            <w:r>
              <w:rPr>
                <w:b w:val="0"/>
                <w:sz w:val="12"/>
              </w:rPr>
              <w:t>Table S8</w:t>
            </w:r>
          </w:p>
        </w:tc>
        <w:tc>
          <w:tcPr>
            <w:tcW w:type="dxa" w:w="2037"/>
            <w:vAlign w:val="center"/>
          </w:tcPr>
          <w:p>
            <w:pPr>
              <w:spacing w:before="0" w:after="0"/>
            </w:pPr>
            <w:r>
              <w:rPr>
                <w:b w:val="0"/>
                <w:sz w:val="12"/>
              </w:rPr>
              <w:t>benchmark_results/opls_kernel_estimator_validation_verified_20260726</w:t>
            </w:r>
          </w:p>
        </w:tc>
        <w:tc>
          <w:tcPr>
            <w:tcW w:type="dxa" w:w="2037"/>
            <w:vAlign w:val="center"/>
          </w:tcPr>
          <w:p>
            <w:pPr>
              <w:spacing w:before="0" w:after="0"/>
            </w:pPr>
            <w:r>
              <w:rPr>
                <w:b w:val="0"/>
                <w:sz w:val="12"/>
              </w:rPr>
              <w:t>0.99.6</w:t>
            </w:r>
          </w:p>
        </w:tc>
        <w:tc>
          <w:tcPr>
            <w:tcW w:type="dxa" w:w="2037"/>
            <w:vAlign w:val="center"/>
          </w:tcPr>
          <w:p>
            <w:pPr>
              <w:spacing w:before="0" w:after="0"/>
            </w:pPr>
            <w:r>
              <w:rPr>
                <w:b w:val="0"/>
                <w:sz w:val="12"/>
              </w:rPr>
              <w:t>not recoverable;not inferred</w:t>
            </w:r>
          </w:p>
        </w:tc>
        <w:tc>
          <w:tcPr>
            <w:tcW w:type="dxa" w:w="2037"/>
            <w:vAlign w:val="center"/>
          </w:tcPr>
          <w:p>
            <w:pPr>
              <w:spacing w:before="0" w:after="0"/>
            </w:pPr>
            <w:r>
              <w:rPr>
                <w:b w:val="0"/>
                <w:sz w:val="12"/>
              </w:rPr>
              <w:t>benchmark/benchmark_opls_kernel_estimator_validation.R</w:t>
            </w:r>
          </w:p>
        </w:tc>
        <w:tc>
          <w:tcPr>
            <w:tcW w:type="dxa" w:w="2037"/>
            <w:vAlign w:val="center"/>
          </w:tcPr>
          <w:p>
            <w:pPr>
              <w:spacing w:before="0" w:after="0"/>
            </w:pPr>
            <w:r>
              <w:rPr>
                <w:b w:val="0"/>
                <w:sz w:val="12"/>
              </w:rPr>
              <w:t>61ba3a1486bc</w:t>
            </w:r>
          </w:p>
        </w:tc>
      </w:tr>
      <w:tr>
        <w:tc>
          <w:tcPr>
            <w:tcW w:type="dxa" w:w="2037"/>
            <w:vAlign w:val="center"/>
          </w:tcPr>
          <w:p>
            <w:pPr>
              <w:spacing w:before="0" w:after="0"/>
            </w:pPr>
            <w:r>
              <w:rPr>
                <w:b w:val="0"/>
                <w:sz w:val="12"/>
              </w:rPr>
              <w:t>A14</w:t>
            </w:r>
          </w:p>
        </w:tc>
        <w:tc>
          <w:tcPr>
            <w:tcW w:type="dxa" w:w="2037"/>
            <w:vAlign w:val="center"/>
          </w:tcPr>
          <w:p>
            <w:pPr>
              <w:spacing w:before="0" w:after="0"/>
            </w:pPr>
            <w:r>
              <w:rPr>
                <w:b w:val="0"/>
                <w:sz w:val="12"/>
              </w:rPr>
              <w:t>Table S7</w:t>
            </w:r>
          </w:p>
        </w:tc>
        <w:tc>
          <w:tcPr>
            <w:tcW w:type="dxa" w:w="2037"/>
            <w:vAlign w:val="center"/>
          </w:tcPr>
          <w:p>
            <w:pPr>
              <w:spacing w:before="0" w:after="0"/>
            </w:pPr>
            <w:r>
              <w:rPr>
                <w:b w:val="0"/>
                <w:sz w:val="12"/>
              </w:rPr>
              <w:t>benchmark_results/metal_validation_20260726</w:t>
            </w:r>
          </w:p>
        </w:tc>
        <w:tc>
          <w:tcPr>
            <w:tcW w:type="dxa" w:w="2037"/>
            <w:vAlign w:val="center"/>
          </w:tcPr>
          <w:p>
            <w:pPr>
              <w:spacing w:before="0" w:after="0"/>
            </w:pPr>
            <w:r>
              <w:rPr>
                <w:b w:val="0"/>
                <w:sz w:val="12"/>
              </w:rPr>
              <w:t>0.99.6</w:t>
            </w:r>
          </w:p>
        </w:tc>
        <w:tc>
          <w:tcPr>
            <w:tcW w:type="dxa" w:w="2037"/>
            <w:vAlign w:val="center"/>
          </w:tcPr>
          <w:p>
            <w:pPr>
              <w:spacing w:before="0" w:after="0"/>
            </w:pPr>
            <w:r>
              <w:rPr>
                <w:b w:val="0"/>
                <w:sz w:val="12"/>
              </w:rPr>
              <w:t>recorded by run</w:t>
            </w:r>
          </w:p>
        </w:tc>
        <w:tc>
          <w:tcPr>
            <w:tcW w:type="dxa" w:w="2037"/>
            <w:vAlign w:val="center"/>
          </w:tcPr>
          <w:p>
            <w:pPr>
              <w:spacing w:before="0" w:after="0"/>
            </w:pPr>
            <w:r>
              <w:rPr>
                <w:b w:val="0"/>
                <w:sz w:val="12"/>
              </w:rPr>
              <w:t>benchmark/metal_validation/run_metal_validation.R</w:t>
            </w:r>
          </w:p>
        </w:tc>
        <w:tc>
          <w:tcPr>
            <w:tcW w:type="dxa" w:w="2037"/>
            <w:vAlign w:val="center"/>
          </w:tcPr>
          <w:p>
            <w:pPr>
              <w:spacing w:before="0" w:after="0"/>
            </w:pPr>
            <w:r>
              <w:rPr>
                <w:b w:val="0"/>
                <w:sz w:val="12"/>
              </w:rPr>
              <w:t>6ac2dc3565df</w:t>
            </w:r>
          </w:p>
        </w:tc>
      </w:tr>
      <w:tr>
        <w:tc>
          <w:tcPr>
            <w:tcW w:type="dxa" w:w="2037"/>
            <w:vAlign w:val="center"/>
          </w:tcPr>
          <w:p>
            <w:pPr>
              <w:spacing w:before="0" w:after="0"/>
            </w:pPr>
            <w:r>
              <w:rPr>
                <w:b w:val="0"/>
                <w:sz w:val="12"/>
              </w:rPr>
              <w:t>A15</w:t>
            </w:r>
          </w:p>
        </w:tc>
        <w:tc>
          <w:tcPr>
            <w:tcW w:type="dxa" w:w="2037"/>
            <w:vAlign w:val="center"/>
          </w:tcPr>
          <w:p>
            <w:pPr>
              <w:spacing w:before="0" w:after="0"/>
            </w:pPr>
            <w:r>
              <w:rPr>
                <w:b w:val="0"/>
                <w:sz w:val="12"/>
              </w:rPr>
              <w:t>Table S7</w:t>
            </w:r>
          </w:p>
        </w:tc>
        <w:tc>
          <w:tcPr>
            <w:tcW w:type="dxa" w:w="2037"/>
            <w:vAlign w:val="center"/>
          </w:tcPr>
          <w:p>
            <w:pPr>
              <w:spacing w:before="0" w:after="0"/>
            </w:pPr>
            <w:r>
              <w:rPr>
                <w:b w:val="0"/>
                <w:sz w:val="12"/>
              </w:rPr>
              <w:t>benchmark_results/opls_kernel_setting_reliability_20260726</w:t>
            </w:r>
          </w:p>
        </w:tc>
        <w:tc>
          <w:tcPr>
            <w:tcW w:type="dxa" w:w="2037"/>
            <w:vAlign w:val="center"/>
          </w:tcPr>
          <w:p>
            <w:pPr>
              <w:spacing w:before="0" w:after="0"/>
            </w:pPr>
            <w:r>
              <w:rPr>
                <w:b w:val="0"/>
                <w:sz w:val="12"/>
              </w:rPr>
              <w:t>0.99.6</w:t>
            </w:r>
          </w:p>
        </w:tc>
        <w:tc>
          <w:tcPr>
            <w:tcW w:type="dxa" w:w="2037"/>
            <w:vAlign w:val="center"/>
          </w:tcPr>
          <w:p>
            <w:pPr>
              <w:spacing w:before="0" w:after="0"/>
            </w:pPr>
            <w:r>
              <w:rPr>
                <w:b w:val="0"/>
                <w:sz w:val="12"/>
              </w:rPr>
              <w:t>not recoverable;not inferred</w:t>
            </w:r>
          </w:p>
        </w:tc>
        <w:tc>
          <w:tcPr>
            <w:tcW w:type="dxa" w:w="2037"/>
            <w:vAlign w:val="center"/>
          </w:tcPr>
          <w:p>
            <w:pPr>
              <w:spacing w:before="0" w:after="0"/>
            </w:pPr>
            <w:r>
              <w:rPr>
                <w:b w:val="0"/>
                <w:sz w:val="12"/>
              </w:rPr>
              <w:t>benchmark/benchmark_opls_kernel_setting_reliability.R</w:t>
            </w:r>
          </w:p>
        </w:tc>
        <w:tc>
          <w:tcPr>
            <w:tcW w:type="dxa" w:w="2037"/>
            <w:vAlign w:val="center"/>
          </w:tcPr>
          <w:p>
            <w:pPr>
              <w:spacing w:before="0" w:after="0"/>
            </w:pPr>
            <w:r>
              <w:rPr>
                <w:b w:val="0"/>
                <w:sz w:val="12"/>
              </w:rPr>
              <w:t>2d61edac0d99</w:t>
            </w:r>
          </w:p>
        </w:tc>
      </w:tr>
      <w:tr>
        <w:tc>
          <w:tcPr>
            <w:tcW w:type="dxa" w:w="2037"/>
            <w:vAlign w:val="center"/>
          </w:tcPr>
          <w:p>
            <w:pPr>
              <w:spacing w:before="0" w:after="0"/>
            </w:pPr>
            <w:r>
              <w:rPr>
                <w:b w:val="0"/>
                <w:sz w:val="12"/>
              </w:rPr>
              <w:t>A16</w:t>
            </w:r>
          </w:p>
        </w:tc>
        <w:tc>
          <w:tcPr>
            <w:tcW w:type="dxa" w:w="2037"/>
            <w:vAlign w:val="center"/>
          </w:tcPr>
          <w:p>
            <w:pPr>
              <w:spacing w:before="0" w:after="0"/>
            </w:pPr>
            <w:r>
              <w:rPr>
                <w:b w:val="0"/>
                <w:sz w:val="12"/>
              </w:rPr>
              <w:t>Table S14</w:t>
            </w:r>
          </w:p>
        </w:tc>
        <w:tc>
          <w:tcPr>
            <w:tcW w:type="dxa" w:w="2037"/>
            <w:vAlign w:val="center"/>
          </w:tcPr>
          <w:p>
            <w:pPr>
              <w:spacing w:before="0" w:after="0"/>
            </w:pPr>
            <w:r>
              <w:rPr>
                <w:b w:val="0"/>
                <w:sz w:val="12"/>
              </w:rPr>
              <w:t>benchmark_results/manuscript_revision_cycle66_20260726</w:t>
            </w:r>
          </w:p>
        </w:tc>
        <w:tc>
          <w:tcPr>
            <w:tcW w:type="dxa" w:w="2037"/>
            <w:vAlign w:val="center"/>
          </w:tcPr>
          <w:p>
            <w:pPr>
              <w:spacing w:before="0" w:after="0"/>
            </w:pPr>
            <w:r>
              <w:rPr>
                <w:b w:val="0"/>
                <w:sz w:val="12"/>
              </w:rPr>
              <w:t>0.99.6</w:t>
            </w:r>
          </w:p>
        </w:tc>
        <w:tc>
          <w:tcPr>
            <w:tcW w:type="dxa" w:w="2037"/>
            <w:vAlign w:val="center"/>
          </w:tcPr>
          <w:p>
            <w:pPr>
              <w:spacing w:before="0" w:after="0"/>
            </w:pPr>
            <w:r>
              <w:rPr>
                <w:b w:val="0"/>
                <w:sz w:val="12"/>
              </w:rPr>
              <w:t>run metadata and failures retained</w:t>
            </w:r>
          </w:p>
        </w:tc>
        <w:tc>
          <w:tcPr>
            <w:tcW w:type="dxa" w:w="2037"/>
            <w:vAlign w:val="center"/>
          </w:tcPr>
          <w:p>
            <w:pPr>
              <w:spacing w:before="0" w:after="0"/>
            </w:pPr>
            <w:r>
              <w:rPr>
                <w:b w:val="0"/>
                <w:sz w:val="12"/>
              </w:rPr>
              <w:t>benchmark/benchmark_repeated_outer_selection.R</w:t>
            </w:r>
          </w:p>
        </w:tc>
        <w:tc>
          <w:tcPr>
            <w:tcW w:type="dxa" w:w="2037"/>
            <w:vAlign w:val="center"/>
          </w:tcPr>
          <w:p>
            <w:pPr>
              <w:spacing w:before="0" w:after="0"/>
            </w:pPr>
            <w:r>
              <w:rPr>
                <w:b w:val="0"/>
                <w:sz w:val="12"/>
              </w:rPr>
              <w:t>see archive README</w:t>
            </w:r>
          </w:p>
        </w:tc>
      </w:tr>
      <w:tr>
        <w:tc>
          <w:tcPr>
            <w:tcW w:type="dxa" w:w="2037"/>
            <w:vAlign w:val="center"/>
          </w:tcPr>
          <w:p>
            <w:pPr>
              <w:spacing w:before="0" w:after="0"/>
            </w:pPr>
            <w:r>
              <w:rPr>
                <w:b w:val="0"/>
                <w:sz w:val="12"/>
              </w:rPr>
              <w:t>A17</w:t>
            </w:r>
          </w:p>
        </w:tc>
        <w:tc>
          <w:tcPr>
            <w:tcW w:type="dxa" w:w="2037"/>
            <w:vAlign w:val="center"/>
          </w:tcPr>
          <w:p>
            <w:pPr>
              <w:spacing w:before="0" w:after="0"/>
            </w:pPr>
            <w:r>
              <w:rPr>
                <w:sz w:val="12"/>
              </w:rPr>
              <w:t>Figure 4/Table S12; AMI-00BP-8 #155</w:t>
            </w:r>
          </w:p>
        </w:tc>
        <w:tc>
          <w:tcPr>
            <w:tcW w:type="dxa" w:w="2037"/>
            <w:vAlign w:val="center"/>
          </w:tcPr>
          <w:p>
            <w:pPr>
              <w:spacing w:before="0" w:after="0"/>
            </w:pPr>
            <w:r>
              <w:rPr>
                <w:b w:val="0"/>
                <w:sz w:val="12"/>
              </w:rPr>
              <w:t>benchmark_results/manuscript_revision_cycle80_20260727/nmr_qualified</w:t>
            </w:r>
          </w:p>
        </w:tc>
        <w:tc>
          <w:tcPr>
            <w:tcW w:type="dxa" w:w="2037"/>
            <w:vAlign w:val="center"/>
          </w:tcPr>
          <w:p>
            <w:pPr>
              <w:spacing w:before="0" w:after="0"/>
            </w:pPr>
            <w:r>
              <w:rPr>
                <w:b w:val="0"/>
                <w:sz w:val="12"/>
              </w:rPr>
              <w:t>0.99.6</w:t>
            </w:r>
          </w:p>
        </w:tc>
        <w:tc>
          <w:tcPr>
            <w:tcW w:type="dxa" w:w="2037"/>
            <w:vAlign w:val="center"/>
          </w:tcPr>
          <w:p>
            <w:pPr>
              <w:spacing w:before="0" w:after="0"/>
            </w:pPr>
            <w:r>
              <w:rPr>
                <w:sz w:val="12"/>
              </w:rPr>
              <w:t>archive and selection CSV recorded</w:t>
            </w:r>
          </w:p>
        </w:tc>
        <w:tc>
          <w:tcPr>
            <w:tcW w:type="dxa" w:w="2037"/>
            <w:vAlign w:val="center"/>
          </w:tcPr>
          <w:p>
            <w:pPr>
              <w:spacing w:before="0" w:after="0"/>
            </w:pPr>
            <w:r>
              <w:rPr>
                <w:b w:val="0"/>
                <w:sz w:val="12"/>
              </w:rPr>
              <w:t>benchmark/benchmark_nmr_qualified_solver.R</w:t>
            </w:r>
          </w:p>
        </w:tc>
        <w:tc>
          <w:tcPr>
            <w:tcW w:type="dxa" w:w="2037"/>
            <w:vAlign w:val="center"/>
          </w:tcPr>
          <w:p>
            <w:pPr>
              <w:spacing w:before="0" w:after="0"/>
            </w:pPr>
            <w:r>
              <w:rPr>
                <w:b w:val="0"/>
                <w:sz w:val="12"/>
              </w:rPr>
              <w:t>c868770fee19</w:t>
            </w:r>
          </w:p>
        </w:tc>
      </w:tr>
      <w:tr>
        <w:tc>
          <w:tcPr>
            <w:tcW w:type="dxa" w:w="2037"/>
            <w:vAlign w:val="center"/>
          </w:tcPr>
          <w:p>
            <w:pPr>
              <w:spacing w:before="0" w:after="0"/>
            </w:pPr>
            <w:r>
              <w:rPr>
                <w:b w:val="0"/>
                <w:sz w:val="12"/>
              </w:rPr>
              <w:t>A18</w:t>
            </w:r>
          </w:p>
        </w:tc>
        <w:tc>
          <w:tcPr>
            <w:tcW w:type="dxa" w:w="2037"/>
            <w:vAlign w:val="center"/>
          </w:tcPr>
          <w:p>
            <w:pPr>
              <w:spacing w:before="0" w:after="0"/>
            </w:pPr>
            <w:r>
              <w:rPr>
                <w:b w:val="0"/>
                <w:sz w:val="12"/>
              </w:rPr>
              <w:t>Figure 5 and Table S13 classification path</w:t>
            </w:r>
          </w:p>
        </w:tc>
        <w:tc>
          <w:tcPr>
            <w:tcW w:type="dxa" w:w="2037"/>
            <w:vAlign w:val="center"/>
          </w:tcPr>
          <w:p>
            <w:pPr>
              <w:spacing w:before="0" w:after="0"/>
            </w:pPr>
            <w:r>
              <w:rPr>
                <w:b w:val="0"/>
                <w:sz w:val="12"/>
              </w:rPr>
              <w:t>benchmark_results/manuscript_revision_cycle80_20260727/imagenet_float32_simpls_lda_path</w:t>
            </w:r>
          </w:p>
        </w:tc>
        <w:tc>
          <w:tcPr>
            <w:tcW w:type="dxa" w:w="2037"/>
            <w:vAlign w:val="center"/>
          </w:tcPr>
          <w:p>
            <w:pPr>
              <w:spacing w:before="0" w:after="0"/>
            </w:pPr>
            <w:r>
              <w:rPr>
                <w:b w:val="0"/>
                <w:sz w:val="12"/>
              </w:rPr>
              <w:t>0.99.6</w:t>
            </w:r>
          </w:p>
        </w:tc>
        <w:tc>
          <w:tcPr>
            <w:tcW w:type="dxa" w:w="2037"/>
            <w:vAlign w:val="center"/>
          </w:tcPr>
          <w:p>
            <w:pPr>
              <w:spacing w:before="0" w:after="0"/>
            </w:pPr>
            <w:r>
              <w:rPr>
                <w:b w:val="0"/>
                <w:sz w:val="12"/>
              </w:rPr>
              <w:t>source archive recorded</w:t>
            </w:r>
          </w:p>
        </w:tc>
        <w:tc>
          <w:tcPr>
            <w:tcW w:type="dxa" w:w="2037"/>
            <w:vAlign w:val="center"/>
          </w:tcPr>
          <w:p>
            <w:pPr>
              <w:spacing w:before="0" w:after="0"/>
            </w:pPr>
            <w:r>
              <w:rPr>
                <w:b w:val="0"/>
                <w:sz w:val="12"/>
              </w:rPr>
              <w:t>benchmark/benchmark_imagenet_float32_simpls_lda_path.R</w:t>
            </w:r>
          </w:p>
        </w:tc>
        <w:tc>
          <w:tcPr>
            <w:tcW w:type="dxa" w:w="2037"/>
            <w:vAlign w:val="center"/>
          </w:tcPr>
          <w:p>
            <w:pPr>
              <w:spacing w:before="0" w:after="0"/>
            </w:pPr>
            <w:r>
              <w:rPr>
                <w:b w:val="0"/>
                <w:sz w:val="12"/>
              </w:rPr>
              <w:t>c868770fee19</w:t>
            </w:r>
          </w:p>
        </w:tc>
      </w:tr>
    </w:tbl>
    <w:p>
      <w:pPr>
        <w:pStyle w:val="Heading1"/>
      </w:pPr>
      <w:r>
        <w:t>S21. Repository-only detailed material</w:t>
      </w:r>
    </w:p>
    <w:p>
      <w:r>
        <w:t>Full component paths, per-run rows, sensitivity analyses, review-cycle figures, and the former cycle-66 expanded supplement are indexed in benchmark/MANUSCRIPT_EVIDENCE_ARCHIVE.md. Their underlying CSV, RDS, PDF, PNG, log, and session-information files remain available for audit. Compact definitive ablation results are retained in Table S7a.</w:t>
      </w:r>
    </w:p>
    <w:p>
      <w:pPr>
        <w:pStyle w:val="Heading1"/>
      </w:pPr>
      <w:r>
        <w:t>Supplementary references</w:t>
      </w:r>
    </w:p>
    <w:p>
      <w:r>
        <w:t>References are numbered as in the main manuscript. The final mapping is Retina [25], Tabula Muris [26], PRISM [27], ImageNet [28], DINOv2 [29], CIFAR-100 [30], UNI [31], and Prov-GigaPath [32].</w:t>
      </w:r>
    </w:p>
    <w:sectPr>
      <w:pgSz w:w="15840" w:h="12240" w:orient="landscape"/>
      <w:pgMar w:top="792" w:bottom="792" w:left="792" w:right="792"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60" w:line="480" w:lineRule="auto"/>
      <w:jc w:val="left"/>
    </w:pPr>
    <w:rPr>
      <w:rFonts w:ascii="Times New Roman" w:hAnsi="Times New Roman" w:eastAsia="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line="240" w:lineRule="auto"/>
      <w:outlineLvl w:val="0"/>
    </w:pPr>
    <w:rPr>
      <w:rFonts w:asciiTheme="majorHAnsi" w:cstheme="majorBidi" w:eastAsiaTheme="majorEastAsia" w:hAnsiTheme="majorHAnsi" w:ascii="Times New Roman" w:hAnsi="Times New Roman" w:eastAsia="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40" w:line="240" w:lineRule="auto"/>
      <w:outlineLvl w:val="1"/>
    </w:pPr>
    <w:rPr>
      <w:rFonts w:asciiTheme="majorHAnsi" w:cstheme="majorBidi" w:eastAsiaTheme="majorEastAsia" w:hAnsiTheme="majorHAnsi" w:ascii="Times New Roman" w:hAnsi="Times New Roman" w:eastAsia="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200" w:line="240" w:lineRule="auto"/>
      <w:outlineLvl w:val="2"/>
    </w:pPr>
    <w:rPr>
      <w:rFonts w:cstheme="majorBidi" w:eastAsiaTheme="majorEastAsia" w:ascii="Times New Roman" w:hAnsi="Times New Roman" w:eastAsia="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ManuscriptTitle">
    <w:name w:val="Manuscript Title"/>
    <w:pPr>
      <w:keepNext/>
      <w:spacing w:before="0" w:after="240" w:line="240" w:lineRule="auto"/>
      <w:jc w:val="center"/>
    </w:pPr>
    <w:rPr>
      <w:rFonts w:ascii="Times New Roman" w:hAnsi="Times New Roman" w:eastAsia="Times New Roman"/>
      <w:b/>
      <w:color w:val="000000"/>
      <w:sz w:val="3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fastPLS compact supplementary information - authoritative evidence</dc:title>
  <dc:creator>Dupe Ojo; Alessia Vignoli; Stefano Cacciatore; Leonardo Tenori</dc:creator>
  <cp:keywords>PLS; SIMPLS; rSVD; CUDA; Metal; biomedical data</cp:keywords>
  <dcterms:created xsi:type="dcterms:W3CDTF">2026-07-21T20:38:10Z</dcterms:created>
  <dcterms:modified xsi:type="dcterms:W3CDTF">2026-07-21T20:38:10Z</dcterms:modified>
  <dc:subject>Computer Methods and Programs in Biomedicine submission draft</dc:subject>
</cp:coreProperties>
</file>

<file path=docProps/custom.xml><?xml version="1.0" encoding="utf-8"?>
<Properties xmlns="http://schemas.openxmlformats.org/officeDocument/2006/custom-properties" xmlns:vt="http://schemas.openxmlformats.org/officeDocument/2006/docPropsVTypes"/>
</file>