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FiberMargin: Two-Sided Path Enclosures for Multiclass Spatial Label Repair</w:t>
      </w:r>
    </w:p>
    <w:p>
      <w:pPr>
        <w:pStyle w:val="Author"/>
        <w:keepNext/>
        <w:tabs>
          <w:tab w:pos="9648" w:val="right"/>
        </w:tabs>
        <w:spacing w:after="80" w:line="252" w:lineRule="auto"/>
        <w:jc w:val="left"/>
      </w:pPr>
      <w:r>
        <w:rPr>
          <w:rFonts w:ascii="Calibri" w:hAnsi="Calibri"/>
          <w:b/>
          <w:color w:val="172233"/>
          <w:sz w:val="21"/>
        </w:rPr>
        <w:t>Moussa Kassim</w:t>
      </w:r>
      <w:r>
        <w:rPr>
          <w:rFonts w:ascii="Calibri" w:hAnsi="Calibri"/>
          <w:color w:val="172233"/>
          <w:sz w:val="16"/>
          <w:vertAlign w:val="superscript"/>
        </w:rPr>
        <w:t>1,2</w:t>
      </w:r>
      <w:r>
        <w:tab/>
      </w:r>
      <w:r>
        <w:rPr>
          <w:rFonts w:ascii="Calibri" w:hAnsi="Calibri"/>
          <w:caps/>
          <w:color w:val="172233"/>
          <w:sz w:val="17"/>
        </w:rPr>
        <w:t>Moussa.Kassim@icgeb.org</w:t>
        <w:br/>
      </w:r>
      <w:r>
        <w:rPr>
          <w:rFonts w:ascii="Calibri" w:hAnsi="Calibri"/>
          <w:b/>
          <w:color w:val="172233"/>
          <w:sz w:val="21"/>
        </w:rPr>
        <w:t>Martin Ocharo</w:t>
      </w:r>
      <w:r>
        <w:rPr>
          <w:rFonts w:ascii="Calibri" w:hAnsi="Calibri"/>
          <w:color w:val="172233"/>
          <w:sz w:val="16"/>
          <w:vertAlign w:val="superscript"/>
        </w:rPr>
        <w:t>1,2</w:t>
      </w:r>
      <w:r>
        <w:tab/>
      </w:r>
      <w:r>
        <w:rPr>
          <w:rFonts w:ascii="Calibri" w:hAnsi="Calibri"/>
          <w:caps/>
          <w:color w:val="172233"/>
          <w:sz w:val="17"/>
        </w:rPr>
        <w:t>Martin.Ocharo@icgeb.org</w:t>
        <w:br/>
      </w:r>
      <w:r>
        <w:rPr>
          <w:rFonts w:ascii="Calibri" w:hAnsi="Calibri"/>
          <w:b/>
          <w:color w:val="172233"/>
          <w:sz w:val="21"/>
        </w:rPr>
        <w:t>Dalia Ahmed</w:t>
      </w:r>
      <w:r>
        <w:rPr>
          <w:rFonts w:ascii="Calibri" w:hAnsi="Calibri"/>
          <w:color w:val="172233"/>
          <w:sz w:val="16"/>
          <w:vertAlign w:val="superscript"/>
        </w:rPr>
        <w:t>1</w:t>
      </w:r>
      <w:r>
        <w:tab/>
      </w:r>
      <w:r>
        <w:rPr>
          <w:rFonts w:ascii="Calibri" w:hAnsi="Calibri"/>
          <w:caps/>
          <w:color w:val="172233"/>
          <w:sz w:val="17"/>
        </w:rPr>
        <w:t>Dalia.Ahmed@icgeb.org</w:t>
        <w:br/>
      </w:r>
      <w:r>
        <w:rPr>
          <w:rFonts w:ascii="Calibri" w:hAnsi="Calibri"/>
          <w:b/>
          <w:color w:val="172233"/>
          <w:sz w:val="21"/>
        </w:rPr>
        <w:t>Dupe Ojo</w:t>
      </w:r>
      <w:r>
        <w:rPr>
          <w:rFonts w:ascii="Calibri" w:hAnsi="Calibri"/>
          <w:color w:val="172233"/>
          <w:sz w:val="16"/>
          <w:vertAlign w:val="superscript"/>
        </w:rPr>
        <w:t>1</w:t>
      </w:r>
      <w:r>
        <w:tab/>
      </w:r>
      <w:r>
        <w:rPr>
          <w:rFonts w:ascii="Calibri" w:hAnsi="Calibri"/>
          <w:caps/>
          <w:color w:val="172233"/>
          <w:sz w:val="17"/>
        </w:rPr>
        <w:t>dupe.ojo@icgeb.org</w:t>
        <w:br/>
      </w:r>
      <w:r>
        <w:rPr>
          <w:rFonts w:ascii="Calibri" w:hAnsi="Calibri"/>
          <w:b/>
          <w:color w:val="172233"/>
          <w:sz w:val="21"/>
        </w:rPr>
        <w:t>Alessia Vignoli</w:t>
      </w:r>
      <w:r>
        <w:rPr>
          <w:rFonts w:ascii="Calibri" w:hAnsi="Calibri"/>
          <w:color w:val="172233"/>
          <w:sz w:val="16"/>
          <w:vertAlign w:val="superscript"/>
        </w:rPr>
        <w:t>3,4</w:t>
      </w:r>
      <w:r>
        <w:tab/>
      </w:r>
      <w:r>
        <w:rPr>
          <w:rFonts w:ascii="Calibri" w:hAnsi="Calibri"/>
          <w:caps/>
          <w:color w:val="172233"/>
          <w:sz w:val="17"/>
        </w:rPr>
        <w:t>vignoli@cerm.unifi.it</w:t>
        <w:br/>
      </w:r>
      <w:r>
        <w:rPr>
          <w:rFonts w:ascii="Calibri" w:hAnsi="Calibri"/>
          <w:b/>
          <w:color w:val="172233"/>
          <w:sz w:val="21"/>
        </w:rPr>
        <w:t>Leonardo Tenori</w:t>
      </w:r>
      <w:r>
        <w:rPr>
          <w:rFonts w:ascii="Calibri" w:hAnsi="Calibri"/>
          <w:color w:val="172233"/>
          <w:sz w:val="16"/>
          <w:vertAlign w:val="superscript"/>
        </w:rPr>
        <w:t>3,4</w:t>
      </w:r>
      <w:r>
        <w:tab/>
      </w:r>
      <w:r>
        <w:rPr>
          <w:rFonts w:ascii="Calibri" w:hAnsi="Calibri"/>
          <w:caps/>
          <w:color w:val="172233"/>
          <w:sz w:val="17"/>
        </w:rPr>
        <w:t>tenori@cerm.unifi.it</w:t>
        <w:br/>
      </w:r>
      <w:r>
        <w:rPr>
          <w:rFonts w:ascii="Calibri" w:hAnsi="Calibri"/>
          <w:b/>
          <w:color w:val="172233"/>
          <w:sz w:val="21"/>
        </w:rPr>
        <w:t>Dinesh Gupta</w:t>
      </w:r>
      <w:r>
        <w:rPr>
          <w:rFonts w:ascii="Calibri" w:hAnsi="Calibri"/>
          <w:color w:val="172233"/>
          <w:sz w:val="16"/>
          <w:vertAlign w:val="superscript"/>
        </w:rPr>
        <w:t>20</w:t>
      </w:r>
      <w:r>
        <w:tab/>
      </w:r>
      <w:r>
        <w:rPr>
          <w:rFonts w:ascii="Calibri" w:hAnsi="Calibri"/>
          <w:caps/>
          <w:color w:val="172233"/>
          <w:sz w:val="17"/>
        </w:rPr>
        <w:t>dinesh.gupta@icgeb.org</w:t>
        <w:br/>
      </w:r>
      <w:r>
        <w:rPr>
          <w:rFonts w:ascii="Calibri" w:hAnsi="Calibri"/>
          <w:b/>
          <w:color w:val="172233"/>
          <w:sz w:val="21"/>
        </w:rPr>
        <w:t>Silvano Piazza</w:t>
      </w:r>
      <w:r>
        <w:rPr>
          <w:rFonts w:ascii="Calibri" w:hAnsi="Calibri"/>
          <w:color w:val="172233"/>
          <w:sz w:val="16"/>
          <w:vertAlign w:val="superscript"/>
        </w:rPr>
        <w:t>21,22</w:t>
      </w:r>
      <w:r>
        <w:tab/>
      </w:r>
      <w:r>
        <w:rPr>
          <w:rFonts w:ascii="Calibri" w:hAnsi="Calibri"/>
          <w:caps/>
          <w:color w:val="172233"/>
          <w:sz w:val="17"/>
        </w:rPr>
        <w:t>piazza@icgeb.org</w:t>
        <w:br/>
      </w:r>
      <w:r>
        <w:rPr>
          <w:rFonts w:ascii="Calibri" w:hAnsi="Calibri"/>
          <w:b/>
          <w:color w:val="172233"/>
          <w:sz w:val="21"/>
        </w:rPr>
        <w:t>Stefano Cacciatore</w:t>
      </w:r>
      <w:r>
        <w:rPr>
          <w:rFonts w:ascii="Calibri" w:hAnsi="Calibri"/>
          <w:color w:val="172233"/>
          <w:sz w:val="16"/>
          <w:vertAlign w:val="superscript"/>
        </w:rPr>
        <w:t>1,2</w:t>
      </w:r>
      <w:r>
        <w:tab/>
      </w:r>
      <w:r>
        <w:rPr>
          <w:rFonts w:ascii="Calibri" w:hAnsi="Calibri"/>
          <w:caps/>
          <w:color w:val="172233"/>
          <w:sz w:val="17"/>
        </w:rPr>
        <w:t>stefano.cacciatore@icgeb.org</w:t>
      </w:r>
    </w:p>
    <w:p>
      <w:pPr>
        <w:pStyle w:val="BodyText"/>
        <w:keepNext/>
        <w:spacing w:after="280" w:line="252" w:lineRule="auto"/>
        <w:jc w:val="left"/>
      </w:pPr>
      <w:r/>
      <w:r>
        <w:rPr>
          <w:rFonts w:ascii="Calibri" w:hAnsi="Calibri"/>
          <w:color w:val="172233"/>
          <w:sz w:val="16"/>
          <w:vertAlign w:val="superscript"/>
        </w:rPr>
        <w:t>1</w:t>
      </w:r>
      <w:r>
        <w:rPr>
          <w:rFonts w:ascii="Calibri" w:hAnsi="Calibri"/>
          <w:i/>
          <w:color w:val="172233"/>
          <w:sz w:val="18"/>
        </w:rPr>
        <w:t>Bioinformatics Unit, International Centre for Genetic Engineering and Biotechnology (ICGEB), Cape Town 7925, South Africa</w:t>
        <w:br/>
      </w:r>
      <w:r>
        <w:rPr>
          <w:rFonts w:ascii="Calibri" w:hAnsi="Calibri"/>
          <w:color w:val="172233"/>
          <w:sz w:val="16"/>
          <w:vertAlign w:val="superscript"/>
        </w:rPr>
        <w:t>2</w:t>
      </w:r>
      <w:r>
        <w:rPr>
          <w:rFonts w:ascii="Calibri" w:hAnsi="Calibri"/>
          <w:i/>
          <w:color w:val="172233"/>
          <w:sz w:val="18"/>
        </w:rPr>
        <w:t>Department of Integrative Biomedical Sciences, Institute of Infectious Disease &amp; Molecular Medicine (IDM), University of Cape Town, Cape Town 7925, South Africa</w:t>
        <w:br/>
      </w:r>
      <w:r>
        <w:rPr>
          <w:rFonts w:ascii="Calibri" w:hAnsi="Calibri"/>
          <w:color w:val="172233"/>
          <w:sz w:val="16"/>
          <w:vertAlign w:val="superscript"/>
        </w:rPr>
        <w:t>3</w:t>
      </w:r>
      <w:r>
        <w:rPr>
          <w:rFonts w:ascii="Calibri" w:hAnsi="Calibri"/>
          <w:i/>
          <w:color w:val="172233"/>
          <w:sz w:val="18"/>
        </w:rPr>
        <w:t>Department of Chemistry "Ugo Schiff", University of Florence, Sesto Fiorentino, Italy</w:t>
        <w:br/>
      </w:r>
      <w:r>
        <w:rPr>
          <w:rFonts w:ascii="Calibri" w:hAnsi="Calibri"/>
          <w:color w:val="172233"/>
          <w:sz w:val="16"/>
          <w:vertAlign w:val="superscript"/>
        </w:rPr>
        <w:t>4</w:t>
      </w:r>
      <w:r>
        <w:rPr>
          <w:rFonts w:ascii="Calibri" w:hAnsi="Calibri"/>
          <w:i/>
          <w:color w:val="172233"/>
          <w:sz w:val="18"/>
        </w:rPr>
        <w:t>Magnetic Resonance Center (CERM), University of Florence, Sesto Fiorentino, Italy</w:t>
        <w:br/>
      </w:r>
      <w:r>
        <w:rPr>
          <w:rFonts w:ascii="Calibri" w:hAnsi="Calibri"/>
          <w:color w:val="172233"/>
          <w:sz w:val="16"/>
          <w:vertAlign w:val="superscript"/>
        </w:rPr>
        <w:t>20</w:t>
      </w:r>
      <w:r>
        <w:rPr>
          <w:rFonts w:ascii="Calibri" w:hAnsi="Calibri"/>
          <w:i/>
          <w:color w:val="172233"/>
          <w:sz w:val="18"/>
        </w:rPr>
        <w:t>Translational Bioinformatics Group, International Centre for Genetic Engineering and Biotechnology (ICGEB), New Delhi, India</w:t>
        <w:br/>
      </w:r>
      <w:r>
        <w:rPr>
          <w:rFonts w:ascii="Calibri" w:hAnsi="Calibri"/>
          <w:color w:val="172233"/>
          <w:sz w:val="16"/>
          <w:vertAlign w:val="superscript"/>
        </w:rPr>
        <w:t>21</w:t>
      </w:r>
      <w:r>
        <w:rPr>
          <w:rFonts w:ascii="Calibri" w:hAnsi="Calibri"/>
          <w:i/>
          <w:color w:val="172233"/>
          <w:sz w:val="18"/>
        </w:rPr>
        <w:t>Computational Biology Group, International Centre for Genetic Engineering and Biotechnology (ICGEB), Trieste, Italy</w:t>
        <w:br/>
      </w:r>
      <w:r>
        <w:rPr>
          <w:rFonts w:ascii="Calibri" w:hAnsi="Calibri"/>
          <w:color w:val="172233"/>
          <w:sz w:val="16"/>
          <w:vertAlign w:val="superscript"/>
        </w:rPr>
        <w:t>22</w:t>
      </w:r>
      <w:r>
        <w:rPr>
          <w:rFonts w:ascii="Calibri" w:hAnsi="Calibri"/>
          <w:i/>
          <w:color w:val="172233"/>
          <w:sz w:val="18"/>
        </w:rPr>
        <w:t>Bioinformatics Facility, Department of Cellular, Computational and Integrative Biology - CIBIO, University of Trento, Trento, Italy</w:t>
      </w:r>
    </w:p>
    <w:p>
      <w:pPr>
        <w:pStyle w:val="Heading1"/>
        <w:spacing w:before="80"/>
      </w:pPr>
      <w:r>
        <w:t>Abstract</w:t>
      </w:r>
    </w:p>
    <w:p>
      <w:pPr>
        <w:pStyle w:val="FirstParagraph"/>
      </w:pPr>
      <w:r>
        <w:t xml:space="preserve">Multiclass spatial label fields can contain isolated errors, unstable borders, and</w:t>
      </w:r>
      <w:r>
        <w:t xml:space="preserve"> </w:t>
      </w:r>
      <w:r>
        <w:t xml:space="preserve">mislabeled patches. We study</w:t>
      </w:r>
      <w:r>
        <w:t xml:space="preserve"> </w:t>
      </w:r>
      <w:r>
        <w:t xml:space="preserve">training-free repair from coordinates and one imperfect categorical field, without</w:t>
      </w:r>
      <w:r>
        <w:t xml:space="preserve"> </w:t>
      </w:r>
      <w:r>
        <w:t xml:space="preserve">images, logits, anchors, or reference labels. FiberMargin is a deterministic</w:t>
      </w:r>
      <w:r>
        <w:t xml:space="preserve"> </w:t>
      </w:r>
      <w:r>
        <w:t xml:space="preserve">two-sided enclosure operator. Rotated Hilbert paths support forward and reverse</w:t>
      </w:r>
      <w:r>
        <w:t xml:space="preserve"> </w:t>
      </w:r>
      <w:r>
        <w:t xml:space="preserve">exponential recurrences; adding their square-root amplitudes rewards rival-class</w:t>
      </w:r>
      <w:r>
        <w:t xml:space="preserve"> </w:t>
      </w:r>
      <w:r>
        <w:t xml:space="preserve">evidence that encloses a query from both directions. A label changes only when the</w:t>
      </w:r>
      <w:r>
        <w:t xml:space="preserve"> </w:t>
      </w:r>
      <w:r>
        <w:t xml:space="preserve">resulting atlas contrast clears a barrier determined by path disagreement, class</w:t>
      </w:r>
      <w:r>
        <w:t xml:space="preserve"> </w:t>
      </w:r>
      <w:r>
        <w:t xml:space="preserve">prevalence, and local isolation. We derive an exact repair–damage decomposition,</w:t>
      </w:r>
      <w:r>
        <w:t xml:space="preserve"> </w:t>
      </w:r>
      <w:r>
        <w:t xml:space="preserve">characterize the enclosure field, and establish finite-input stability.</w:t>
      </w:r>
    </w:p>
    <w:p>
      <w:pPr>
        <w:pStyle w:val="BodyText"/>
      </w:pPr>
      <w:r>
        <w:t xml:space="preserve">Against eight equal-input controls, FiberMargin obtained</w:t>
      </w:r>
      <w:r>
        <w:t xml:space="preserve"> </w:t>
      </w:r>
      <w:r>
        <w:t xml:space="preserve">the highest Accuracy and adjusted Rand index on 708 complete simulations, 108 unseen</w:t>
      </w:r>
      <w:r>
        <w:t xml:space="preserve"> </w:t>
      </w:r>
      <w:r>
        <w:t xml:space="preserve">geometries, procedural multiclass masks, DLPFC, and MERFISH, and the highest Accuracy</w:t>
      </w:r>
      <w:r>
        <w:t xml:space="preserve"> </w:t>
      </w:r>
      <w:r>
        <w:t xml:space="preserve">on variable-density 3D fields. It narrowly trailed multiscale mode on CRC. On saved</w:t>
      </w:r>
      <w:r>
        <w:t xml:space="preserve"> </w:t>
      </w:r>
      <w:r>
        <w:t xml:space="preserve">CamVid and S3DIS predictions it improved the upstream labels but did not lead the</w:t>
      </w:r>
      <w:r>
        <w:t xml:space="preserve"> </w:t>
      </w:r>
      <w:r>
        <w:t xml:space="preserve">comparison, delimiting its transfer range. The C++ implementation processed 500,000</w:t>
      </w:r>
      <w:r>
        <w:t xml:space="preserve"> </w:t>
      </w:r>
      <w:r>
        <w:t xml:space="preserve">observations in 6.15 seconds. The evidence supports FiberMargin as an auditable</w:t>
      </w:r>
      <w:r>
        <w:t xml:space="preserve"> </w:t>
      </w:r>
      <w:r>
        <w:t xml:space="preserve">operator for irregular multiclass spatial fields, not as a universal mask smoother.</w:t>
      </w:r>
    </w:p>
    <w:bookmarkStart w:id="20" w:name="introduction"/>
    <w:p>
      <w:pPr>
        <w:pStyle w:val="BodyText"/>
        <w:spacing w:after="240"/>
      </w:pPr>
      <w:r>
        <w:rPr>
          <w:i/>
          <w:color w:val="5F6B78"/>
        </w:rPr>
        <w:t>Keywords: categorical mask repair; spatial label refinement; coordinate-only learning; noisy labels; spatial transcriptomics</w:t>
      </w:r>
    </w:p>
    <w:p>
      <w:pPr>
        <w:pStyle w:val="Heading1"/>
      </w:pPr>
      <w:r>
        <w:t>1  Introduction</w:t>
      </w:r>
    </w:p>
    <w:p>
      <w:pPr>
        <w:pStyle w:val="FirstParagraph"/>
      </w:pPr>
      <w:r>
        <w:t xml:space="preserve">Semantic masks, anatomical label maps, spatial-omics domains, land-cover maps, and</w:t>
      </w:r>
      <w:r>
        <w:t xml:space="preserve"> </w:t>
      </w:r>
      <w:r>
        <w:t xml:space="preserve">point-cloud annotations are all categorical fields on a spatial domain. Once such a</w:t>
      </w:r>
      <w:r>
        <w:t xml:space="preserve"> </w:t>
      </w:r>
      <w:r>
        <w:t xml:space="preserve">field exists, a practitioner may trust its large-scale organization but suspect local</w:t>
      </w:r>
      <w:r>
        <w:t xml:space="preserve"> </w:t>
      </w:r>
      <w:r>
        <w:t xml:space="preserve">assignment errors. Re-running the upstream annotator or segmentation model may be</w:t>
      </w:r>
      <w:r>
        <w:t xml:space="preserve"> </w:t>
      </w:r>
      <w:r>
        <w:t xml:space="preserve">impossible, expensive, private, or unnecessarily disruptive.</w:t>
      </w:r>
    </w:p>
    <w:p>
      <w:pPr>
        <w:pStyle w:val="BodyText"/>
      </w:pPr>
      <w:r>
        <w:t xml:space="preserve">We study</w:t>
      </w:r>
      <w:r>
        <w:t xml:space="preserve"> </w:t>
      </w:r>
      <w:r>
        <w:rPr>
          <w:i/>
          <w:iCs/>
        </w:rPr>
        <w:t xml:space="preserve">training-free multiclass spatial label repair</w:t>
      </w:r>
      <w:r>
        <w:t xml:space="preserve">. The input is one label field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at coordinates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p>
          <m:e>
            <m:r>
              <m:rPr>
                <m:sty m:val="p"/>
                <m:scr m:val="double-struck"/>
              </m:rPr>
              <m:t>R</m:t>
            </m:r>
          </m:e>
          <m:sup>
            <m:r>
              <m:t>d</m:t>
            </m:r>
          </m:sup>
        </m:sSup>
      </m:oMath>
      <w:r>
        <w:t xml:space="preserve">; the output is a</w:t>
      </w:r>
      <w:r>
        <w:t xml:space="preserve"> </w:t>
      </w:r>
      <w:r>
        <w:t xml:space="preserve">repaired field and a pointwise audit map. Source images, expression values, logits,</w:t>
      </w:r>
      <w:r>
        <w:t xml:space="preserve"> </w:t>
      </w:r>
      <w:r>
        <w:t xml:space="preserve">clean masks, and a training collection are unavailable. Regular pixel and voxel</w:t>
      </w:r>
      <w:r>
        <w:t xml:space="preserve"> </w:t>
      </w:r>
      <w:r>
        <w:t xml:space="preserve">arrays are supported, while irregular 2D/3D point sets are the primary setting. This</w:t>
      </w:r>
      <w:r>
        <w:t xml:space="preserve"> </w:t>
      </w:r>
      <w:r>
        <w:t xml:space="preserve">information budget separates repair from segmentation and from learning robustly</w:t>
      </w:r>
      <w:r>
        <w:t xml:space="preserve"> </w:t>
      </w:r>
      <w:r>
        <w:t xml:space="preserve">with noisy annotations. The package also contains a separate binary utility, evaluated</w:t>
      </w:r>
      <w:r>
        <w:t xml:space="preserve"> </w:t>
      </w:r>
      <w:r>
        <w:t xml:space="preserve">only as an auxiliary diagnostic in the supplement; it is not evidence for the</w:t>
      </w:r>
      <w:r>
        <w:t xml:space="preserve"> </w:t>
      </w:r>
      <w:r>
        <w:t xml:space="preserve">multiclass enclosure mechanism developed here.</w:t>
      </w:r>
    </w:p>
    <w:p>
      <w:pPr>
        <w:pStyle w:val="BodyText"/>
      </w:pPr>
      <w:r>
        <w:t xml:space="preserve">Section 2 situates this coordinate-and-label-only setting among classical spatial</w:t>
      </w:r>
      <w:r>
        <w:t xml:space="preserve"> </w:t>
      </w:r>
      <w:r>
        <w:t xml:space="preserve">restoration, graphical models, learned segmentation refiners, noisy-label learning,</w:t>
      </w:r>
      <w:r>
        <w:t xml:space="preserve"> </w:t>
      </w:r>
      <w:r>
        <w:t xml:space="preserve">annotation fusion, self-supervised denoising, and topology-aware segmentation. The</w:t>
      </w:r>
      <w:r>
        <w:t xml:space="preserve"> </w:t>
      </w:r>
      <w:r>
        <w:t xml:space="preserve">supplement summarizes the information available to each method family.</w:t>
      </w:r>
    </w:p>
    <w:p>
      <w:pPr>
        <w:pStyle w:val="BodyText"/>
      </w:pPr>
      <w:r>
        <w:t xml:space="preserve">FiberMargin represents each specimen through multiple one-dimensional charts made by</w:t>
      </w:r>
      <w:r>
        <w:t xml:space="preserve"> </w:t>
      </w:r>
      <w:r>
        <w:t xml:space="preserve">rotating the coordinates and ordering them with a Hilbert space-filling curve</w:t>
      </w:r>
      <w:r>
        <w:t xml:space="preserve"> </w:t>
      </w:r>
      <w:r>
        <w:t xml:space="preserve">(</w:t>
      </w:r>
      <w:hyperlink w:anchor="ref-sagan1994">
        <w:r>
          <w:rPr>
            <w:rStyle w:val="Hyperlink"/>
          </w:rPr>
          <w:t xml:space="preserve">Sagan 1994</w:t>
        </w:r>
      </w:hyperlink>
      <w:r>
        <w:t xml:space="preserve">;</w:t>
      </w:r>
      <w:r>
        <w:t xml:space="preserve"> </w:t>
      </w:r>
      <w:hyperlink w:anchor="ref-moon2001">
        <w:r>
          <w:rPr>
            <w:rStyle w:val="Hyperlink"/>
          </w:rPr>
          <w:t xml:space="preserve">Moon et al. 2001</w:t>
        </w:r>
      </w:hyperlink>
      <w:r>
        <w:t xml:space="preserve">)</w:t>
      </w:r>
      <w:r>
        <w:t xml:space="preserve">. Each chart supports a linear-time recurrence. A</w:t>
      </w:r>
      <w:r>
        <w:t xml:space="preserve"> </w:t>
      </w:r>
      <w:r>
        <w:t xml:space="preserve">single fixed transport range propagates unit class evidence in both path directions.</w:t>
      </w:r>
      <w:r>
        <w:t xml:space="preserve"> </w:t>
      </w:r>
      <w:r>
        <w:t xml:space="preserve">The two directional amplitudes form an enclosure field that rewards bilateral support,</w:t>
      </w:r>
      <w:r>
        <w:t xml:space="preserve"> </w:t>
      </w:r>
      <w:r>
        <w:t xml:space="preserve">while large coordinate jumps attenuate transport. The central decision rule is simple:</w:t>
      </w:r>
      <w:r>
        <w:t xml:space="preserve"> </w:t>
      </w:r>
      <w:r>
        <w:t xml:space="preserve">accept a rival only when its mean rival-versus-observed contrast across the path atlas</w:t>
      </w:r>
      <w:r>
        <w:t xml:space="preserve"> </w:t>
      </w:r>
      <w:r>
        <w:t xml:space="preserve">exceeds the barrier induced by chart disagreement, class prevalence, and local query</w:t>
      </w:r>
      <w:r>
        <w:t xml:space="preserve"> </w:t>
      </w:r>
      <w:r>
        <w:t xml:space="preserve">isolation. The term</w:t>
      </w:r>
      <w:r>
        <w:t xml:space="preserve"> </w:t>
      </w:r>
      <w:r>
        <w:rPr>
          <w:i/>
          <w:iCs/>
        </w:rPr>
        <w:t xml:space="preserve">margin</w:t>
      </w:r>
      <w:r>
        <w:t xml:space="preserve"> </w:t>
      </w:r>
      <w:r>
        <w:t xml:space="preserve">refers to this difference between rival and observed-class</w:t>
      </w:r>
      <w:r>
        <w:t xml:space="preserve"> </w:t>
      </w:r>
      <w:r>
        <w:t xml:space="preserve">evidence.</w:t>
      </w:r>
    </w:p>
    <w:p>
      <w:pPr>
        <w:pStyle w:val="BodyText"/>
      </w:pPr>
      <w:r>
        <w:t xml:space="preserve">The paper makes four empirical and theoretical contributions:</w:t>
      </w:r>
    </w:p>
    <w:p>
      <w:pPr>
        <w:pStyle w:val="Compact"/>
        <w:numPr>
          <w:ilvl w:val="0"/>
          <w:numId w:val="1001"/>
        </w:numPr>
      </w:pPr>
      <w:r>
        <w:t xml:space="preserve">an information-budget taxonomy for categorical-field cleaning, a formal</w:t>
      </w:r>
      <w:r>
        <w:t xml:space="preserve"> </w:t>
      </w:r>
      <w:r>
        <w:t xml:space="preserve">training-free repair interface, and an exact identity separating repaired</w:t>
      </w:r>
      <w:r>
        <w:t xml:space="preserve"> </w:t>
      </w:r>
      <w:r>
        <w:t xml:space="preserve">errors from damage to correct labels;</w:t>
      </w:r>
    </w:p>
    <w:p>
      <w:pPr>
        <w:pStyle w:val="Compact"/>
        <w:numPr>
          <w:ilvl w:val="0"/>
          <w:numId w:val="1001"/>
        </w:numPr>
      </w:pPr>
      <w:r>
        <w:t xml:space="preserve">a two-sided enclosure margin based on an atlas of chain orderings, with an exact</w:t>
      </w:r>
      <w:r>
        <w:t xml:space="preserve"> </w:t>
      </w:r>
      <w:r>
        <w:t xml:space="preserve">amplitude characterization, conditional chart-interior recovery results, and</w:t>
      </w:r>
      <w:r>
        <w:t xml:space="preserve"> </w:t>
      </w:r>
      <w:r>
        <w:t xml:space="preserve">finite-input stability;</w:t>
      </w:r>
    </w:p>
    <w:p>
      <w:pPr>
        <w:pStyle w:val="Compact"/>
        <w:numPr>
          <w:ilvl w:val="0"/>
          <w:numId w:val="1001"/>
        </w:numPr>
      </w:pPr>
      <w:r>
        <w:t xml:space="preserve">a reproducible benchmark spanning procedural multiclass masks, spatial</w:t>
      </w:r>
      <w:r>
        <w:t xml:space="preserve"> </w:t>
      </w:r>
      <w:r>
        <w:t xml:space="preserve">simulations, volumetric fields, controlled biological coordinates, and two real</w:t>
      </w:r>
      <w:r>
        <w:t xml:space="preserve"> </w:t>
      </w:r>
      <w:r>
        <w:t xml:space="preserve">upstream-prediction evaluations, with calibrated Potts,</w:t>
      </w:r>
      <w:r>
        <w:t xml:space="preserve"> </w:t>
      </w:r>
      <w:r>
        <w:t xml:space="preserve">conditional-random-field (CRF), propagation, and multiscale-mode controls under</w:t>
      </w:r>
      <w:r>
        <w:t xml:space="preserve"> </w:t>
      </w:r>
      <w:r>
        <w:t xml:space="preserve">the same information budget;</w:t>
      </w:r>
    </w:p>
    <w:p>
      <w:pPr>
        <w:pStyle w:val="Compact"/>
        <w:numPr>
          <w:ilvl w:val="0"/>
          <w:numId w:val="1001"/>
        </w:numPr>
      </w:pPr>
      <w:r>
        <w:t xml:space="preserve">a minimal R API and C++ implementation measured through 500,000 observations and</w:t>
      </w:r>
      <w:r>
        <w:t xml:space="preserve"> </w:t>
      </w:r>
      <w:r>
        <w:t xml:space="preserve">20 classes.</w:t>
      </w:r>
    </w:p>
    <w:bookmarkEnd w:id="20"/>
    <w:bookmarkStart w:id="26" w:name="related-work-and-task-positioning"/>
    <w:p>
      <w:pPr>
        <w:pStyle w:val="Heading1"/>
      </w:pPr>
      <w:r>
        <w:t>2  Related Work and Task Positioning</w:t>
      </w:r>
    </w:p>
    <w:bookmarkStart w:id="21" w:name="classical-categorical-field-restoration"/>
    <w:p>
      <w:pPr>
        <w:pStyle w:val="Heading2"/>
      </w:pPr>
      <w:r>
        <w:t>2.1  Classical categorical-field restoration</w:t>
      </w:r>
    </w:p>
    <w:p>
      <w:pPr>
        <w:pStyle w:val="FirstParagraph"/>
      </w:pPr>
      <w:r>
        <w:t xml:space="preserve">Cleaning a spatial label field predates modern segmentation networks. Mathematical</w:t>
      </w:r>
      <w:r>
        <w:t xml:space="preserve"> </w:t>
      </w:r>
      <w:r>
        <w:t xml:space="preserve">morphology provides erosion, dilation, opening, closing, reconstruction, and</w:t>
      </w:r>
      <w:r>
        <w:t xml:space="preserve"> </w:t>
      </w:r>
      <w:r>
        <w:t xml:space="preserve">connected filtering driven by a chosen structuring element</w:t>
      </w:r>
      <w:r>
        <w:t xml:space="preserve"> </w:t>
      </w:r>
      <w:r>
        <w:t xml:space="preserve">(</w:t>
      </w:r>
      <w:hyperlink w:anchor="ref-serra1982">
        <w:r>
          <w:rPr>
            <w:rStyle w:val="Hyperlink"/>
          </w:rPr>
          <w:t xml:space="preserve">Serra 1982</w:t>
        </w:r>
      </w:hyperlink>
      <w:r>
        <w:t xml:space="preserve">;</w:t>
      </w:r>
      <w:r>
        <w:t xml:space="preserve"> </w:t>
      </w:r>
      <w:hyperlink w:anchor="ref-soille2003">
        <w:r>
          <w:rPr>
            <w:rStyle w:val="Hyperlink"/>
          </w:rPr>
          <w:t xml:space="preserve">Soille 2003</w:t>
        </w:r>
      </w:hyperlink>
      <w:r>
        <w:t xml:space="preserve">)</w:t>
      </w:r>
      <w:r>
        <w:t xml:space="preserve">.</w:t>
      </w:r>
      <w:r>
        <w:t xml:space="preserve"> </w:t>
      </w:r>
      <w:r>
        <w:t xml:space="preserve">Mode filters and connected-component rules similarly encode a local scale or an</w:t>
      </w:r>
      <w:r>
        <w:t xml:space="preserve"> </w:t>
      </w:r>
      <w:r>
        <w:t xml:space="preserve">explicit size threshold. These operators are transparent and training free, but their</w:t>
      </w:r>
      <w:r>
        <w:t xml:space="preserve"> </w:t>
      </w:r>
      <w:r>
        <w:t xml:space="preserve">behavior is tied to a lattice neighborhood and a fixed geometric template; applying</w:t>
      </w:r>
      <w:r>
        <w:t xml:space="preserve"> </w:t>
      </w:r>
      <w:r>
        <w:t xml:space="preserve">the same template to a rare island, a narrow class, and an isolated error can produce</w:t>
      </w:r>
      <w:r>
        <w:t xml:space="preserve"> </w:t>
      </w:r>
      <w:r>
        <w:t xml:space="preserve">opposite outcomes.</w:t>
      </w:r>
    </w:p>
    <w:p>
      <w:pPr>
        <w:pStyle w:val="BodyText"/>
      </w:pPr>
      <w:r>
        <w:t xml:space="preserve">Conditional random fields (CRFs) are graphical models that combine a unary preference</w:t>
      </w:r>
      <w:r>
        <w:t xml:space="preserve"> </w:t>
      </w:r>
      <w:r>
        <w:t xml:space="preserve">for each class with pairwise compatibility terms between locations</w:t>
      </w:r>
      <w:r>
        <w:t xml:space="preserve"> </w:t>
      </w:r>
      <w:r>
        <w:t xml:space="preserve">(</w:t>
      </w:r>
      <w:hyperlink w:anchor="ref-geman1984">
        <w:r>
          <w:rPr>
            <w:rStyle w:val="Hyperlink"/>
          </w:rPr>
          <w:t xml:space="preserve">Geman and Geman 1984</w:t>
        </w:r>
      </w:hyperlink>
      <w:r>
        <w:t xml:space="preserve">;</w:t>
      </w:r>
      <w:r>
        <w:t xml:space="preserve"> </w:t>
      </w:r>
      <w:hyperlink w:anchor="ref-besag1986">
        <w:r>
          <w:rPr>
            <w:rStyle w:val="Hyperlink"/>
          </w:rPr>
          <w:t xml:space="preserve">Besag 1986</w:t>
        </w:r>
      </w:hyperlink>
      <w:r>
        <w:t xml:space="preserve">)</w:t>
      </w:r>
      <w:r>
        <w:t xml:space="preserve">. Iterated conditional modes is a fast local optimizer, while graph-cut</w:t>
      </w:r>
      <w:r>
        <w:t xml:space="preserve"> </w:t>
      </w:r>
      <w:r>
        <w:t xml:space="preserve">constructions give strong optimization results for important discrete energies</w:t>
      </w:r>
      <w:r>
        <w:t xml:space="preserve"> </w:t>
      </w:r>
      <w:r>
        <w:t xml:space="preserve">(</w:t>
      </w:r>
      <w:hyperlink w:anchor="ref-boykov2001">
        <w:r>
          <w:rPr>
            <w:rStyle w:val="Hyperlink"/>
          </w:rPr>
          <w:t xml:space="preserve">Boykov, Veksler, and Zabih 2001</w:t>
        </w:r>
      </w:hyperlink>
      <w:r>
        <w:t xml:space="preserve">)</w:t>
      </w:r>
      <w:r>
        <w:t xml:space="preserve">. Fully connected CRFs add long-range pairwise interactions and typically</w:t>
      </w:r>
      <w:r>
        <w:t xml:space="preserve"> </w:t>
      </w:r>
      <w:r>
        <w:t xml:space="preserve">combine positions with color or learned unary scores</w:t>
      </w:r>
      <w:r>
        <w:t xml:space="preserve"> </w:t>
      </w:r>
      <w:r>
        <w:t xml:space="preserve">(</w:t>
      </w:r>
      <w:hyperlink w:anchor="ref-krahenbuhl2011">
        <w:r>
          <w:rPr>
            <w:rStyle w:val="Hyperlink"/>
          </w:rPr>
          <w:t xml:space="preserve">Krähenbühl and Koltun 2011</w:t>
        </w:r>
      </w:hyperlink>
      <w:r>
        <w:t xml:space="preserve">)</w:t>
      </w:r>
      <w:r>
        <w:t xml:space="preserve">. CRF-RNN</w:t>
      </w:r>
      <w:r>
        <w:t xml:space="preserve"> </w:t>
      </w:r>
      <w:r>
        <w:t xml:space="preserve">(</w:t>
      </w:r>
      <w:r>
        <w:rPr>
          <w:i/>
          <w:iCs/>
        </w:rPr>
        <w:t xml:space="preserve">conditional random fields as recurrent neural networks</w:t>
      </w:r>
      <w:r>
        <w:t xml:space="preserve">) unrolls CRF mean-field</w:t>
      </w:r>
      <w:r>
        <w:t xml:space="preserve"> </w:t>
      </w:r>
      <w:r>
        <w:t xml:space="preserve">updates as recurrent layers, allowing them to be trained with a segmentation network</w:t>
      </w:r>
      <w:r>
        <w:t xml:space="preserve"> </w:t>
      </w:r>
      <w:r>
        <w:t xml:space="preserve">(</w:t>
      </w:r>
      <w:hyperlink w:anchor="ref-zheng2015crfrnn">
        <w:r>
          <w:rPr>
            <w:rStyle w:val="Hyperlink"/>
          </w:rPr>
          <w:t xml:space="preserve">Zheng et al. 2015</w:t>
        </w:r>
      </w:hyperlink>
      <w:r>
        <w:t xml:space="preserve">)</w:t>
      </w:r>
      <w:r>
        <w:t xml:space="preserve">. Random-walker segmentation and harmonic label propagation spread</w:t>
      </w:r>
      <w:r>
        <w:t xml:space="preserve"> </w:t>
      </w:r>
      <w:r>
        <w:t xml:space="preserve">information across an affinity graph</w:t>
      </w:r>
      <w:r>
        <w:t xml:space="preserve"> </w:t>
      </w:r>
      <w:r>
        <w:t xml:space="preserve">(</w:t>
      </w:r>
      <w:hyperlink w:anchor="ref-grady2006">
        <w:r>
          <w:rPr>
            <w:rStyle w:val="Hyperlink"/>
          </w:rPr>
          <w:t xml:space="preserve">Grady 2006</w:t>
        </w:r>
      </w:hyperlink>
      <w:r>
        <w:t xml:space="preserve">;</w:t>
      </w:r>
      <w:r>
        <w:t xml:space="preserve"> </w:t>
      </w:r>
      <w:hyperlink w:anchor="ref-zhu2003">
        <w:r>
          <w:rPr>
            <w:rStyle w:val="Hyperlink"/>
          </w:rPr>
          <w:t xml:space="preserve">Zhu, Ghahramani, and Lafferty 2003</w:t>
        </w:r>
      </w:hyperlink>
      <w:r>
        <w:t xml:space="preserve">)</w:t>
      </w:r>
      <w:r>
        <w:t xml:space="preserve">. FiberMargin is a</w:t>
      </w:r>
      <w:r>
        <w:t xml:space="preserve"> </w:t>
      </w:r>
      <w:r>
        <w:t xml:space="preserve">coordinate-and-label-only restoration operator: it treats every observed label as</w:t>
      </w:r>
      <w:r>
        <w:t xml:space="preserve"> </w:t>
      </w:r>
      <w:r>
        <w:t xml:space="preserve">potentially erroneous, rather than designating trusted seeds or using calibrated class</w:t>
      </w:r>
      <w:r>
        <w:t xml:space="preserve"> </w:t>
      </w:r>
      <w:r>
        <w:t xml:space="preserve">probabilities. It aggregates spatial evidence along several rotated Hilbert paths, each</w:t>
      </w:r>
      <w:r>
        <w:t xml:space="preserve"> </w:t>
      </w:r>
      <w:r>
        <w:t xml:space="preserve">evaluated by a one-dimensional recurrence. Under this same input constraint, we compare</w:t>
      </w:r>
      <w:r>
        <w:t xml:space="preserve"> </w:t>
      </w:r>
      <w:r>
        <w:t xml:space="preserve">fixed Potts ICM and alpha-expansion Potts inference, a coordinate-only CRF,</w:t>
      </w:r>
      <w:r>
        <w:t xml:space="preserve"> </w:t>
      </w:r>
      <w:r>
        <w:t xml:space="preserve">self-anchored harmonic propagation, and multiscale mode filtering. Methods that also</w:t>
      </w:r>
      <w:r>
        <w:t xml:space="preserve"> </w:t>
      </w:r>
      <w:r>
        <w:t xml:space="preserve">use image features, calibrated unaries, or trusted seeds operate in richer input</w:t>
      </w:r>
      <w:r>
        <w:t xml:space="preserve"> </w:t>
      </w:r>
      <w:r>
        <w:t xml:space="preserve">settings and are discussed separately.</w:t>
      </w:r>
    </w:p>
    <w:bookmarkEnd w:id="21"/>
    <w:bookmarkStart w:id="22" w:name="Xe24322400103a0a58520734d3ef18b6ccb53d5f"/>
    <w:p>
      <w:pPr>
        <w:pStyle w:val="Heading2"/>
      </w:pPr>
      <w:r>
        <w:t>2.2  Feature-guided and learned mask refinement</w:t>
      </w:r>
    </w:p>
    <w:p>
      <w:pPr>
        <w:pStyle w:val="FirstParagraph"/>
      </w:pPr>
      <w:r>
        <w:t xml:space="preserve">A large computer-vision literature improves an existing segmentation by returning to</w:t>
      </w:r>
      <w:r>
        <w:t xml:space="preserve"> </w:t>
      </w:r>
      <w:r>
        <w:t xml:space="preserve">the source image or its learned representation. GrabCut couples user initialization,</w:t>
      </w:r>
      <w:r>
        <w:t xml:space="preserve"> </w:t>
      </w:r>
      <w:r>
        <w:t xml:space="preserve">color models, and graph-cut optimization</w:t>
      </w:r>
      <w:r>
        <w:t xml:space="preserve"> </w:t>
      </w:r>
      <w:r>
        <w:t xml:space="preserve">(</w:t>
      </w:r>
      <w:hyperlink w:anchor="ref-rother2004">
        <w:r>
          <w:rPr>
            <w:rStyle w:val="Hyperlink"/>
          </w:rPr>
          <w:t xml:space="preserve">Rother, Kolmogorov, and Blake 2004</w:t>
        </w:r>
      </w:hyperlink>
      <w:r>
        <w:t xml:space="preserve">)</w:t>
      </w:r>
      <w:r>
        <w:t xml:space="preserve">. PointRend adaptively resamples</w:t>
      </w:r>
      <w:r>
        <w:t xml:space="preserve"> </w:t>
      </w:r>
      <w:r>
        <w:t xml:space="preserve">uncertain points using backbone features</w:t>
      </w:r>
      <w:r>
        <w:t xml:space="preserve"> </w:t>
      </w:r>
      <w:r>
        <w:t xml:space="preserve">(</w:t>
      </w:r>
      <w:hyperlink w:anchor="ref-kirillov2020pointrend">
        <w:r>
          <w:rPr>
            <w:rStyle w:val="Hyperlink"/>
          </w:rPr>
          <w:t xml:space="preserve">Kirillov et al. 2020</w:t>
        </w:r>
      </w:hyperlink>
      <w:r>
        <w:t xml:space="preserve">)</w:t>
      </w:r>
      <w:r>
        <w:t xml:space="preserve">. CascadePSP refines</w:t>
      </w:r>
      <w:r>
        <w:t xml:space="preserve"> </w:t>
      </w:r>
      <w:r>
        <w:t xml:space="preserve">a coarse mask from global and local image context</w:t>
      </w:r>
      <w:r>
        <w:t xml:space="preserve"> </w:t>
      </w:r>
      <w:r>
        <w:t xml:space="preserve">(</w:t>
      </w:r>
      <w:hyperlink w:anchor="ref-cheng2020cascadepsp">
        <w:r>
          <w:rPr>
            <w:rStyle w:val="Hyperlink"/>
          </w:rPr>
          <w:t xml:space="preserve">H. K. Cheng et al. 2020</w:t>
        </w:r>
      </w:hyperlink>
      <w:r>
        <w:t xml:space="preserve">)</w:t>
      </w:r>
      <w:r>
        <w:t xml:space="preserve">, SegFix learns</w:t>
      </w:r>
      <w:r>
        <w:t xml:space="preserve"> </w:t>
      </w:r>
      <w:r>
        <w:t xml:space="preserve">directions from boundary pixels toward reliable interiors</w:t>
      </w:r>
      <w:r>
        <w:t xml:space="preserve"> </w:t>
      </w:r>
      <w:r>
        <w:t xml:space="preserve">(</w:t>
      </w:r>
      <w:hyperlink w:anchor="ref-yuan2020segfix">
        <w:r>
          <w:rPr>
            <w:rStyle w:val="Hyperlink"/>
          </w:rPr>
          <w:t xml:space="preserve">Yuan et al. 2020</w:t>
        </w:r>
      </w:hyperlink>
      <w:r>
        <w:t xml:space="preserve">)</w:t>
      </w:r>
      <w:r>
        <w:t xml:space="preserve">, and</w:t>
      </w:r>
      <w:r>
        <w:t xml:space="preserve"> </w:t>
      </w:r>
      <w:r>
        <w:t xml:space="preserve">Boundary Patch Refinement retrains high-resolution image-and-mask patches around</w:t>
      </w:r>
      <w:r>
        <w:t xml:space="preserve"> </w:t>
      </w:r>
      <w:r>
        <w:t xml:space="preserve">predicted contours</w:t>
      </w:r>
      <w:r>
        <w:t xml:space="preserve"> </w:t>
      </w:r>
      <w:r>
        <w:t xml:space="preserve">(</w:t>
      </w:r>
      <w:hyperlink w:anchor="ref-tang2021bpr">
        <w:r>
          <w:rPr>
            <w:rStyle w:val="Hyperlink"/>
          </w:rPr>
          <w:t xml:space="preserve">Tang et al. 2021</w:t>
        </w:r>
      </w:hyperlink>
      <w:r>
        <w:t xml:space="preserve">)</w:t>
      </w:r>
      <w:r>
        <w:t xml:space="preserve">. Mask Transfiner detects incoherent quadtree regions</w:t>
      </w:r>
      <w:r>
        <w:t xml:space="preserve"> </w:t>
      </w:r>
      <w:r>
        <w:t xml:space="preserve">and updates them with learned image features</w:t>
      </w:r>
      <w:r>
        <w:t xml:space="preserve"> </w:t>
      </w:r>
      <w:r>
        <w:t xml:space="preserve">(</w:t>
      </w:r>
      <w:hyperlink w:anchor="ref-ke2022masktransfiner">
        <w:r>
          <w:rPr>
            <w:rStyle w:val="Hyperlink"/>
          </w:rPr>
          <w:t xml:space="preserve">Ke et al. 2022</w:t>
        </w:r>
      </w:hyperlink>
      <w:r>
        <w:t xml:space="preserve">)</w:t>
      </w:r>
      <w:r>
        <w:t xml:space="preserve">. These methods</w:t>
      </w:r>
      <w:r>
        <w:t xml:space="preserve"> </w:t>
      </w:r>
      <w:r>
        <w:t xml:space="preserve">principally target contour fidelity or high-resolution instance masks.</w:t>
      </w:r>
    </w:p>
    <w:p>
      <w:pPr>
        <w:pStyle w:val="BodyText"/>
      </w:pPr>
      <w:r>
        <w:t xml:space="preserve">More recent systems learn a generic repair prior rather than attaching refinement to</w:t>
      </w:r>
      <w:r>
        <w:t xml:space="preserve"> </w:t>
      </w:r>
      <w:r>
        <w:t xml:space="preserve">one upstream architecture. SegRefiner learns a conditional discrete diffusion process</w:t>
      </w:r>
      <w:r>
        <w:t xml:space="preserve"> </w:t>
      </w:r>
      <w:r>
        <w:t xml:space="preserve">from coarse/clean mask pairs</w:t>
      </w:r>
      <w:r>
        <w:t xml:space="preserve"> </w:t>
      </w:r>
      <w:r>
        <w:t xml:space="preserve">(</w:t>
      </w:r>
      <w:hyperlink w:anchor="ref-wang2023segrefiner">
        <w:r>
          <w:rPr>
            <w:rStyle w:val="Hyperlink"/>
          </w:rPr>
          <w:t xml:space="preserve">Wang et al. 2023</w:t>
        </w:r>
      </w:hyperlink>
      <w:r>
        <w:t xml:space="preserve">)</w:t>
      </w:r>
      <w:r>
        <w:t xml:space="preserve">, while RNCA learns recurrent</w:t>
      </w:r>
      <w:r>
        <w:t xml:space="preserve"> </w:t>
      </w:r>
      <w:r>
        <w:t xml:space="preserve">self-repair using image context and reference masks</w:t>
      </w:r>
      <w:r>
        <w:t xml:space="preserve"> </w:t>
      </w:r>
      <w:r>
        <w:t xml:space="preserve">(</w:t>
      </w:r>
      <w:hyperlink w:anchor="ref-silbernagel2026rnca">
        <w:r>
          <w:rPr>
            <w:rStyle w:val="Hyperlink"/>
          </w:rPr>
          <w:t xml:space="preserve">Silbernagel et al. 2026</w:t>
        </w:r>
      </w:hyperlink>
      <w:r>
        <w:t xml:space="preserve">)</w:t>
      </w:r>
      <w:r>
        <w:t xml:space="preserve">. Both learn</w:t>
      </w:r>
      <w:r>
        <w:t xml:space="preserve"> </w:t>
      </w:r>
      <w:r>
        <w:t xml:space="preserve">from paired masks, and RNCA additionally uses image context. They address a</w:t>
      </w:r>
      <w:r>
        <w:t xml:space="preserve"> </w:t>
      </w:r>
      <w:r>
        <w:t xml:space="preserve">training-enabled setting that is distinct from the single-field repair task studied</w:t>
      </w:r>
      <w:r>
        <w:t xml:space="preserve"> </w:t>
      </w:r>
      <w:r>
        <w:t xml:space="preserve">here. Our external-mask experiments test the stricter mask-only operator, not</w:t>
      </w:r>
      <w:r>
        <w:t xml:space="preserve"> </w:t>
      </w:r>
      <w:r>
        <w:t xml:space="preserve">superiority over feature-guided refiners.</w:t>
      </w:r>
    </w:p>
    <w:bookmarkEnd w:id="22"/>
    <w:bookmarkStart w:id="23" w:name="Xf0b05dc3b4a30310259f22edb1ea99d74fda840"/>
    <w:p>
      <w:pPr>
        <w:pStyle w:val="Heading2"/>
      </w:pPr>
      <w:r>
        <w:t>2.3  Noisy-label learning, dataset cleaning, and blind denoising</w:t>
      </w:r>
    </w:p>
    <w:p>
      <w:pPr>
        <w:pStyle w:val="FirstParagraph"/>
      </w:pPr>
      <w:r>
        <w:t xml:space="preserve">Learning with noisy labels usually asks how to estimate a predictor from many</w:t>
      </w:r>
      <w:r>
        <w:t xml:space="preserve"> </w:t>
      </w:r>
      <w:r>
        <w:t xml:space="preserve">feature–label examples despite corruption. Representative strategies estimate a</w:t>
      </w:r>
      <w:r>
        <w:t xml:space="preserve"> </w:t>
      </w:r>
      <w:r>
        <w:t xml:space="preserve">noise transition and correct the loss</w:t>
      </w:r>
      <w:r>
        <w:t xml:space="preserve"> </w:t>
      </w:r>
      <w:r>
        <w:t xml:space="preserve">(</w:t>
      </w:r>
      <w:hyperlink w:anchor="ref-patrini2017">
        <w:r>
          <w:rPr>
            <w:rStyle w:val="Hyperlink"/>
          </w:rPr>
          <w:t xml:space="preserve">Patrini et al. 2017</w:t>
        </w:r>
      </w:hyperlink>
      <w:r>
        <w:t xml:space="preserve">)</w:t>
      </w:r>
      <w:r>
        <w:t xml:space="preserve">, exchange small-loss examples</w:t>
      </w:r>
      <w:r>
        <w:t xml:space="preserve"> </w:t>
      </w:r>
      <w:r>
        <w:t xml:space="preserve">between networks</w:t>
      </w:r>
      <w:r>
        <w:t xml:space="preserve"> </w:t>
      </w:r>
      <w:r>
        <w:t xml:space="preserve">(</w:t>
      </w:r>
      <w:hyperlink w:anchor="ref-han2018coteaching">
        <w:r>
          <w:rPr>
            <w:rStyle w:val="Hyperlink"/>
          </w:rPr>
          <w:t xml:space="preserve">Han et al. 2018</w:t>
        </w:r>
      </w:hyperlink>
      <w:r>
        <w:t xml:space="preserve">)</w:t>
      </w:r>
      <w:r>
        <w:t xml:space="preserve">, infer likely dataset label errors from</w:t>
      </w:r>
      <w:r>
        <w:t xml:space="preserve"> </w:t>
      </w:r>
      <w:r>
        <w:t xml:space="preserve">out-of-sample class probabilities</w:t>
      </w:r>
      <w:r>
        <w:t xml:space="preserve"> </w:t>
      </w:r>
      <w:r>
        <w:t xml:space="preserve">(</w:t>
      </w:r>
      <w:hyperlink w:anchor="ref-northcutt2021">
        <w:r>
          <w:rPr>
            <w:rStyle w:val="Hyperlink"/>
          </w:rPr>
          <w:t xml:space="preserve">Northcutt, Jiang, and Chuang 2021</w:t>
        </w:r>
      </w:hyperlink>
      <w:r>
        <w:t xml:space="preserve">)</w:t>
      </w:r>
      <w:r>
        <w:t xml:space="preserve">, or use instance-level confidence</w:t>
      </w:r>
      <w:r>
        <w:t xml:space="preserve"> </w:t>
      </w:r>
      <w:r>
        <w:t xml:space="preserve">information</w:t>
      </w:r>
      <w:r>
        <w:t xml:space="preserve"> </w:t>
      </w:r>
      <w:r>
        <w:t xml:space="preserve">(</w:t>
      </w:r>
      <w:hyperlink w:anchor="ref-berthon2021">
        <w:r>
          <w:rPr>
            <w:rStyle w:val="Hyperlink"/>
          </w:rPr>
          <w:t xml:space="preserve">Berthon et al. 2021</w:t>
        </w:r>
      </w:hyperlink>
      <w:r>
        <w:t xml:space="preserve">)</w:t>
      </w:r>
      <w:r>
        <w:t xml:space="preserve">. Their output is a robust predictor, a ranked error list, or</w:t>
      </w:r>
      <w:r>
        <w:t xml:space="preserve"> </w:t>
      </w:r>
      <w:r>
        <w:t xml:space="preserve">a revised training set. FiberMargin does not train a predictor. It revises one</w:t>
      </w:r>
      <w:r>
        <w:t xml:space="preserve"> </w:t>
      </w:r>
      <w:r>
        <w:t xml:space="preserve">supplied categorical field once, using only its coordinates and observed labels.</w:t>
      </w:r>
    </w:p>
    <w:p>
      <w:pPr>
        <w:pStyle w:val="BodyText"/>
      </w:pPr>
      <w:r>
        <w:t xml:space="preserve">Pixelwise annotation noise has also motivated segmentation-specific training methods.</w:t>
      </w:r>
      <w:r>
        <w:t xml:space="preserve"> </w:t>
      </w:r>
      <w:r>
        <w:t xml:space="preserve">ADELE uses early network predictions to update noisy masks during training</w:t>
      </w:r>
      <w:r>
        <w:t xml:space="preserve"> </w:t>
      </w:r>
      <w:r>
        <w:t xml:space="preserve">(</w:t>
      </w:r>
      <w:hyperlink w:anchor="ref-liu2022adele">
        <w:r>
          <w:rPr>
            <w:rStyle w:val="Hyperlink"/>
          </w:rPr>
          <w:t xml:space="preserve">Liu et al. 2022</w:t>
        </w:r>
      </w:hyperlink>
      <w:r>
        <w:t xml:space="preserve">)</w:t>
      </w:r>
      <w:r>
        <w:t xml:space="preserve">; Spatial Correction models correlated annotation errors and</w:t>
      </w:r>
      <w:r>
        <w:t xml:space="preserve"> </w:t>
      </w:r>
      <w:r>
        <w:t xml:space="preserve">progressively corrects them</w:t>
      </w:r>
      <w:r>
        <w:t xml:space="preserve"> </w:t>
      </w:r>
      <w:r>
        <w:t xml:space="preserve">(</w:t>
      </w:r>
      <w:hyperlink w:anchor="ref-yao2023spatialcorrection">
        <w:r>
          <w:rPr>
            <w:rStyle w:val="Hyperlink"/>
          </w:rPr>
          <w:t xml:space="preserve">Yao et al. 2023</w:t>
        </w:r>
      </w:hyperlink>
      <w:r>
        <w:t xml:space="preserve">)</w:t>
      </w:r>
      <w:r>
        <w:t xml:space="preserve">; and PNAL combines prediction</w:t>
      </w:r>
      <w:r>
        <w:t xml:space="preserve"> </w:t>
      </w:r>
      <w:r>
        <w:t xml:space="preserve">history with clusterwise correction for noisy 3D point-cloud training</w:t>
      </w:r>
      <w:r>
        <w:t xml:space="preserve"> </w:t>
      </w:r>
      <w:r>
        <w:t xml:space="preserve">(</w:t>
      </w:r>
      <w:hyperlink w:anchor="ref-ye2021pointnoise">
        <w:r>
          <w:rPr>
            <w:rStyle w:val="Hyperlink"/>
          </w:rPr>
          <w:t xml:space="preserve">Ye et al. 2021</w:t>
        </w:r>
      </w:hyperlink>
      <w:r>
        <w:t xml:space="preserve">)</w:t>
      </w:r>
      <w:r>
        <w:t xml:space="preserve">. These methods are highly relevant to the application but require</w:t>
      </w:r>
      <w:r>
        <w:t xml:space="preserve"> </w:t>
      </w:r>
      <w:r>
        <w:t xml:space="preserve">images or point features, a trainable segmentation model, and repeated optimization.</w:t>
      </w:r>
      <w:r>
        <w:t xml:space="preserve"> </w:t>
      </w:r>
      <w:r>
        <w:t xml:space="preserve">They address</w:t>
      </w:r>
      <w:r>
        <w:t xml:space="preserve"> </w:t>
      </w:r>
      <w:r>
        <w:rPr>
          <w:i/>
          <w:iCs/>
        </w:rPr>
        <w:t xml:space="preserve">learning from noisy masks</w:t>
      </w:r>
      <w:r>
        <w:t xml:space="preserve">, whereas our task is</w:t>
      </w:r>
      <w:r>
        <w:t xml:space="preserve"> </w:t>
      </w:r>
      <w:r>
        <w:rPr>
          <w:i/>
          <w:iCs/>
        </w:rPr>
        <w:t xml:space="preserve">repairing a supplied</w:t>
      </w:r>
      <w:r>
        <w:rPr>
          <w:i/>
          <w:iCs/>
        </w:rPr>
        <w:t xml:space="preserve"> </w:t>
      </w:r>
      <w:r>
        <w:rPr>
          <w:i/>
          <w:iCs/>
        </w:rPr>
        <w:t xml:space="preserve">mask when the learning system is unavailable</w:t>
      </w:r>
      <w:r>
        <w:t xml:space="preserve">.</w:t>
      </w:r>
    </w:p>
    <w:p>
      <w:pPr>
        <w:pStyle w:val="BodyText"/>
      </w:pPr>
      <w:r>
        <w:t xml:space="preserve">Noise2Self provides a closer conceptual analogy: leave-out prediction can denoise</w:t>
      </w:r>
      <w:r>
        <w:t xml:space="preserve"> </w:t>
      </w:r>
      <w:r>
        <w:t xml:space="preserve">measurements without clean targets when noise is conditionally independent across</w:t>
      </w:r>
      <w:r>
        <w:t xml:space="preserve"> </w:t>
      </w:r>
      <w:r>
        <w:t xml:space="preserve">measurement dimensions</w:t>
      </w:r>
      <w:r>
        <w:t xml:space="preserve"> </w:t>
      </w:r>
      <w:r>
        <w:t xml:space="preserve">(</w:t>
      </w:r>
      <w:hyperlink w:anchor="ref-batson2019noise2self">
        <w:r>
          <w:rPr>
            <w:rStyle w:val="Hyperlink"/>
          </w:rPr>
          <w:t xml:space="preserve">Batson and Royer 2019</w:t>
        </w:r>
      </w:hyperlink>
      <w:r>
        <w:t xml:space="preserve">)</w:t>
      </w:r>
      <w:r>
        <w:t xml:space="preserve">. FiberMargin’s leave-self-out transport</w:t>
      </w:r>
      <w:r>
        <w:t xml:space="preserve"> </w:t>
      </w:r>
      <w:r>
        <w:t xml:space="preserve">likewise prevents a query label from certifying itself. The objectives nevertheless</w:t>
      </w:r>
      <w:r>
        <w:t xml:space="preserve"> </w:t>
      </w:r>
      <w:r>
        <w:t xml:space="preserve">differ. Noise2Self estimates or trains a denoising function for numerical measurements</w:t>
      </w:r>
      <w:r>
        <w:t xml:space="preserve"> </w:t>
      </w:r>
      <w:r>
        <w:t xml:space="preserve">under a</w:t>
      </w:r>
      <w:r>
        <w:t xml:space="preserve"> </w:t>
      </w:r>
      <m:oMath>
        <m:r>
          <m:rPr>
            <m:sty m:val="p"/>
            <m:scr m:val="script"/>
          </m:rPr>
          <m:t>J</m:t>
        </m:r>
      </m:oMath>
      <w:r>
        <w:t xml:space="preserve">-invariance argument; FiberMargin makes categorical edits from</w:t>
      </w:r>
      <w:r>
        <w:t xml:space="preserve"> </w:t>
      </w:r>
      <w:r>
        <w:t xml:space="preserve">spatial redundancy and does not estimate deployment risk from the noisy field alone.</w:t>
      </w:r>
    </w:p>
    <w:bookmarkEnd w:id="23"/>
    <w:bookmarkStart w:id="24" w:name="Xb071c9912e7a5dbe80a9be28ee4f0ed5e497348"/>
    <w:p>
      <w:pPr>
        <w:pStyle w:val="Heading2"/>
      </w:pPr>
      <w:r>
        <w:t>2.4  Repeated annotations, topology, and selective action</w:t>
      </w:r>
    </w:p>
    <w:p>
      <w:pPr>
        <w:pStyle w:val="FirstParagraph"/>
      </w:pPr>
      <w:r>
        <w:t xml:space="preserve">When several labels of the same object are available, aggregation is statistically</w:t>
      </w:r>
      <w:r>
        <w:t xml:space="preserve"> </w:t>
      </w:r>
      <w:r>
        <w:t xml:space="preserve">better identified than one-mask repair. Dawid–Skene estimates annotator confusion</w:t>
      </w:r>
      <w:r>
        <w:t xml:space="preserve"> </w:t>
      </w:r>
      <w:r>
        <w:t xml:space="preserve">rates</w:t>
      </w:r>
      <w:r>
        <w:t xml:space="preserve"> </w:t>
      </w:r>
      <w:r>
        <w:t xml:space="preserve">(</w:t>
      </w:r>
      <w:hyperlink w:anchor="ref-dawid1979">
        <w:r>
          <w:rPr>
            <w:rStyle w:val="Hyperlink"/>
          </w:rPr>
          <w:t xml:space="preserve">Dawid and Skene 1979</w:t>
        </w:r>
      </w:hyperlink>
      <w:r>
        <w:t xml:space="preserve">)</w:t>
      </w:r>
      <w:r>
        <w:t xml:space="preserve">, and STAPLE jointly estimates a latent segmentation and the</w:t>
      </w:r>
      <w:r>
        <w:t xml:space="preserve"> </w:t>
      </w:r>
      <w:r>
        <w:t xml:space="preserve">performance of multiple raters or algorithms</w:t>
      </w:r>
      <w:r>
        <w:t xml:space="preserve"> </w:t>
      </w:r>
      <w:r>
        <w:t xml:space="preserve">(</w:t>
      </w:r>
      <w:hyperlink w:anchor="ref-warfield2004">
        <w:r>
          <w:rPr>
            <w:rStyle w:val="Hyperlink"/>
          </w:rPr>
          <w:t xml:space="preserve">Warfield, Zou, and Wells 2004</w:t>
        </w:r>
      </w:hyperlink>
      <w:r>
        <w:t xml:space="preserve">)</w:t>
      </w:r>
      <w:r>
        <w:t xml:space="preserve">. Multi-annotator</w:t>
      </w:r>
      <w:r>
        <w:t xml:space="preserve"> </w:t>
      </w:r>
      <w:r>
        <w:t xml:space="preserve">segmentation models extend this idea using images and learned annotator models</w:t>
      </w:r>
      <w:r>
        <w:t xml:space="preserve"> </w:t>
      </w:r>
      <w:r>
        <w:t xml:space="preserve">(</w:t>
      </w:r>
      <w:hyperlink w:anchor="ref-tanno2019annotators">
        <w:r>
          <w:rPr>
            <w:rStyle w:val="Hyperlink"/>
          </w:rPr>
          <w:t xml:space="preserve">Tanno et al. 2019</w:t>
        </w:r>
      </w:hyperlink>
      <w:r>
        <w:t xml:space="preserve">;</w:t>
      </w:r>
      <w:r>
        <w:t xml:space="preserve"> </w:t>
      </w:r>
      <w:hyperlink w:anchor="ref-zhang2023annotators">
        <w:r>
          <w:rPr>
            <w:rStyle w:val="Hyperlink"/>
          </w:rPr>
          <w:t xml:space="preserve">Zhang et al. 2023</w:t>
        </w:r>
      </w:hyperlink>
      <w:r>
        <w:t xml:space="preserve">)</w:t>
      </w:r>
      <w:r>
        <w:t xml:space="preserve">. FiberMargin takes one label field as</w:t>
      </w:r>
      <w:r>
        <w:t xml:space="preserve"> </w:t>
      </w:r>
      <w:r>
        <w:t xml:space="preserve">input, so it cannot compare annotators or estimate how reliable each one is. When</w:t>
      </w:r>
      <w:r>
        <w:t xml:space="preserve"> </w:t>
      </w:r>
      <w:r>
        <w:t xml:space="preserve">several annotations of the same object are available, they should be combined with an</w:t>
      </w:r>
      <w:r>
        <w:t xml:space="preserve"> </w:t>
      </w:r>
      <w:r>
        <w:t xml:space="preserve">annotation-fusion method or studied in a separate multi-annotation analysis.</w:t>
      </w:r>
    </w:p>
    <w:p>
      <w:pPr>
        <w:pStyle w:val="BodyText"/>
      </w:pPr>
      <w:r>
        <w:t xml:space="preserve">Topology-aware segmentation addresses a different failure mode. Persistent-homology</w:t>
      </w:r>
      <w:r>
        <w:t xml:space="preserve"> </w:t>
      </w:r>
      <w:r>
        <w:t xml:space="preserve">losses constrain Betti structure during network training</w:t>
      </w:r>
      <w:r>
        <w:t xml:space="preserve"> </w:t>
      </w:r>
      <w:r>
        <w:t xml:space="preserve">(</w:t>
      </w:r>
      <w:hyperlink w:anchor="ref-hu2019topology">
        <w:r>
          <w:rPr>
            <w:rStyle w:val="Hyperlink"/>
          </w:rPr>
          <w:t xml:space="preserve">X. Hu et al. 2019</w:t>
        </w:r>
      </w:hyperlink>
      <w:r>
        <w:t xml:space="preserve">)</w:t>
      </w:r>
      <w:r>
        <w:t xml:space="preserve">, and clDice</w:t>
      </w:r>
      <w:r>
        <w:t xml:space="preserve"> </w:t>
      </w:r>
      <w:r>
        <w:t xml:space="preserve">targets connectivity of tubular structures through centerlines</w:t>
      </w:r>
      <w:r>
        <w:t xml:space="preserve"> </w:t>
      </w:r>
      <w:r>
        <w:t xml:space="preserve">(</w:t>
      </w:r>
      <w:hyperlink w:anchor="ref-shit2021cldice">
        <w:r>
          <w:rPr>
            <w:rStyle w:val="Hyperlink"/>
          </w:rPr>
          <w:t xml:space="preserve">Shit et al. 2021</w:t>
        </w:r>
      </w:hyperlink>
      <w:r>
        <w:t xml:space="preserve">)</w:t>
      </w:r>
      <w:r>
        <w:t xml:space="preserve">.</w:t>
      </w:r>
      <w:r>
        <w:t xml:space="preserve"> </w:t>
      </w:r>
      <w:r>
        <w:t xml:space="preserve">These methods use clean topology-bearing references or an explicit structural target.</w:t>
      </w:r>
      <w:r>
        <w:t xml:space="preserve"> </w:t>
      </w:r>
      <w:r>
        <w:t xml:space="preserve">FiberMargin has neither. Its adaptive barrier is instead related to selective</w:t>
      </w:r>
      <w:r>
        <w:t xml:space="preserve"> </w:t>
      </w:r>
      <w:r>
        <w:t xml:space="preserve">prediction: it acts only when evidence clears a threshold</w:t>
      </w:r>
      <w:r>
        <w:t xml:space="preserve"> </w:t>
      </w:r>
      <w:r>
        <w:t xml:space="preserve">(</w:t>
      </w:r>
      <w:hyperlink w:anchor="ref-elyaniv2010">
        <w:r>
          <w:rPr>
            <w:rStyle w:val="Hyperlink"/>
          </w:rPr>
          <w:t xml:space="preserve">El-Yaniv and Wiener 2010</w:t>
        </w:r>
      </w:hyperlink>
      <w:r>
        <w:t xml:space="preserve">)</w:t>
      </w:r>
      <w:r>
        <w:t xml:space="preserve">, but the</w:t>
      </w:r>
      <w:r>
        <w:t xml:space="preserve"> </w:t>
      </w:r>
      <w:r>
        <w:t xml:space="preserve">deterministic score is not a calibrated probability or a topology certificate. We</w:t>
      </w:r>
      <w:r>
        <w:t xml:space="preserve"> </w:t>
      </w:r>
      <w:r>
        <w:t xml:space="preserve">therefore report Boundary IoU</w:t>
      </w:r>
      <w:r>
        <w:t xml:space="preserve"> </w:t>
      </w:r>
      <w:r>
        <w:t xml:space="preserve">(</w:t>
      </w:r>
      <w:hyperlink w:anchor="ref-cheng2021boundaryiou">
        <w:r>
          <w:rPr>
            <w:rStyle w:val="Hyperlink"/>
          </w:rPr>
          <w:t xml:space="preserve">B. Cheng et al. 2021</w:t>
        </w:r>
      </w:hyperlink>
      <w:r>
        <w:t xml:space="preserve">)</w:t>
      </w:r>
      <w:r>
        <w:t xml:space="preserve">, rare-class measures, correction</w:t>
      </w:r>
      <w:r>
        <w:t xml:space="preserve"> </w:t>
      </w:r>
      <w:r>
        <w:t xml:space="preserve">recall, and damage, and retain the thin-network failure as a counterexample.</w:t>
      </w:r>
    </w:p>
    <w:bookmarkEnd w:id="24"/>
    <w:bookmarkStart w:id="25" w:name="Xdf13c5a1de779647df4378b22892e3fecbdfece"/>
    <w:p>
      <w:pPr>
        <w:pStyle w:val="Heading2"/>
      </w:pPr>
      <w:r>
        <w:t>2.5  Spatial omics and the exact comparison scope</w:t>
      </w:r>
    </w:p>
    <w:p>
      <w:pPr>
        <w:pStyle w:val="FirstParagraph"/>
      </w:pPr>
      <w:r>
        <w:t xml:space="preserve">Spatial transcriptomics is the principal irregular-domain application here. SpaGCN,</w:t>
      </w:r>
      <w:r>
        <w:t xml:space="preserve"> </w:t>
      </w:r>
      <w:r>
        <w:t xml:space="preserve">GraphST, BayesSpace, BANKSY, and KODAMA estimate spatial domains from gene expression</w:t>
      </w:r>
      <w:r>
        <w:t xml:space="preserve"> </w:t>
      </w:r>
      <w:r>
        <w:t xml:space="preserve">and spatial coordinates, with histology incorporated by some methods</w:t>
      </w:r>
      <w:r>
        <w:t xml:space="preserve"> </w:t>
      </w:r>
      <w:r>
        <w:t xml:space="preserve">(</w:t>
      </w:r>
      <w:hyperlink w:anchor="ref-hu2021">
        <w:r>
          <w:rPr>
            <w:rStyle w:val="Hyperlink"/>
          </w:rPr>
          <w:t xml:space="preserve">J. Hu et al. 2021</w:t>
        </w:r>
      </w:hyperlink>
      <w:r>
        <w:t xml:space="preserve">;</w:t>
      </w:r>
      <w:r>
        <w:t xml:space="preserve"> </w:t>
      </w:r>
      <w:hyperlink w:anchor="ref-long2023">
        <w:r>
          <w:rPr>
            <w:rStyle w:val="Hyperlink"/>
          </w:rPr>
          <w:t xml:space="preserve">Long et al. 2023</w:t>
        </w:r>
      </w:hyperlink>
      <w:r>
        <w:t xml:space="preserve">;</w:t>
      </w:r>
      <w:r>
        <w:t xml:space="preserve"> </w:t>
      </w:r>
      <w:hyperlink w:anchor="ref-zhao2021">
        <w:r>
          <w:rPr>
            <w:rStyle w:val="Hyperlink"/>
          </w:rPr>
          <w:t xml:space="preserve">Zhao et al. 2021</w:t>
        </w:r>
      </w:hyperlink>
      <w:r>
        <w:t xml:space="preserve">;</w:t>
      </w:r>
      <w:r>
        <w:t xml:space="preserve"> </w:t>
      </w:r>
      <w:hyperlink w:anchor="ref-singhal2024">
        <w:r>
          <w:rPr>
            <w:rStyle w:val="Hyperlink"/>
          </w:rPr>
          <w:t xml:space="preserve">Singhal et al. 2024</w:t>
        </w:r>
      </w:hyperlink>
      <w:r>
        <w:t xml:space="preserve">;</w:t>
      </w:r>
      <w:r>
        <w:t xml:space="preserve"> </w:t>
      </w:r>
      <w:hyperlink w:anchor="ref-abdelshafy2025kodama">
        <w:r>
          <w:rPr>
            <w:rStyle w:val="Hyperlink"/>
          </w:rPr>
          <w:t xml:space="preserve">Abdel-Shafy et al. 2025</w:t>
        </w:r>
      </w:hyperlink>
      <w:r>
        <w:t xml:space="preserve">)</w:t>
      </w:r>
      <w:r>
        <w:t xml:space="preserve">. FiberMargin starts</w:t>
      </w:r>
      <w:r>
        <w:t xml:space="preserve"> </w:t>
      </w:r>
      <w:r>
        <w:t xml:space="preserve">only after a categorical assignment exists and never claims to rediscover domains. We</w:t>
      </w:r>
      <w:r>
        <w:t xml:space="preserve"> </w:t>
      </w:r>
      <w:r>
        <w:t xml:space="preserve">compare the optional post-hoc correction rules from SpaGCN and GraphST, not their</w:t>
      </w:r>
      <w:r>
        <w:t xml:space="preserve"> </w:t>
      </w:r>
      <w:r>
        <w:t xml:space="preserve">clustering models, because those rules accept labels and coordinates. The same distinction</w:t>
      </w:r>
      <w:r>
        <w:t xml:space="preserve"> </w:t>
      </w:r>
      <w:r>
        <w:t xml:space="preserve">applies beyond transcriptomics: a point-cloud network trained under noisy labels and</w:t>
      </w:r>
      <w:r>
        <w:t xml:space="preserve"> </w:t>
      </w:r>
      <w:r>
        <w:t xml:space="preserve">a post-hoc repair of its exported semantic field are complementary stages.</w:t>
      </w:r>
    </w:p>
    <w:p>
      <w:pPr>
        <w:pStyle w:val="BodyText"/>
      </w:pPr>
      <w:r>
        <w:t xml:space="preserve">Across these literatures, comparability is governed by six questions: Is there one</w:t>
      </w:r>
      <w:r>
        <w:t xml:space="preserve"> </w:t>
      </w:r>
      <w:r>
        <w:t xml:space="preserve">mask or repeated annotations? Are source measurements, image features, or logits</w:t>
      </w:r>
      <w:r>
        <w:t xml:space="preserve"> </w:t>
      </w:r>
      <w:r>
        <w:t xml:space="preserve">available? Are any labels trusted? Is a training collection available? Is topology</w:t>
      </w:r>
      <w:r>
        <w:t xml:space="preserve"> </w:t>
      </w:r>
      <w:r>
        <w:t xml:space="preserve">specified? Must the method work natively on irregular 2D/3D coordinates? FiberMargin</w:t>
      </w:r>
      <w:r>
        <w:t xml:space="preserve"> </w:t>
      </w:r>
      <w:r>
        <w:t xml:space="preserve">occupies the restrictive cell with one fallible field, coordinates only, no fitted</w:t>
      </w:r>
      <w:r>
        <w:t xml:space="preserve"> </w:t>
      </w:r>
      <w:r>
        <w:t xml:space="preserve">corpus, no anchors, and no topology template. The contribution is a new decision</w:t>
      </w:r>
      <w:r>
        <w:t xml:space="preserve"> </w:t>
      </w:r>
      <w:r>
        <w:t xml:space="preserve">operator for this cell, not a claim to have invented Hilbert orderings, exponential</w:t>
      </w:r>
      <w:r>
        <w:t xml:space="preserve"> </w:t>
      </w:r>
      <w:r>
        <w:t xml:space="preserve">attenuation, relative margins, or selective decisions</w:t>
      </w:r>
      <w:r>
        <w:t xml:space="preserve"> </w:t>
      </w:r>
      <w:r>
        <w:t xml:space="preserve">(</w:t>
      </w:r>
      <w:hyperlink w:anchor="ref-rockafellar2000">
        <w:r>
          <w:rPr>
            <w:rStyle w:val="Hyperlink"/>
          </w:rPr>
          <w:t xml:space="preserve">Rockafellar and Uryasev 2000</w:t>
        </w:r>
      </w:hyperlink>
      <w:r>
        <w:t xml:space="preserve">;</w:t>
      </w:r>
      <w:r>
        <w:t xml:space="preserve"> </w:t>
      </w:r>
      <w:hyperlink w:anchor="ref-elyaniv2010">
        <w:r>
          <w:rPr>
            <w:rStyle w:val="Hyperlink"/>
          </w:rPr>
          <w:t xml:space="preserve">El-Yaniv and Wiener 2010</w:t>
        </w:r>
      </w:hyperlink>
      <w:r>
        <w:t xml:space="preserve">)</w:t>
      </w:r>
      <w:r>
        <w:t xml:space="preserve">.</w:t>
      </w:r>
      <w:r>
        <w:t xml:space="preserve"> </w:t>
      </w:r>
      <w:r>
        <w:t xml:space="preserve">Its defining multiclass construction is the two-sided path enclosure: opposite</w:t>
      </w:r>
      <w:r>
        <w:t xml:space="preserve"> </w:t>
      </w:r>
      <w:r>
        <w:t xml:space="preserve">directional states are combined before class normalization, and a rival must remain</w:t>
      </w:r>
      <w:r>
        <w:t xml:space="preserve"> </w:t>
      </w:r>
      <w:r>
        <w:t xml:space="preserve">positive across distinct spatial flattenings strongly enough to clear their observed</w:t>
      </w:r>
      <w:r>
        <w:t xml:space="preserve"> </w:t>
      </w:r>
      <w:r>
        <w:t xml:space="preserve">disagreement. The Supplement compares this operator with additive transport, one</w:t>
      </w:r>
      <w:r>
        <w:t xml:space="preserve"> </w:t>
      </w:r>
      <w:r>
        <w:t xml:space="preserve">reference path, smaller atlases, and reduced admission barriers.</w:t>
      </w:r>
    </w:p>
    <w:bookmarkEnd w:id="25"/>
    <w:bookmarkEnd w:id="26"/>
    <w:bookmarkStart w:id="31" w:name="fibermargin"/>
    <w:p>
      <w:pPr>
        <w:pStyle w:val="Heading1"/>
      </w:pPr>
      <w:r>
        <w:t>3  FiberMargin</w:t>
      </w:r>
    </w:p>
    <w:bookmarkStart w:id="27" w:name="X7f041461a293f5104e7f5bfc5eba892b85b9718"/>
    <w:p>
      <w:pPr>
        <w:pStyle w:val="Heading2"/>
      </w:pPr>
      <w:r>
        <w:t>3.1  Mask-repair objective and specimen isolation</w:t>
      </w:r>
    </w:p>
    <w:p>
      <w:pPr>
        <w:pStyle w:val="FirstParagraph"/>
      </w:pPr>
      <w:r>
        <w:t xml:space="preserve">Let</w:t>
      </w:r>
      <w:r>
        <w:t xml:space="preserve"> </w:t>
      </w:r>
      <m:oMath>
        <m:sSubSup>
          <m:e>
            <m:r>
              <m:t>y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denote an evaluation-only reference,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the imperfect input,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the repaired output. Define initial and repaired accuracy as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, correction recall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Pr</m:t>
        </m:r>
        <m:d>
          <m:dPr>
            <m:begChr m:val="("/>
            <m:endChr m:val=")"/>
            <m:sepChr m:val="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=</m:t>
            </m:r>
            <m:sSup>
              <m:e>
                <m:r>
                  <m:t>y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≠</m:t>
            </m:r>
            <m:sSup>
              <m:e>
                <m:r>
                  <m:t>y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</m:oMath>
      <w:r>
        <w:t xml:space="preserve">, and damage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Pr</m:t>
        </m:r>
        <m:d>
          <m:dPr>
            <m:begChr m:val="("/>
            <m:endChr m:val=")"/>
            <m:sepChr m:val="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≠</m:t>
            </m:r>
            <m:sSup>
              <m:e>
                <m:r>
                  <m:t>y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=</m:t>
            </m:r>
            <m:sSup>
              <m:e>
                <m:r>
                  <m:t>y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</m:oMath>
      <w:r>
        <w:t xml:space="preserve">. Partitioning cells by initial correctness</w:t>
      </w:r>
      <w:r>
        <w:t xml:space="preserve"> </w:t>
      </w:r>
      <w:r>
        <w:t xml:space="preserve">gives the exact identity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D</m:t>
              </m:r>
            </m:e>
          </m:d>
          <m:r>
            <m:rPr>
              <m:sty m:val="p"/>
            </m:rPr>
            <m:t>+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e>
          </m:d>
          <m:r>
            <m:t>R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e>
          </m:d>
          <m:r>
            <m:t>R</m:t>
          </m:r>
          <m:r>
            <m:rPr>
              <m:sty m:val="p"/>
            </m:rPr>
            <m:t>−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Thus mask cleaning is not synonymous with smoothness: an edit policy improves</w:t>
      </w:r>
      <w:r>
        <w:t xml:space="preserve"> </w:t>
      </w:r>
      <w:r>
        <w:t xml:space="preserve">accuracy only when corrected error mass exceeds damaged correct mass. We report both</w:t>
      </w:r>
      <w:r>
        <w:t xml:space="preserve"> </w:t>
      </w:r>
      <w:r>
        <w:t xml:space="preserve">terms, together with class-balanced and boundary measures, rather than selecting a</w:t>
      </w:r>
      <w:r>
        <w:t xml:space="preserve"> </w:t>
      </w:r>
      <w:r>
        <w:t xml:space="preserve">method by accuracy alone. At deployment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absent; FiberMargin therefore</w:t>
      </w:r>
      <w:r>
        <w:t xml:space="preserve"> </w:t>
      </w:r>
      <w:r>
        <w:t xml:space="preserve">returns a candidate, its uncalibrated</w:t>
      </w:r>
      <w:r>
        <w:t xml:space="preserve"> </w:t>
      </w:r>
      <w:r>
        <w:rPr>
          <w:rStyle w:val="VerbatimChar"/>
        </w:rPr>
        <w:t xml:space="preserve">margin_score</w:t>
      </w:r>
      <w:r>
        <w:t xml:space="preserve">, the required barrier,</w:t>
      </w:r>
      <w:r>
        <w:t xml:space="preserve"> </w:t>
      </w:r>
      <w:r>
        <w:rPr>
          <w:rStyle w:val="VerbatimChar"/>
        </w:rPr>
        <w:t xml:space="preserve">repair_margin = margin_score - required</w:t>
      </w:r>
      <w:r>
        <w:t xml:space="preserve">, and the final retain/change decision.</w:t>
      </w:r>
      <w:r>
        <w:t xml:space="preserve"> </w:t>
      </w:r>
      <w:r>
        <w:t xml:space="preserve">These diagnostics are deterministic evidence contrasts, not probabilities or</w:t>
      </w:r>
      <w:r>
        <w:t xml:space="preserve"> </w:t>
      </w:r>
      <w:r>
        <w:t xml:space="preserve">estimates of expected loss.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}</m:t>
        </m:r>
      </m:oMath>
      <w:r>
        <w:t xml:space="preserve"> </w:t>
      </w:r>
      <w:r>
        <w:t xml:space="preserve">identify a specimen or independent mask. FiberMargin applies the complete</w:t>
      </w:r>
      <w:r>
        <w:t xml:space="preserve"> </w:t>
      </w:r>
      <w:r>
        <w:t xml:space="preserve">operator separately to each set</w:t>
      </w:r>
      <w:r>
        <w:t xml:space="preserve"> </w:t>
      </w:r>
      <m:oMath>
        <m:sSub>
          <m:e>
            <m:r>
              <m:t>I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i</m:t>
        </m:r>
        <m:r>
          <m:rPr>
            <m:sty m:val="p"/>
          </m:rPr>
          <m:t>:</m:t>
        </m:r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rPr>
            <m:sty m:val="p"/>
          </m:rPr>
          <m:t>}</m:t>
        </m:r>
      </m:oMath>
      <w:r>
        <w:t xml:space="preserve">. Coordinates, the locally observed</w:t>
      </w:r>
      <w:r>
        <w:t xml:space="preserve"> </w:t>
      </w:r>
      <w:r>
        <w:t xml:space="preserve">class alphabet, class counts, path states, and thresholds never cross specimens.</w:t>
      </w:r>
      <w:r>
        <w:t xml:space="preserve"> </w:t>
      </w:r>
      <w:r>
        <w:t xml:space="preserve">This is stronger than assigning zero weight to distant sections: the output and every</w:t>
      </w:r>
      <w:r>
        <w:t xml:space="preserve"> </w:t>
      </w:r>
      <w:r>
        <w:t xml:space="preserve">pointwise diagnostic for one specimen are mathematically invariant to all coordinates</w:t>
      </w:r>
      <w:r>
        <w:t xml:space="preserve"> </w:t>
      </w:r>
      <w:r>
        <w:t xml:space="preserve">and labels in every other specimen, including specimens that use the same numeric</w:t>
      </w:r>
      <w:r>
        <w:t xml:space="preserve"> </w:t>
      </w:r>
      <w:r>
        <w:t xml:space="preserve">coordinate range.</w:t>
      </w:r>
    </w:p>
    <w:p>
      <w:pPr>
        <w:pStyle w:val="BodyText"/>
      </w:pPr>
      <w:r>
        <w:t xml:space="preserve">Within specimen</w:t>
      </w:r>
      <w:r>
        <w:t xml:space="preserve"> </w:t>
      </w:r>
      <m:oMath>
        <m:r>
          <m:t>s</m:t>
        </m:r>
      </m:oMath>
      <w:r>
        <w:t xml:space="preserve">, axes with zero empirical range are removed before normalization.</w:t>
      </w:r>
      <w:r>
        <w:t xml:space="preserve"> </w:t>
      </w:r>
      <w:r>
        <w:t xml:space="preserve">Each remaining coordinate dimension is mapped by its empirical 1st and 99th percentiles</w:t>
      </w:r>
      <w:r>
        <w:t xml:space="preserve"> </w:t>
      </w:r>
      <w:r>
        <w:t xml:space="preserve">to a robust unit interval and clipped to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rPr>
                <m:sty m:val="p"/>
              </m:rPr>
              <m:t>−</m:t>
            </m:r>
            <m:r>
              <m:t>0.1</m:t>
            </m:r>
            <m:r>
              <m:rPr>
                <m:sty m:val="p"/>
              </m:rPr>
              <m:t>,</m:t>
            </m:r>
            <m:r>
              <m:t>1.1</m:t>
            </m:r>
          </m:e>
        </m:d>
      </m:oMath>
      <w:r>
        <w:t xml:space="preserve">. We write the normalized coordinate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p>
          <m:e>
            <m:r>
              <m:rPr>
                <m:sty m:val="p"/>
                <m:scr m:val="double-struck"/>
              </m:rPr>
              <m:t>R</m:t>
            </m:r>
          </m:e>
          <m:sup>
            <m:sSub>
              <m:e>
                <m:r>
                  <m:t>d</m:t>
                </m:r>
              </m:e>
              <m:sub>
                <m:r>
                  <m:t>s</m:t>
                </m:r>
              </m:sub>
            </m:sSub>
          </m:sup>
        </m:sSup>
      </m:oMath>
      <w:r>
        <w:t xml:space="preserve">, where</w:t>
      </w:r>
      <w:r>
        <w:t xml:space="preserve"> </w:t>
      </w:r>
      <m:oMath>
        <m:sSub>
          <m:e>
            <m:r>
              <m:t>d</m:t>
            </m:r>
          </m:e>
          <m:sub>
            <m:r>
              <m:t>s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{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</m:oMath>
      <w:r>
        <w:t xml:space="preserve">; inputs with fewer than two varying</w:t>
      </w:r>
      <w:r>
        <w:t xml:space="preserve"> </w:t>
      </w:r>
      <w:r>
        <w:t xml:space="preserve">axes in any specimen are rejected. Thus a constant third coordinate invokes exactly the</w:t>
      </w:r>
      <w:r>
        <w:t xml:space="preserve"> </w:t>
      </w:r>
      <w:r>
        <w:t xml:space="preserve">2D operator, whereas a varying third coordinate participates in rotations, Hilbert</w:t>
      </w:r>
      <w:r>
        <w:t xml:space="preserve"> </w:t>
      </w:r>
      <w:r>
        <w:t xml:space="preserve">ordering, path distances, and the binary distance calculation.</w:t>
      </w:r>
    </w:p>
    <w:bookmarkEnd w:id="27"/>
    <w:bookmarkStart w:id="28" w:name="path-atlas-and-two-sided-enclosure"/>
    <w:p>
      <w:pPr>
        <w:pStyle w:val="Heading2"/>
      </w:pPr>
      <w:r>
        <w:t>3.2  Path atlas and two-sided enclosure</w:t>
      </w:r>
    </w:p>
    <w:p>
      <w:pPr>
        <w:pStyle w:val="FirstParagraph"/>
      </w:pPr>
      <w:r>
        <w:t xml:space="preserve">For view</w:t>
      </w:r>
      <w:r>
        <w:t xml:space="preserve"> </w:t>
      </w:r>
      <m:oMath>
        <m:r>
          <m:t>a</m:t>
        </m:r>
      </m:oMath>
      <w:r>
        <w:t xml:space="preserve">, a fixed rotation</w:t>
      </w:r>
      <w:r>
        <w:t xml:space="preserve"> </w:t>
      </w:r>
      <m:oMath>
        <m:sSub>
          <m:e>
            <m:r>
              <m:t>R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applied to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. Each rotated coordinate</w:t>
      </w:r>
      <w:r>
        <w:t xml:space="preserve"> </w:t>
      </w:r>
      <w:r>
        <w:t xml:space="preserve">axis is rescaled to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t xml:space="preserve">for a 16-bit Hilbert code, yielding a permutation</w:t>
      </w:r>
      <w:r>
        <w:t xml:space="preserve"> </w:t>
      </w:r>
      <m:oMath>
        <m:sSub>
          <m:e>
            <m:r>
              <m:t>π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π</m:t>
                </m:r>
              </m:e>
              <m:sub>
                <m:r>
                  <m:t>a</m:t>
                </m:r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π</m:t>
                </m:r>
              </m:e>
              <m:sub>
                <m:r>
                  <m:t>a</m:t>
                </m:r>
                <m:r>
                  <m:t>n</m:t>
                </m:r>
              </m:sub>
            </m:sSub>
          </m:e>
        </m:d>
      </m:oMath>
      <w:r>
        <w:t xml:space="preserve">. The atlas contains nine paths in 2D and 12 in</w:t>
      </w:r>
      <w:r>
        <w:t xml:space="preserve"> </w:t>
      </w:r>
      <w:r>
        <w:t xml:space="preserve">3D. Each path is determined solely by its rotation and Hilbert ordering.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Δ</m:t>
            </m:r>
          </m:e>
          <m:sub>
            <m:r>
              <m:t>a</m:t>
            </m:r>
            <m: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∥</m:t>
        </m:r>
        <m:sSub>
          <m:e>
            <m:r>
              <m:t>z</m:t>
            </m:r>
          </m:e>
          <m:sub>
            <m:sSub>
              <m:e>
                <m:r>
                  <m:t>π</m:t>
                </m:r>
              </m:e>
              <m:sub>
                <m:r>
                  <m:t>a</m:t>
                </m:r>
                <m:r>
                  <m:t>t</m:t>
                </m:r>
              </m:sub>
            </m:sSub>
          </m:sub>
        </m:sSub>
        <m:r>
          <m:rPr>
            <m:sty m:val="p"/>
          </m:rPr>
          <m:t>−</m:t>
        </m:r>
        <m:sSub>
          <m:e>
            <m:r>
              <m:t>z</m:t>
            </m:r>
          </m:e>
          <m:sub>
            <m:sSub>
              <m:e>
                <m:r>
                  <m:t>π</m:t>
                </m:r>
              </m:e>
              <m:sub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t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sub>
        </m:sSub>
        <m:sSub>
          <m:e>
            <m:r>
              <m:rPr>
                <m:sty m:val="p"/>
              </m:rPr>
              <m:t>∥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r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median</w:t>
      </w:r>
      <w:r>
        <w:t xml:space="preserve"> </w:t>
      </w:r>
      <w:r>
        <w:t xml:space="preserve">positive path step. At an interior query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sSub>
          <m:e>
            <m:r>
              <m:t>π</m:t>
            </m:r>
          </m:e>
          <m:sub>
            <m:r>
              <m:t>a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q</m:t>
            </m:r>
          </m:e>
          <m:sub>
            <m:r>
              <m:t>a</m:t>
            </m:r>
            <m:r>
              <m:t>i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Δ</m:t>
                </m:r>
              </m:e>
              <m:sub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t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  <m:sSub>
              <m:e>
                <m:r>
                  <m:t>Δ</m:t>
                </m:r>
              </m:e>
              <m:sub>
                <m:r>
                  <m:t>a</m:t>
                </m:r>
                <m:r>
                  <m:t>t</m:t>
                </m:r>
              </m:sub>
            </m:sSub>
          </m:e>
        </m:rad>
      </m:oMath>
      <w:r>
        <w:t xml:space="preserve">; at an endpoint use the available step.</w:t>
      </w:r>
      <w:r>
        <w:t xml:space="preserve"> </w:t>
      </w:r>
      <w:r>
        <w:t xml:space="preserve">The transport action and query-isolation factor are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a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Δ</m:t>
                  </m:r>
                </m:e>
                <m:sub>
                  <m:r>
                    <m:t>a</m:t>
                  </m:r>
                  <m:r>
                    <m:t>t</m:t>
                  </m:r>
                </m:sub>
              </m:sSub>
            </m:num>
            <m:den>
              <m:sSub>
                <m:e>
                  <m:r>
                    <m:t>r</m:t>
                  </m:r>
                </m:e>
                <m:sub>
                  <m:r>
                    <m:t>a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ω</m:t>
              </m:r>
            </m:e>
            <m:sub>
              <m:r>
                <m:t>a</m:t>
              </m:r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max</m:t>
          </m:r>
          <m:d>
            <m:dPr>
              <m:begChr m:val="{"/>
              <m:endChr m:val="}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b>
                    <m:e>
                      <m:r>
                        <m:t>q</m:t>
                      </m:r>
                    </m:e>
                    <m:sub>
                      <m:r>
                        <m:t>a</m:t>
                      </m:r>
                      <m:r>
                        <m:t>i</m:t>
                      </m:r>
                    </m:sub>
                  </m:sSub>
                </m:num>
                <m:den>
                  <m:sSub>
                    <m:e>
                      <m:r>
                        <m:t>r</m:t>
                      </m:r>
                    </m:e>
                    <m:sub>
                      <m:r>
                        <m:t>a</m:t>
                      </m:r>
                    </m:sub>
                  </m:sSub>
                </m:den>
              </m:f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class indicator</w:t>
      </w:r>
      <w:r>
        <w:t xml:space="preserve"> </w:t>
      </w:r>
      <m:oMath>
        <m:sSub>
          <m:e>
            <m:r>
              <m:t>z</m:t>
            </m:r>
          </m:e>
          <m:sub>
            <m:r>
              <m:t>a</m:t>
            </m:r>
            <m:r>
              <m:t>j</m:t>
            </m:r>
            <m:r>
              <m:t>c</m:t>
            </m:r>
          </m:sub>
        </m:sSub>
        <m:r>
          <m:rPr>
            <m:sty m:val="p"/>
          </m:rPr>
          <m:t>=</m:t>
        </m:r>
        <m:r>
          <m:rPr>
            <m:sty m:val="b"/>
          </m:rPr>
          <m:t>1</m:t>
        </m:r>
        <m:r>
          <m:rPr>
            <m:sty m:val="p"/>
          </m:rPr>
          <m:t>{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c</m:t>
        </m:r>
        <m:r>
          <m:rPr>
            <m:sty m:val="p"/>
          </m:rPr>
          <m:t>}</m:t>
        </m:r>
      </m:oMath>
      <w:r>
        <w:t xml:space="preserve">, one forward and one reverse</w:t>
      </w:r>
      <w:r>
        <w:t xml:space="preserve"> </w:t>
      </w:r>
      <w:r>
        <w:t xml:space="preserve">recurrence at the fixed range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L</m:t>
              </m:r>
            </m:e>
            <m:sub>
              <m:r>
                <m:t>a</m:t>
              </m:r>
              <m:r>
                <m:t>i</m:t>
              </m:r>
              <m:r>
                <m:t>c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j</m:t>
              </m:r>
              <m:sSub>
                <m:e>
                  <m:r>
                    <m:rPr>
                      <m:sty m:val="p"/>
                    </m:rPr>
                    <m:t>≺</m:t>
                  </m:r>
                </m:e>
                <m:sub>
                  <m:r>
                    <m:t>a</m:t>
                  </m:r>
                </m:sub>
              </m:sSub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D</m:t>
                      </m:r>
                    </m:e>
                    <m:sub>
                      <m:r>
                        <m:t>a</m:t>
                      </m:r>
                    </m:sub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b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i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e>
                  </m:d>
                  <m:r>
                    <m:rPr>
                      <m:sty m:val="p"/>
                    </m:rPr>
                    <m:t>/</m:t>
                  </m:r>
                  <m:r>
                    <m:t>5</m:t>
                  </m:r>
                </m:sup>
              </m:sSup>
            </m:e>
          </m:nary>
          <m:sSub>
            <m:e>
              <m:r>
                <m:t>z</m:t>
              </m:r>
            </m:e>
            <m:sub>
              <m:r>
                <m:t>a</m:t>
              </m:r>
              <m:r>
                <m:t>j</m:t>
              </m:r>
              <m:r>
                <m:t>c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R</m:t>
              </m:r>
            </m:e>
            <m:sub>
              <m:r>
                <m:t>a</m:t>
              </m:r>
              <m:r>
                <m:t>i</m:t>
              </m:r>
              <m:r>
                <m:t>c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j</m:t>
              </m:r>
              <m:sSub>
                <m:e>
                  <m:r>
                    <m:rPr>
                      <m:sty m:val="p"/>
                    </m:rPr>
                    <m:t>≻</m:t>
                  </m:r>
                </m:e>
                <m:sub>
                  <m:r>
                    <m:t>a</m:t>
                  </m:r>
                </m:sub>
              </m:sSub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D</m:t>
                      </m:r>
                    </m:e>
                    <m:sub>
                      <m:r>
                        <m:t>a</m:t>
                      </m:r>
                    </m:sub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b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i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e>
                  </m:d>
                  <m:r>
                    <m:rPr>
                      <m:sty m:val="p"/>
                    </m:rPr>
                    <m:t>/</m:t>
                  </m:r>
                  <m:r>
                    <m:t>5</m:t>
                  </m:r>
                </m:sup>
              </m:sSup>
            </m:e>
          </m:nary>
          <m:sSub>
            <m:e>
              <m:r>
                <m:t>z</m:t>
              </m:r>
            </m:e>
            <m:sub>
              <m:r>
                <m:t>a</m:t>
              </m:r>
              <m:r>
                <m:t>j</m:t>
              </m:r>
              <m:r>
                <m:t>c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D</m:t>
            </m:r>
          </m:e>
          <m:sub>
            <m:r>
              <m:t>a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D</m:t>
            </m:r>
          </m:e>
          <m:sub>
            <m:r>
              <m:t>a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t xml:space="preserve"> </w:t>
      </w:r>
      <w:r>
        <w:t xml:space="preserve">are sums of the directed actions. The strict path</w:t>
      </w:r>
      <w:r>
        <w:t xml:space="preserve"> </w:t>
      </w:r>
      <w:r>
        <w:t xml:space="preserve">inequalities are leave-self-out: a query’s supplied label is inserted only after its</w:t>
      </w:r>
      <w:r>
        <w:t xml:space="preserve"> </w:t>
      </w:r>
      <w:r>
        <w:t xml:space="preserve">directional state has been read. FiberMargin combines directional amplitudes as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a</m:t>
              </m:r>
              <m:r>
                <m:t>i</m:t>
              </m:r>
              <m:r>
                <m:t>c</m:t>
              </m:r>
            </m:sub>
          </m:sSub>
          <m:r>
            <m:rPr>
              <m:sty m:val="p"/>
            </m:rPr>
            <m:t>=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L</m:t>
                          </m:r>
                        </m:e>
                        <m:sub>
                          <m:r>
                            <m:t>a</m:t>
                          </m:r>
                          <m:r>
                            <m:t>i</m:t>
                          </m:r>
                          <m:r>
                            <m:t>c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+</m:t>
                  </m:r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R</m:t>
                          </m:r>
                        </m:e>
                        <m:sub>
                          <m:r>
                            <m:t>a</m:t>
                          </m:r>
                          <m:r>
                            <m:t>i</m:t>
                          </m:r>
                          <m:r>
                            <m:t>c</m:t>
                          </m:r>
                        </m:sub>
                      </m:sSub>
                    </m:e>
                  </m:rad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b>
            <m:e>
              <m:r>
                <m:t>p</m:t>
              </m:r>
            </m:e>
            <m:sub>
              <m:r>
                <m:t>a</m:t>
              </m:r>
              <m:r>
                <m:t>i</m:t>
              </m:r>
              <m:r>
                <m:t>c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H</m:t>
                  </m:r>
                </m:e>
                <m:sub>
                  <m:r>
                    <m:t>a</m:t>
                  </m:r>
                  <m:r>
                    <m:t>i</m:t>
                  </m:r>
                  <m:r>
                    <m:t>c</m:t>
                  </m:r>
                </m:sub>
              </m:sSub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{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a</m:t>
                      </m:r>
                      <m:r>
                        <m:t>i</m:t>
                      </m:r>
                      <m:r>
                        <m:t>r</m:t>
                      </m:r>
                    </m:sub>
                  </m:sSub>
                </m:e>
              </m:nary>
              <m:r>
                <m:rPr>
                  <m:sty m:val="p"/>
                </m:rPr>
                <m:t>,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12</m:t>
                  </m:r>
                </m:sup>
              </m:sSup>
              <m:r>
                <m:rPr>
                  <m:sty m:val="p"/>
                </m:rPr>
                <m:t>}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cross term rewards evidence that encloses a query from both path directions while</w:t>
      </w:r>
      <w:r>
        <w:t xml:space="preserve"> </w:t>
      </w:r>
      <w:r>
        <w:t xml:space="preserve">retaining unilateral evidence. Sources have unit mass; local isolation affects only</w:t>
      </w:r>
      <w:r>
        <w:t xml:space="preserve"> </w:t>
      </w:r>
      <w:r>
        <w:t xml:space="preserve">the final acceptance decision.</w:t>
      </w:r>
    </w:p>
    <w:bookmarkEnd w:id="28"/>
    <w:bookmarkStart w:id="29" w:name="atlas-margin-and-selective-decision"/>
    <w:p>
      <w:pPr>
        <w:pStyle w:val="Heading2"/>
      </w:pPr>
      <w:r>
        <w:t>3.3  Atlas margin and selective decision</w:t>
      </w:r>
    </w:p>
    <w:p>
      <w:pPr>
        <w:pStyle w:val="FirstParagraph"/>
      </w:pPr>
      <w:r>
        <w:t xml:space="preserve">Relative to the supplied class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 define the path contrast</w:t>
      </w:r>
      <w:r>
        <w:t xml:space="preserve"> </w:t>
      </w:r>
      <m:oMath>
        <m:sSub>
          <m:e>
            <m:r>
              <m:t>m</m:t>
            </m:r>
          </m:e>
          <m:sub>
            <m:r>
              <m:t>a</m:t>
            </m:r>
            <m:r>
              <m:t>i</m:t>
            </m:r>
            <m:r>
              <m:t>c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a</m:t>
            </m:r>
            <m:r>
              <m:t>i</m:t>
            </m:r>
            <m:r>
              <m:t>c</m:t>
            </m:r>
          </m:sub>
        </m:sSub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a</m:t>
            </m:r>
            <m:r>
              <m:t>i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sub>
        </m:sSub>
      </m:oMath>
      <w:r>
        <w:t xml:space="preserve">. 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paths, the atlas margin and descriptive</w:t>
      </w:r>
      <w:r>
        <w:t xml:space="preserve"> </w:t>
      </w:r>
      <w:r>
        <w:t xml:space="preserve">chart-disagreement scale are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i</m:t>
              </m:r>
              <m:r>
                <m:t>c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A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m</m:t>
                  </m:r>
                </m:e>
                <m:sub>
                  <m:r>
                    <m:t>a</m:t>
                  </m:r>
                  <m:r>
                    <m:t>i</m:t>
                  </m:r>
                  <m:r>
                    <m:t>c</m:t>
                  </m:r>
                </m:sub>
              </m:sSub>
            </m:e>
          </m:nary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i</m:t>
              </m:r>
              <m:r>
                <m:t>c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A</m:t>
              </m:r>
            </m:den>
          </m:f>
          <m:sSup>
            <m:e>
              <m:d>
                <m:dPr>
                  <m:begChr m:val="{"/>
                  <m:endChr m:val="}"/>
                  <m:sepChr m:val="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a</m:t>
                      </m:r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sSub>
                                <m:e>
                                  <m:r>
                                    <m:t>m</m:t>
                                  </m:r>
                                </m:e>
                                <m:sub>
                                  <m:r>
                                    <m:t>a</m:t>
                                  </m:r>
                                  <m:r>
                                    <m:t>i</m:t>
                                  </m:r>
                                  <m:r>
                                    <m:t>c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m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  <m:r>
                                    <m:t>c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second expression is the empirical population standard deviation across the</w:t>
      </w:r>
      <w:r>
        <w:t xml:space="preserve"> </w:t>
      </w:r>
      <w:r>
        <w:t xml:space="preserve">deterministic paths divided by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; it is not a calibrated confidence interval.</w:t>
      </w:r>
      <w:r>
        <w:t xml:space="preserve"> </w:t>
      </w:r>
      <w:r>
        <w:t xml:space="preserve">The candidate</w:t>
      </w:r>
      <w:r>
        <w:t xml:space="preserve"> </w:t>
      </w:r>
      <m:oMath>
        <m:sSubSup>
          <m:e>
            <m:r>
              <m:t>c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c</m:t>
            </m:r>
          </m:sub>
        </m:sSub>
        <m:sSub>
          <m:e>
            <m:r>
              <m:t>m</m:t>
            </m:r>
          </m:e>
          <m:sub>
            <m:r>
              <m:t>i</m:t>
            </m:r>
            <m:r>
              <m:t>c</m:t>
            </m:r>
          </m:sub>
        </m:sSub>
      </m:oMath>
      <w:r>
        <w:t xml:space="preserve"> </w:t>
      </w:r>
      <w:r>
        <w:t xml:space="preserve">is initialized at the supplied class, so exact</w:t>
      </w:r>
      <w:r>
        <w:t xml:space="preserve"> </w:t>
      </w:r>
      <w:r>
        <w:t xml:space="preserve">ties retain that class. With observed class count</w:t>
      </w:r>
      <w:r>
        <w:t xml:space="preserve"> </w:t>
      </w:r>
      <m:oMath>
        <m:sSub>
          <m:e>
            <m:r>
              <m:t>n</m:t>
            </m:r>
          </m:e>
          <m:sub>
            <m:r>
              <m:t>c</m:t>
            </m:r>
          </m:sub>
        </m:sSub>
      </m:oMath>
      <w:r>
        <w:t xml:space="preserve">, median positive class count</w:t>
      </w:r>
      <w:r>
        <w:t xml:space="preserve"> </w:t>
      </w:r>
      <m:oMath>
        <m:sSub>
          <m:e>
            <m:r>
              <m:t>n</m:t>
            </m:r>
          </m:e>
          <m:sub>
            <m:r>
              <m:rPr>
                <m:sty m:val="p"/>
              </m:rPr>
              <m:t>m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d</m:t>
            </m:r>
          </m:sub>
        </m:sSub>
      </m:oMath>
      <w:r>
        <w:t xml:space="preserve">, and median isolation</w:t>
      </w:r>
      <w:r>
        <w:t xml:space="preserve"> </w:t>
      </w:r>
      <m:oMath>
        <m:sSub>
          <m:e>
            <m:r>
              <m:t>ω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median</m:t>
            </m:r>
          </m:e>
          <m:sub>
            <m:r>
              <m:t>a</m:t>
            </m:r>
          </m:sub>
        </m:sSub>
        <m:sSub>
          <m:e>
            <m:r>
              <m:t>ω</m:t>
            </m:r>
          </m:e>
          <m:sub>
            <m:r>
              <m:t>a</m:t>
            </m:r>
            <m:r>
              <m:t>i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n</m:t>
                      </m:r>
                    </m:e>
                    <m:sub>
                      <m:r>
                        <m:rPr>
                          <m:sty m:val="p"/>
                        </m:rPr>
                        <m:t>m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d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max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c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i</m:t>
                  </m:r>
                  <m:r>
                    <m:t>c</m:t>
                  </m:r>
                </m:sub>
              </m:sSub>
              <m:sSub>
                <m:e>
                  <m:r>
                    <m:t>ω</m:t>
                  </m:r>
                </m:e>
                <m:sub>
                  <m:r>
                    <m:t>i</m:t>
                  </m:r>
                </m:sub>
              </m:sSub>
            </m:num>
            <m:den>
              <m:sSub>
                <m:e>
                  <m:r>
                    <m:t>δ</m:t>
                  </m:r>
                </m:e>
                <m:sub>
                  <m:r>
                    <m:t>c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FiberMargin changes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Sup>
          <m:e>
            <m:r>
              <m:t>c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only when</w:t>
      </w:r>
      <w:r>
        <w:t xml:space="preserve"> </w:t>
      </w:r>
      <m:oMath>
        <m:sSubSup>
          <m:e>
            <m:r>
              <m:t>c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sSubSup>
              <m:e>
                <m:r>
                  <m:t>c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*</m:t>
                </m:r>
              </m:sup>
            </m:sSubSup>
          </m:sub>
        </m:sSub>
        <m:r>
          <m:rPr>
            <m:sty m:val="p"/>
          </m:rPr>
          <m:t>≥</m:t>
        </m:r>
        <m:sSub>
          <m:e>
            <m:r>
              <m:t>B</m:t>
            </m:r>
          </m:e>
          <m:sub>
            <m:r>
              <m:t>i</m:t>
            </m:r>
            <m:sSubSup>
              <m:e>
                <m:r>
                  <m:t>c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*</m:t>
                </m:r>
              </m:sup>
            </m:sSubSup>
          </m:sub>
        </m:sSub>
      </m:oMath>
      <w:r>
        <w:t xml:space="preserve">. The returned</w:t>
      </w:r>
      <w:r>
        <w:t xml:space="preserve"> </w:t>
      </w:r>
      <w:r>
        <w:rPr>
          <w:rStyle w:val="VerbatimChar"/>
        </w:rPr>
        <w:t xml:space="preserve">margin_score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sSubSup>
              <m:e>
                <m:r>
                  <m:t>c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*</m:t>
                </m:r>
              </m:sup>
            </m:sSubSup>
          </m:sub>
        </m:sSub>
      </m:oMath>
      <w:r>
        <w:t xml:space="preserve">,</w:t>
      </w:r>
      <w:r>
        <w:t xml:space="preserve"> </w:t>
      </w:r>
      <w:r>
        <w:rPr>
          <w:rStyle w:val="VerbatimChar"/>
        </w:rPr>
        <w:t xml:space="preserve">required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sSubSup>
              <m:e>
                <m:r>
                  <m:t>c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*</m:t>
                </m:r>
              </m:sup>
            </m:sSubSup>
          </m:sub>
        </m:sSub>
      </m:oMath>
      <w:r>
        <w:t xml:space="preserve">, and</w:t>
      </w:r>
      <w:r>
        <w:t xml:space="preserve"> </w:t>
      </w:r>
      <w:r>
        <w:rPr>
          <w:rStyle w:val="VerbatimChar"/>
        </w:rPr>
        <w:t xml:space="preserve">repair_margin</w:t>
      </w:r>
      <w:r>
        <w:t xml:space="preserve"> </w:t>
      </w:r>
      <w:r>
        <w:t xml:space="preserve">is their difference. These are</w:t>
      </w:r>
      <w:r>
        <w:t xml:space="preserve"> </w:t>
      </w:r>
      <w:r>
        <w:t xml:space="preserve">uncalibrated deterministic contrasts, not probabilities.</w:t>
      </w:r>
    </w:p>
    <w:p>
      <w:pPr>
        <w:pStyle w:val="BodyText"/>
      </w:pPr>
      <w:r>
        <w:t xml:space="preserve">For exactly two observed classes, the implementation uses one strict local ballot</w:t>
      </w:r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min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sSup>
              <m:e>
                <m:r>
                  <m:t>2</m:t>
                </m:r>
              </m:e>
              <m:sup>
                <m:r>
                  <m:t>d</m:t>
                </m:r>
                <m:r>
                  <m:rPr>
                    <m:sty m:val="p"/>
                  </m:rPr>
                  <m:t>+</m:t>
                </m:r>
                <m:r>
                  <m:t>4</m:t>
                </m:r>
              </m:sup>
            </m:sSup>
          </m:e>
        </m:d>
      </m:oMath>
      <w:r>
        <w:t xml:space="preserve"> </w:t>
      </w:r>
      <w:r>
        <w:t xml:space="preserve">nearest other locations; a tie retains the supplied class</w:t>
      </w:r>
      <w:r>
        <w:t xml:space="preserve"> </w:t>
      </w:r>
      <w:r>
        <w:t xml:space="preserve">and a distinct candidate requires one net vote. Specimens with fewer than 20</w:t>
      </w:r>
      <w:r>
        <w:t xml:space="preserve"> </w:t>
      </w:r>
      <w:r>
        <w:t xml:space="preserve">locations, fewer than two observed classes, or no coordinate extent are returned</w:t>
      </w:r>
      <w:r>
        <w:t xml:space="preserve"> </w:t>
      </w:r>
      <w:r>
        <w:t xml:space="preserve">unchanged. In a binary field the rival is unique, so the signed difference between</w:t>
      </w:r>
      <w:r>
        <w:t xml:space="preserve"> </w:t>
      </w:r>
      <w:r>
        <w:t xml:space="preserve">local rival and supplied-class counts provides the complete local candidate</w:t>
      </w:r>
      <w:r>
        <w:t xml:space="preserve"> </w:t>
      </w:r>
      <w:r>
        <w:t xml:space="preserve">comparison without multiclass path normalization. This binary specialization is</w:t>
      </w:r>
      <w:r>
        <w:t xml:space="preserve"> </w:t>
      </w:r>
      <w:r>
        <w:t xml:space="preserve">fixed and is not user-selectable.</w:t>
      </w:r>
    </w:p>
    <w:bookmarkEnd w:id="29"/>
    <w:bookmarkStart w:id="30" w:name="X60b7f4683459107d4c18cf2071f5135fd9c035d"/>
    <w:p>
      <w:pPr>
        <w:pStyle w:val="Heading2"/>
      </w:pPr>
      <w:r>
        <w:t>3.4  Characterization and conditional guarantees</w:t>
      </w:r>
    </w:p>
    <w:p>
      <w:pPr>
        <w:pStyle w:val="FirstParagraph"/>
      </w:pPr>
      <w:r>
        <w:t xml:space="preserve">The square-root enclosure has a direct characterization. Within fields of the form</w:t>
      </w:r>
      <w: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R</m:t>
            </m:r>
          </m:e>
        </m:d>
        <m:r>
          <m:rPr>
            <m:sty m:val="p"/>
          </m:rPr>
          <m:t>=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g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L</m:t>
                    </m:r>
                  </m:e>
                </m:d>
                <m:r>
                  <m:rPr>
                    <m:sty m:val="p"/>
                  </m:rPr>
                  <m:t>+</m:t>
                </m:r>
                <m:r>
                  <m:t>g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R</m:t>
                    </m:r>
                  </m:e>
                </m:d>
              </m:e>
            </m:d>
          </m:e>
          <m:sup>
            <m:r>
              <m:t>2</m:t>
            </m:r>
          </m:sup>
        </m:sSup>
      </m:oMath>
      <w:r>
        <w:t xml:space="preserve"> </w:t>
      </w:r>
      <w:r>
        <w:t xml:space="preserve">with nonnegative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, exact retention of</w:t>
      </w:r>
      <w:r>
        <w:t xml:space="preserve"> </w:t>
      </w:r>
      <w:r>
        <w:t xml:space="preserve">one-sided evidence,</w:t>
      </w:r>
      <w: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R</m:t>
            </m:r>
          </m:e>
        </m:d>
        <m:r>
          <m:rPr>
            <m:sty m:val="p"/>
          </m:rPr>
          <m:t>=</m:t>
        </m:r>
        <m:r>
          <m:t>R</m:t>
        </m:r>
      </m:oMath>
      <w:r>
        <w:t xml:space="preserve">, forces</w:t>
      </w:r>
      <w:r>
        <w:t xml:space="preserve"> </w:t>
      </w:r>
      <m:oMath>
        <m:r>
          <m:t>g</m:t>
        </m:r>
        <m:d>
          <m:dPr>
            <m:begChr m:val="("/>
            <m:endChr m:val=")"/>
            <m:sepChr m:val=""/>
            <m:grow/>
          </m:dPr>
          <m:e>
            <m:r>
              <m:t>u</m:t>
            </m:r>
          </m:e>
        </m: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u</m:t>
            </m:r>
          </m:e>
        </m:rad>
      </m:oMath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R</m:t>
            </m:r>
          </m:e>
        </m:d>
        <m:r>
          <m:rPr>
            <m:sty m:val="p"/>
          </m:rPr>
          <m:t>=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ad>
                  <m:radPr>
                    <m:degHide m:val="on"/>
                  </m:radPr>
                  <m:deg/>
                  <m:e>
                    <m:r>
                      <m:t>L</m:t>
                    </m:r>
                  </m:e>
                </m:rad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R</m:t>
                    </m:r>
                  </m:e>
                </m:rad>
              </m:e>
            </m:d>
          </m:e>
          <m:sup>
            <m:r>
              <m:t>2</m:t>
            </m:r>
          </m:sup>
        </m:sSup>
      </m:oMath>
      <w:r>
        <w:t xml:space="preserve">. This applies to the unnormalized field and does not</w:t>
      </w:r>
      <w:r>
        <w:t xml:space="preserve"> </w:t>
      </w:r>
      <w:r>
        <w:t xml:space="preserve">derive the atlas size, rotations, or range.</w:t>
      </w:r>
    </w:p>
    <w:p>
      <w:pPr>
        <w:pStyle w:val="BodyText"/>
      </w:pPr>
      <w:r>
        <w:t xml:space="preserve">The Supplement proves deterministic path-weight, finite-input recurrence-stability,</w:t>
      </w:r>
      <w:r>
        <w:t xml:space="preserve"> </w:t>
      </w:r>
      <w:r>
        <w:t xml:space="preserve">and specimen-isolation results for the implemented recurrences. Its binary and</w:t>
      </w:r>
      <w:r>
        <w:t xml:space="preserve"> </w:t>
      </w:r>
      <w:r>
        <w:t xml:space="preserve">multiclass recovery theorems are conditional chart-interior results under stated</w:t>
      </w:r>
      <w:r>
        <w:t xml:space="preserve"> </w:t>
      </w:r>
      <w:r>
        <w:t xml:space="preserve">witness and label-noise assumptions, not universal consistency claims. In particular,</w:t>
      </w:r>
      <w:r>
        <w:t xml:space="preserve"> </w:t>
      </w:r>
      <w:r>
        <w:t xml:space="preserve">they do not imply recovery of coherent regional overwrites or correctness at every</w:t>
      </w:r>
      <w:r>
        <w:t xml:space="preserve"> </w:t>
      </w:r>
      <w:r>
        <w:t xml:space="preserve">boundary.</w:t>
      </w:r>
    </w:p>
    <w:bookmarkEnd w:id="30"/>
    <w:bookmarkEnd w:id="31"/>
    <w:bookmarkStart w:id="40" w:name="experimental-design"/>
    <w:p>
      <w:pPr>
        <w:pStyle w:val="Heading1"/>
      </w:pPr>
      <w:r>
        <w:t>4  Experimental Design</w:t>
      </w:r>
    </w:p>
    <w:p>
      <w:pPr>
        <w:pStyle w:val="FirstParagraph"/>
      </w:pPr>
      <w:r>
        <w:t xml:space="preserve">The evaluation separates six questions that a single headline accuracy cannot</w:t>
      </w:r>
      <w:r>
        <w:t xml:space="preserve"> </w:t>
      </w:r>
      <w:r>
        <w:t xml:space="preserve">answer: whether the operator corrects known errors under controlled geometry and</w:t>
      </w:r>
      <w:r>
        <w:t xml:space="preserve"> </w:t>
      </w:r>
      <w:r>
        <w:t xml:space="preserve">density; whether it transfers to unseen shapes and native 3D coordinates; whether it</w:t>
      </w:r>
      <w:r>
        <w:t xml:space="preserve"> </w:t>
      </w:r>
      <w:r>
        <w:t xml:space="preserve">works on real tissue arrangements without expression or images; whether a regular</w:t>
      </w:r>
      <w:r>
        <w:t xml:space="preserve"> </w:t>
      </w:r>
      <w:r>
        <w:t xml:space="preserve">raster instead favors a grid-specific smoother; which parts of the operator matter;</w:t>
      </w:r>
      <w:r>
        <w:t xml:space="preserve"> </w:t>
      </w:r>
      <w:r>
        <w:t xml:space="preserve">and whether the C++ implementation remains practical at large sample sizes. In every</w:t>
      </w:r>
      <w:r>
        <w:t xml:space="preserve"> </w:t>
      </w:r>
      <w:r>
        <w:t xml:space="preserve">corruption study, the reference field is retained only for scoring. It is never an</w:t>
      </w:r>
      <w:r>
        <w:t xml:space="preserve"> </w:t>
      </w:r>
      <w:r>
        <w:t xml:space="preserve">input to FiberMargin or a comparator.</w:t>
      </w:r>
    </w:p>
    <w:bookmarkStart w:id="32" w:name="evaluation-units"/>
    <w:p>
      <w:pPr>
        <w:pStyle w:val="Heading2"/>
      </w:pPr>
      <w:r>
        <w:t>4.1  Evaluation units</w:t>
      </w:r>
    </w:p>
    <w:p>
      <w:pPr>
        <w:pStyle w:val="FirstParagraph"/>
      </w:pPr>
      <w:r>
        <w:t xml:space="preserve">For simulation inference, the independent unit is a geometry family rather than one</w:t>
      </w:r>
      <w:r>
        <w:t xml:space="preserve"> </w:t>
      </w:r>
      <w:r>
        <w:t xml:space="preserve">corruption draw: repeats on the same field share its class layout, boundary geometry,</w:t>
      </w:r>
      <w:r>
        <w:t xml:space="preserve"> </w:t>
      </w:r>
      <w:r>
        <w:t xml:space="preserve">and sampling pattern. Confidence intervals therefore use 10,000 paired bootstrap</w:t>
      </w:r>
      <w:r>
        <w:t xml:space="preserve"> </w:t>
      </w:r>
      <w:r>
        <w:t xml:space="preserve">resamples of whole-family means. Real-coordinate perturbations are descriptive</w:t>
      </w:r>
      <w:r>
        <w:t xml:space="preserve"> </w:t>
      </w:r>
      <w:r>
        <w:t xml:space="preserve">recovery tests on a fixed tissue arrangement, not biological replicates.</w:t>
      </w:r>
    </w:p>
    <w:p>
      <w:pPr>
        <w:pStyle w:val="BodyText"/>
      </w:pPr>
      <w:r>
        <w:t xml:space="preserve">For the genuine upstream-mask evaluation, an independently annotated CamVid test frame</w:t>
      </w:r>
      <w:r>
        <w:t xml:space="preserve"> </w:t>
      </w:r>
      <w:r>
        <w:t xml:space="preserve">is the summary unit. Frames retain sequence dependence, so image-wise summaries are</w:t>
      </w:r>
      <w:r>
        <w:t xml:space="preserve"> </w:t>
      </w:r>
      <w:r>
        <w:t xml:space="preserve">descriptive rather than formal out-of-domain significance tests.</w:t>
      </w:r>
    </w:p>
    <w:bookmarkEnd w:id="32"/>
    <w:bookmarkStart w:id="33" w:name="controlled-spatial-recovery-studies"/>
    <w:p>
      <w:pPr>
        <w:pStyle w:val="Heading2"/>
      </w:pPr>
      <w:r>
        <w:t>4.2  Controlled spatial recovery studies</w:t>
      </w:r>
    </w:p>
    <w:p>
      <w:pPr>
        <w:pStyle w:val="FirstParagraph"/>
      </w:pPr>
      <w:r>
        <w:rPr>
          <w:b/>
          <w:bCs/>
        </w:rPr>
        <w:t xml:space="preserve">Purpose.</w:t>
      </w:r>
      <w:r>
        <w:t xml:space="preserve"> </w:t>
      </w:r>
      <w:r>
        <w:t xml:space="preserve">Controlled fields make the correct class known at every location, so they</w:t>
      </w:r>
      <w:r>
        <w:t xml:space="preserve"> </w:t>
      </w:r>
      <w:r>
        <w:t xml:space="preserve">can measure both repaired errors and newly damaged correct labels while varying one</w:t>
      </w:r>
      <w:r>
        <w:t xml:space="preserve"> </w:t>
      </w:r>
      <w:r>
        <w:t xml:space="preserve">spatial difficulty at a time. The complete simulation suite contains 708 cases from 12</w:t>
      </w:r>
      <w:r>
        <w:t xml:space="preserve"> </w:t>
      </w:r>
      <w:r>
        <w:t xml:space="preserve">planar or layered geometry families, including jagged and curved stripes, thin layers,</w:t>
      </w:r>
      <w:r>
        <w:t xml:space="preserve"> </w:t>
      </w:r>
      <w:r>
        <w:t xml:space="preserve">branching regions, rings, disconnected components, density gradients, 2D/3D A-B-C</w:t>
      </w:r>
      <w:r>
        <w:t xml:space="preserve"> </w:t>
      </w:r>
      <w:r>
        <w:t xml:space="preserve">gradients, five region-concentration profiles, four corruption mechanisms, and one or</w:t>
      </w:r>
      <w:r>
        <w:t xml:space="preserve"> </w:t>
      </w:r>
      <w:r>
        <w:t xml:space="preserve">three specimens. It asks whether recovery persists across the forms of class shape,</w:t>
      </w:r>
      <w:r>
        <w:t xml:space="preserve"> </w:t>
      </w:r>
      <w:r>
        <w:t xml:space="preserve">sampling imbalance, and local error that occur in spatial annotations. A separate</w:t>
      </w:r>
      <w:r>
        <w:t xml:space="preserve"> </w:t>
      </w:r>
      <w:r>
        <w:t xml:space="preserve">108-case unseen-shape suite uses six held-out geometry families; it tests transfer to</w:t>
      </w:r>
      <w:r>
        <w:t xml:space="preserve"> </w:t>
      </w:r>
      <w:r>
        <w:t xml:space="preserve">new formulas rather than another draw from the primary shapes. Every procedural</w:t>
      </w:r>
      <w:r>
        <w:t xml:space="preserve"> </w:t>
      </w:r>
      <w:r>
        <w:t xml:space="preserve">corruption retains one correct exemplar of each true class represented in a specimen.</w:t>
      </w:r>
      <w:r>
        <w:t xml:space="preserve"> </w:t>
      </w:r>
      <w:r>
        <w:t xml:space="preserve">The target is repair of labels that remain represented in the supplied field, rather</w:t>
      </w:r>
      <w:r>
        <w:t xml:space="preserve"> </w:t>
      </w:r>
      <w:r>
        <w:t xml:space="preserve">than discovery of a class absent from that field.</w:t>
      </w:r>
      <w:r>
        <w:t xml:space="preserve"> </w:t>
      </w:r>
      <w:r>
        <w:t xml:space="preserve">Figure 1 compares Accuracy and ARI across both simulation ledgers and the dedicated</w:t>
      </w:r>
      <w:r>
        <w:t xml:space="preserve"> </w:t>
      </w:r>
      <w:r>
        <w:t xml:space="preserve">variable-density 3D panel.</w:t>
      </w:r>
    </w:p>
    <w:p>
      <w:pPr>
        <w:pStyle w:val="BodyText"/>
      </w:pPr>
      <w:r>
        <w:t xml:space="preserve">The separate, non-overlapping volumetric suite asks whether the same operator works</w:t>
      </w:r>
      <w:r>
        <w:t xml:space="preserve"> </w:t>
      </w:r>
      <w:r>
        <w:t xml:space="preserve">on genuinely three-dimensional arrangements rather than stacked planar examples. It crosses eight</w:t>
      </w:r>
      <w:r>
        <w:t xml:space="preserve"> </w:t>
      </w:r>
      <w:r>
        <w:t xml:space="preserve">3D structures with uniform, class-imbalanced, or irregular-plane acquisition and</w:t>
      </w:r>
      <w:r>
        <w:t xml:space="preserve"> </w:t>
      </w:r>
      <w:r>
        <w:t xml:space="preserve">random, boundary, patch, or regional corruption. It contains 288 cases of 12,000</w:t>
      </w:r>
      <w:r>
        <w:t xml:space="preserve"> </w:t>
      </w:r>
      <w:r>
        <w:t xml:space="preserve">points and 32 size-confirmation cases of 60,000 points.</w:t>
      </w:r>
    </w:p>
    <w:p>
      <w:pPr>
        <w:pStyle w:val="BodyText"/>
      </w:pPr>
      <w:r>
        <w:t xml:space="preserve">Controlled biological-coordinate studies ask the same question on real spatial</w:t>
      </w:r>
      <w:r>
        <w:t xml:space="preserve"> </w:t>
      </w:r>
      <w:r>
        <w:t xml:space="preserve">arrangements while keeping recovery measurable: annotations are first treated as the</w:t>
      </w:r>
      <w:r>
        <w:t xml:space="preserve"> </w:t>
      </w:r>
      <w:r>
        <w:t xml:space="preserve">reference and then locally corrupted. This design does not claim correction of</w:t>
      </w:r>
      <w:r>
        <w:t xml:space="preserve"> </w:t>
      </w:r>
      <w:r>
        <w:t xml:space="preserve">unadjudicated biological annotation errors. We use 47,329 spots from 12 DLPFC sections</w:t>
      </w:r>
      <w:r>
        <w:t xml:space="preserve"> </w:t>
      </w:r>
      <w:r>
        <w:t xml:space="preserve">and three donors</w:t>
      </w:r>
      <w:r>
        <w:t xml:space="preserve"> </w:t>
      </w:r>
      <w:r>
        <w:t xml:space="preserve">(</w:t>
      </w:r>
      <w:hyperlink w:anchor="ref-maynard2021">
        <w:r>
          <w:rPr>
            <w:rStyle w:val="Hyperlink"/>
          </w:rPr>
          <w:t xml:space="preserve">Maynard et al. 2021</w:t>
        </w:r>
      </w:hyperlink>
      <w:r>
        <w:t xml:space="preserve">;</w:t>
      </w:r>
      <w:r>
        <w:t xml:space="preserve"> </w:t>
      </w:r>
      <w:hyperlink w:anchor="ref-pardo2022">
        <w:r>
          <w:rPr>
            <w:rStyle w:val="Hyperlink"/>
          </w:rPr>
          <w:t xml:space="preserve">Pardo et al. 2022</w:t>
        </w:r>
      </w:hyperlink>
      <w:r>
        <w:t xml:space="preserve">)</w:t>
      </w:r>
      <w:r>
        <w:t xml:space="preserve"> </w:t>
      </w:r>
      <w:r>
        <w:t xml:space="preserve">to test layered, multi-section tissue;</w:t>
      </w:r>
      <w:r>
        <w:t xml:space="preserve"> </w:t>
      </w:r>
      <w:r>
        <w:t xml:space="preserve">28,317 cells from five consecutive MERFISH hypothalamic planes from one mouse</w:t>
      </w:r>
      <w:r>
        <w:t xml:space="preserve"> </w:t>
      </w:r>
      <w:r>
        <w:t xml:space="preserve">(</w:t>
      </w:r>
      <w:hyperlink w:anchor="ref-moffitt2018">
        <w:r>
          <w:rPr>
            <w:rStyle w:val="Hyperlink"/>
          </w:rPr>
          <w:t xml:space="preserve">Moffitt et al. 2018</w:t>
        </w:r>
      </w:hyperlink>
      <w:r>
        <w:t xml:space="preserve">;</w:t>
      </w:r>
      <w:r>
        <w:t xml:space="preserve"> </w:t>
      </w:r>
      <w:hyperlink w:anchor="ref-li2022bass">
        <w:r>
          <w:rPr>
            <w:rStyle w:val="Hyperlink"/>
          </w:rPr>
          <w:t xml:space="preserve">Li and Zhou 2022</w:t>
        </w:r>
      </w:hyperlink>
      <w:r>
        <w:t xml:space="preserve">)</w:t>
      </w:r>
      <w:r>
        <w:t xml:space="preserve"> </w:t>
      </w:r>
      <w:r>
        <w:t xml:space="preserve">to test a registered multi-plane arrangement; and 194,541</w:t>
      </w:r>
      <w:r>
        <w:t xml:space="preserve"> </w:t>
      </w:r>
      <w:r>
        <w:t xml:space="preserve">annotated locations from a 19-class colorectal cancer (CRC) Visium HD tissue derived</w:t>
      </w:r>
      <w:r>
        <w:t xml:space="preserve"> </w:t>
      </w:r>
      <w:r>
        <w:t xml:space="preserve">from the 10x Genomics</w:t>
      </w:r>
      <w:r>
        <w:t xml:space="preserve"> </w:t>
      </w:r>
      <w:r>
        <w:rPr>
          <w:i/>
          <w:iCs/>
        </w:rPr>
        <w:t xml:space="preserve">Visium HD Spatial Gene Expression Library, Human Colorectal</w:t>
      </w:r>
      <w:r>
        <w:rPr>
          <w:i/>
          <w:iCs/>
        </w:rPr>
        <w:t xml:space="preserve"> </w:t>
      </w:r>
      <w:r>
        <w:rPr>
          <w:i/>
          <w:iCs/>
        </w:rPr>
        <w:t xml:space="preserve">Cancer (FFPE)</w:t>
      </w:r>
      <w:r>
        <w:t xml:space="preserve"> </w:t>
      </w:r>
      <w:r>
        <w:t xml:space="preserve">dataset, analyzed with Space Ranger 4.0.1</w:t>
      </w:r>
      <w:r>
        <w:t xml:space="preserve"> </w:t>
      </w:r>
      <w:r>
        <w:t xml:space="preserve">(</w:t>
      </w:r>
      <w:hyperlink w:anchor="ref-tenxcrc2025">
        <w:r>
          <w:rPr>
            <w:rStyle w:val="Hyperlink"/>
          </w:rPr>
          <w:t xml:space="preserve">10x Genomics 2025</w:t>
        </w:r>
      </w:hyperlink>
      <w:r>
        <w:t xml:space="preserve">)</w:t>
      </w:r>
      <w:r>
        <w:t xml:space="preserve">, to test a</w:t>
      </w:r>
      <w:r>
        <w:t xml:space="preserve"> </w:t>
      </w:r>
      <w:r>
        <w:t xml:space="preserve">dense, multiclass tissue field. The CRC WSI region classes were derived by the</w:t>
      </w:r>
      <w:r>
        <w:t xml:space="preserve"> </w:t>
      </w:r>
      <w:r>
        <w:t xml:space="preserve">authors. Labels are replaced by labels from plausible adjacent regions under fixed</w:t>
      </w:r>
      <w:r>
        <w:t xml:space="preserve"> </w:t>
      </w:r>
      <w:r>
        <w:t xml:space="preserve">random, interface, compact-patch, and regional protocols. FiberMargin receives only</w:t>
      </w:r>
      <w:r>
        <w:t xml:space="preserve"> </w:t>
      </w:r>
      <w:r>
        <w:t xml:space="preserve">the resulting coordinates, corrupted labels, and specimen identifiers.</w:t>
      </w:r>
    </w:p>
    <w:bookmarkEnd w:id="33"/>
    <w:bookmarkStart w:id="34" w:name="procedural-raster-mask-diagnostic"/>
    <w:p>
      <w:pPr>
        <w:pStyle w:val="Heading2"/>
      </w:pPr>
      <w:r>
        <w:t>4.3  Procedural raster-mask diagnostic</w:t>
      </w:r>
    </w:p>
    <w:p>
      <w:pPr>
        <w:pStyle w:val="FirstParagraph"/>
      </w:pPr>
      <w:r>
        <w:t xml:space="preserve">This diagnostic asks a deliberately difficult question for a general coordinate-based</w:t>
      </w:r>
      <w:r>
        <w:t xml:space="preserve"> </w:t>
      </w:r>
      <w:r>
        <w:t xml:space="preserve">operator: can it repair a regular categorical raster when no source image or model is</w:t>
      </w:r>
      <w:r>
        <w:t xml:space="preserve"> </w:t>
      </w:r>
      <w:r>
        <w:t xml:space="preserve">available, and how much does a fixed grid-local smoothing prior help? The suite crosses</w:t>
      </w:r>
      <w:r>
        <w:t xml:space="preserve"> </w:t>
      </w:r>
      <w:r>
        <w:t xml:space="preserve">six 96x96 families–nested regions, jagged layers, thin networks, disconnected</w:t>
      </w:r>
      <w:r>
        <w:t xml:space="preserve"> </w:t>
      </w:r>
      <w:r>
        <w:t xml:space="preserve">islands, touching regions, and perforated rings–with three geometry seeds,</w:t>
      </w:r>
      <w:r>
        <w:t xml:space="preserve"> </w:t>
      </w:r>
      <w:r>
        <w:t xml:space="preserve">independent, boundary, or coherent-patch errors, and 15% or 30% corruption, for 108</w:t>
      </w:r>
      <w:r>
        <w:t xml:space="preserve"> </w:t>
      </w:r>
      <w:r>
        <w:t xml:space="preserve">cases. The families respectively stress containment, irregular boundaries, narrow</w:t>
      </w:r>
      <w:r>
        <w:t xml:space="preserve"> </w:t>
      </w:r>
      <w:r>
        <w:t xml:space="preserve">connectivity, rare components, close class contacts, and holes. Every method receives</w:t>
      </w:r>
      <w:r>
        <w:t xml:space="preserve"> </w:t>
      </w:r>
      <w:r>
        <w:t xml:space="preserve">only the corrupted categorical array. The same exported package functions create</w:t>
      </w:r>
      <w:r>
        <w:t xml:space="preserve"> </w:t>
      </w:r>
      <w:r>
        <w:t xml:space="preserve">corruptions, clean masks, and score outputs.</w:t>
      </w:r>
    </w:p>
    <w:bookmarkEnd w:id="34"/>
    <w:bookmarkStart w:id="35" w:name="X8491f84c573bf0c2c37aa23edefcb78ffa3f1fe"/>
    <w:p>
      <w:pPr>
        <w:pStyle w:val="Heading2"/>
      </w:pPr>
      <w:r>
        <w:t>4.4  Auxiliary binary building-mask diagnostic</w:t>
      </w:r>
    </w:p>
    <w:p>
      <w:pPr>
        <w:pStyle w:val="FirstParagraph"/>
      </w:pPr>
      <w:r>
        <w:t xml:space="preserve">This is a controlled cross-domain geometry test. It asks whether the unchanged</w:t>
      </w:r>
      <w:r>
        <w:t xml:space="preserve"> </w:t>
      </w:r>
      <w:r>
        <w:t xml:space="preserve">mask-only operator can repair held-out non-transcriptomic mask geometry, while</w:t>
      </w:r>
      <w:r>
        <w:t xml:space="preserve"> </w:t>
      </w:r>
      <w:r>
        <w:t xml:space="preserve">controlled corruptions make the exact recovery and damage observable. We used 55 256x256 masks</w:t>
      </w:r>
      <w:r>
        <w:t xml:space="preserve"> </w:t>
      </w:r>
      <w:r>
        <w:t xml:space="preserve">from a held-out project-separated test split of the HOT Very-High-Resolution Building</w:t>
      </w:r>
      <w:r>
        <w:t xml:space="preserve"> </w:t>
      </w:r>
      <w:r>
        <w:t xml:space="preserve">Segmentation Dataset</w:t>
      </w:r>
      <w:r>
        <w:t xml:space="preserve"> </w:t>
      </w:r>
      <w:r>
        <w:t xml:space="preserve">(</w:t>
      </w:r>
      <w:hyperlink w:anchor="ref-hot2026buildings">
        <w:r>
          <w:rPr>
            <w:rStyle w:val="Hyperlink"/>
          </w:rPr>
          <w:t xml:space="preserve">Humanitarian OpenStreetMap Team 2026</w:t>
        </w:r>
      </w:hyperlink>
      <w:r>
        <w:t xml:space="preserve">)</w:t>
      </w:r>
      <w:r>
        <w:t xml:space="preserve">. Eligibility required at least 256 pixels of</w:t>
      </w:r>
      <w:r>
        <w:t xml:space="preserve"> </w:t>
      </w:r>
      <w:r>
        <w:t xml:space="preserve">each class. Only binary masks were read, never the aerial images. Each source mask</w:t>
      </w:r>
      <w:r>
        <w:t xml:space="preserve"> </w:t>
      </w:r>
      <w:r>
        <w:t xml:space="preserve">received random, boundary-concentrated, and compact-patch corruption at 10% and 25%,</w:t>
      </w:r>
      <w:r>
        <w:t xml:space="preserve"> </w:t>
      </w:r>
      <w:r>
        <w:t xml:space="preserve">producing 330 cases. This tests recovery from injected defects, not segmentation from</w:t>
      </w:r>
      <w:r>
        <w:t xml:space="preserve"> </w:t>
      </w:r>
      <w:r>
        <w:t xml:space="preserve">imagery or correction of naturally occurring mapping errors.</w:t>
      </w:r>
    </w:p>
    <w:p>
      <w:pPr>
        <w:pStyle w:val="BodyText"/>
      </w:pPr>
      <w:r>
        <w:t xml:space="preserve">Because every HOT field is binary, this study evaluates the package’s fixed local</w:t>
      </w:r>
      <w:r>
        <w:t xml:space="preserve"> </w:t>
      </w:r>
      <w:r>
        <w:t xml:space="preserve">ballot utility rather than the multiclass path-enclosure operator. Its results are</w:t>
      </w:r>
      <w:r>
        <w:t xml:space="preserve"> </w:t>
      </w:r>
      <w:r>
        <w:t xml:space="preserve">reported only in the supplement as a package-scope diagnostic and are not used as</w:t>
      </w:r>
      <w:r>
        <w:t xml:space="preserve"> </w:t>
      </w:r>
      <w:r>
        <w:t xml:space="preserve">evidence for the enclosure mechanism.</w:t>
      </w:r>
    </w:p>
    <w:p>
      <w:pPr>
        <w:pStyle w:val="BodyText"/>
      </w:pPr>
      <w:r>
        <w:t xml:space="preserve">The matched comparison contains nine coordinate-and-label rules: FiberMargin, fixed</w:t>
      </w:r>
      <w:r>
        <w:t xml:space="preserve"> </w:t>
      </w:r>
      <w:r>
        <w:t xml:space="preserve">Potts ICM, alpha-expansion optimization of a fixed Potts energy, a coordinate-only</w:t>
      </w:r>
      <w:r>
        <w:t xml:space="preserve"> </w:t>
      </w:r>
      <w:r>
        <w:t xml:space="preserve">CRF, self-anchored harmonic propagation, multiscale mode filtering, fixed SpaGCN</w:t>
      </w:r>
      <w:r>
        <w:t xml:space="preserve"> </w:t>
      </w:r>
      <w:r>
        <w:t xml:space="preserve">correction and GraphST correction rules, and a one-pass 8-NN modal filter. Every rule receives the</w:t>
      </w:r>
      <w:r>
        <w:t xml:space="preserve"> </w:t>
      </w:r>
      <w:r>
        <w:t xml:space="preserve">same coordinates, observed categorical field, and specimen identifier in every study.</w:t>
      </w:r>
      <w:r>
        <w:t xml:space="preserve"> </w:t>
      </w:r>
      <w:r>
        <w:t xml:space="preserve">Results average the six corruption conditions within each source mask, which is the</w:t>
      </w:r>
      <w:r>
        <w:t xml:space="preserve"> </w:t>
      </w:r>
      <w:r>
        <w:t xml:space="preserve">independent evaluation unit.</w:t>
      </w:r>
    </w:p>
    <w:bookmarkEnd w:id="35"/>
    <w:bookmarkStart w:id="36" w:name="controlled-public-annotation-diagnostics"/>
    <w:p>
      <w:pPr>
        <w:pStyle w:val="Heading2"/>
      </w:pPr>
      <w:r>
        <w:t>4.5  Controlled public-annotation diagnostics</w:t>
      </w:r>
    </w:p>
    <w:p>
      <w:pPr>
        <w:pStyle w:val="FirstParagraph"/>
      </w:pPr>
      <w:r>
        <w:t xml:space="preserve">To test ordinary segmentation-mask geometry without turning the study into an</w:t>
      </w:r>
      <w:r>
        <w:t xml:space="preserve"> </w:t>
      </w:r>
      <w:r>
        <w:t xml:space="preserve">image-refinement benchmark, we used the categorical annotations of 24 Oxford-IIIT Pet</w:t>
      </w:r>
      <w:r>
        <w:t xml:space="preserve"> </w:t>
      </w:r>
      <w:r>
        <w:t xml:space="preserve">images</w:t>
      </w:r>
      <w:r>
        <w:t xml:space="preserve"> </w:t>
      </w:r>
      <w:r>
        <w:t xml:space="preserve">(</w:t>
      </w:r>
      <w:hyperlink w:anchor="ref-parkhi2012">
        <w:r>
          <w:rPr>
            <w:rStyle w:val="Hyperlink"/>
          </w:rPr>
          <w:t xml:space="preserve">Parkhi et al. 2012</w:t>
        </w:r>
      </w:hyperlink>
      <w:r>
        <w:t xml:space="preserve">)</w:t>
      </w:r>
      <w:r>
        <w:t xml:space="preserve"> </w:t>
      </w:r>
      <w:r>
        <w:t xml:space="preserve">and 24 CamVid images</w:t>
      </w:r>
      <w:r>
        <w:t xml:space="preserve"> </w:t>
      </w:r>
      <w:r>
        <w:t xml:space="preserve">(</w:t>
      </w:r>
      <w:hyperlink w:anchor="ref-brostow2009">
        <w:r>
          <w:rPr>
            <w:rStyle w:val="Hyperlink"/>
          </w:rPr>
          <w:t xml:space="preserve">Brostow, Fauqueur, and Cipolla 2009</w:t>
        </w:r>
      </w:hyperlink>
      <w:r>
        <w:t xml:space="preserve">)</w:t>
      </w:r>
      <w:r>
        <w:t xml:space="preserve">. Oxford trimaps were converted</w:t>
      </w:r>
      <w:r>
        <w:t xml:space="preserve"> </w:t>
      </w:r>
      <w:r>
        <w:t xml:space="preserve">to foreground/background and CamVid retained its annotated semantic classes, with void</w:t>
      </w:r>
      <w:r>
        <w:t xml:space="preserve"> </w:t>
      </w:r>
      <w:r>
        <w:t xml:space="preserve">pixels excluded. Each mask was nearest-neighbor resized to a maximum side length of</w:t>
      </w:r>
      <w:r>
        <w:t xml:space="preserve"> </w:t>
      </w:r>
      <w:r>
        <w:t xml:space="preserve">128, then subjected to random, boundary, and compact-patch errors at 15% and 30%, for</w:t>
      </w:r>
      <w:r>
        <w:t xml:space="preserve"> </w:t>
      </w:r>
      <w:r>
        <w:t xml:space="preserve">144 corruptions per collection. RGB imagery was never read. These are controlled</w:t>
      </w:r>
      <w:r>
        <w:t xml:space="preserve"> </w:t>
      </w:r>
      <w:r>
        <w:t xml:space="preserve">annotation-corruption diagnostics, not evaluations of naturally predicted masks.</w:t>
      </w:r>
    </w:p>
    <w:bookmarkEnd w:id="36"/>
    <w:bookmarkStart w:id="37" w:name="real-upstream-mask-evaluations"/>
    <w:p>
      <w:pPr>
        <w:pStyle w:val="Heading2"/>
      </w:pPr>
      <w:r>
        <w:t>4.6  Real upstream-mask evaluations</w:t>
      </w:r>
    </w:p>
    <w:p>
      <w:pPr>
        <w:pStyle w:val="FirstParagraph"/>
      </w:pPr>
      <w:r>
        <w:t xml:space="preserve">We separately evaluate repair of unmodified upstream categorical predictions against</w:t>
      </w:r>
      <w:r>
        <w:t xml:space="preserve"> </w:t>
      </w:r>
      <w:r>
        <w:t xml:space="preserve">independent references. For CamVid</w:t>
      </w:r>
      <w:r>
        <w:t xml:space="preserve"> </w:t>
      </w:r>
      <w:r>
        <w:t xml:space="preserve">(</w:t>
      </w:r>
      <w:hyperlink w:anchor="ref-brostow2009">
        <w:r>
          <w:rPr>
            <w:rStyle w:val="Hyperlink"/>
          </w:rPr>
          <w:t xml:space="preserve">Brostow, Fauqueur, and Cipolla 2009</w:t>
        </w:r>
      </w:hyperlink>
      <w:r>
        <w:t xml:space="preserve">)</w:t>
      </w:r>
      <w:r>
        <w:t xml:space="preserve">, a fixed Extremely Randomized Trees</w:t>
      </w:r>
      <w:r>
        <w:t xml:space="preserve"> </w:t>
      </w:r>
      <w:r>
        <w:t xml:space="preserve">semantic pixel classifier</w:t>
      </w:r>
      <w:r>
        <w:t xml:space="preserve"> </w:t>
      </w:r>
      <w:r>
        <w:t xml:space="preserve">(</w:t>
      </w:r>
      <w:hyperlink w:anchor="ref-geurts2006extratrees">
        <w:r>
          <w:rPr>
            <w:rStyle w:val="Hyperlink"/>
          </w:rPr>
          <w:t xml:space="preserve">Geurts, Ernst, and Wehenkel 2006</w:t>
        </w:r>
      </w:hyperlink>
      <w:r>
        <w:t xml:space="preserve">)</w:t>
      </w:r>
      <w:r>
        <w:t xml:space="preserve"> </w:t>
      </w:r>
      <w:r>
        <w:t xml:space="preserve">was fitted only on the official</w:t>
      </w:r>
      <w:r>
        <w:t xml:space="preserve"> </w:t>
      </w:r>
      <w:r>
        <w:t xml:space="preserve">training frames using RGB, locally averaged RGB, edge magnitude, and normalized pixel</w:t>
      </w:r>
      <w:r>
        <w:t xml:space="preserve"> </w:t>
      </w:r>
      <w:r>
        <w:t xml:space="preserve">position. It then predicted all 233 official test frames; the 11 retained semantic</w:t>
      </w:r>
      <w:r>
        <w:t xml:space="preserve"> </w:t>
      </w:r>
      <w:r>
        <w:t xml:space="preserve">classes were evaluated at a maximum side length of 160 with void reference pixels</w:t>
      </w:r>
      <w:r>
        <w:t xml:space="preserve"> </w:t>
      </w:r>
      <w:r>
        <w:t xml:space="preserve">excluded. The test annotations were never used to fit the upstream classifier.</w:t>
      </w:r>
    </w:p>
    <w:p>
      <w:pPr>
        <w:pStyle w:val="BodyText"/>
      </w:pPr>
      <w:r>
        <w:t xml:space="preserve">For S3DIS</w:t>
      </w:r>
      <w:r>
        <w:t xml:space="preserve"> </w:t>
      </w:r>
      <w:r>
        <w:t xml:space="preserve">(</w:t>
      </w:r>
      <w:hyperlink w:anchor="ref-armeni2016">
        <w:r>
          <w:rPr>
            <w:rStyle w:val="Hyperlink"/>
          </w:rPr>
          <w:t xml:space="preserve">Armeni et al. 2016</w:t>
        </w:r>
      </w:hyperlink>
      <w:r>
        <w:t xml:space="preserve">)</w:t>
      </w:r>
      <w:r>
        <w:t xml:space="preserve">, the same classifier family was fitted to Areas 1, 2, 3, 4,</w:t>
      </w:r>
      <w:r>
        <w:t xml:space="preserve"> </w:t>
      </w:r>
      <w:r>
        <w:t xml:space="preserve">and 6 using XYZ and RGB, then evaluated on one deterministic 4,096-point block from</w:t>
      </w:r>
      <w:r>
        <w:t xml:space="preserve"> </w:t>
      </w:r>
      <w:r>
        <w:t xml:space="preserve">each of 68 Area 5 rooms. FiberMargin and the controls received only XYZ and the saved</w:t>
      </w:r>
      <w:r>
        <w:t xml:space="preserve"> </w:t>
      </w:r>
      <w:r>
        <w:t xml:space="preserve">categorical prediction. These deliberately simple upstream models create independent</w:t>
      </w:r>
      <w:r>
        <w:t xml:space="preserve"> </w:t>
      </w:r>
      <w:r>
        <w:t xml:space="preserve">prediction/reference pairs for testing the repair interface; they are not intended as</w:t>
      </w:r>
      <w:r>
        <w:t xml:space="preserve"> </w:t>
      </w:r>
      <w:r>
        <w:t xml:space="preserve">state-of-the-art segmentation benchmarks.</w:t>
      </w:r>
    </w:p>
    <w:p>
      <w:pPr>
        <w:pStyle w:val="BodyText"/>
      </w:pPr>
      <w:r>
        <w:t xml:space="preserve">Images and point features are used only to produce the upstream fields. FiberMargin</w:t>
      </w:r>
      <w:r>
        <w:t xml:space="preserve"> </w:t>
      </w:r>
      <w:r>
        <w:t xml:space="preserve">and every equal-input control receive only a categorical prediction and coordinates,</w:t>
      </w:r>
      <w:r>
        <w:t xml:space="preserve"> </w:t>
      </w:r>
      <w:r>
        <w:t xml:space="preserve">never RGB values, detector scores, logits, or reference labels.</w:t>
      </w:r>
    </w:p>
    <w:bookmarkEnd w:id="37"/>
    <w:bookmarkStart w:id="38" w:name="fixed-comparator-calibration"/>
    <w:p>
      <w:pPr>
        <w:pStyle w:val="Heading2"/>
      </w:pPr>
      <w:r>
        <w:t>4.7  Fixed comparator calibration</w:t>
      </w:r>
    </w:p>
    <w:p>
      <w:pPr>
        <w:pStyle w:val="FirstParagraph"/>
      </w:pPr>
      <w:r>
        <w:t xml:space="preserve">The four calibrated controls were set before the reported evaluations. A</w:t>
      </w:r>
      <w:r>
        <w:t xml:space="preserve"> </w:t>
      </w:r>
      <w:r>
        <w:t xml:space="preserve">non-overlapping development panel of 24 simulated 2D/3D fields used distinct geometry</w:t>
      </w:r>
      <w:r>
        <w:t xml:space="preserve"> </w:t>
      </w:r>
      <w:r>
        <w:t xml:space="preserve">formulae, corruption draws, and random seeds from the reported suites. For each</w:t>
      </w:r>
      <w:r>
        <w:t xml:space="preserve"> </w:t>
      </w:r>
      <w:r>
        <w:t xml:space="preserve">control family, we selected the setting with the largest mean accuracy subject to</w:t>
      </w:r>
      <w:r>
        <w:t xml:space="preserve"> </w:t>
      </w:r>
      <w:r>
        <w:t xml:space="preserve">the same absolute damage cap of 0.05; ARI broke accuracy ties. SpaGCN and GraphST retain their fixed published correction</w:t>
      </w:r>
      <w:r>
        <w:t xml:space="preserve"> </w:t>
      </w:r>
      <w:r>
        <w:t xml:space="preserve">settings, and the modal reference retains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8</m:t>
        </m:r>
      </m:oMath>
      <w:r>
        <w:t xml:space="preserve">. No comparator setting was selected</w:t>
      </w:r>
      <w:r>
        <w:t xml:space="preserve"> </w:t>
      </w:r>
      <w:r>
        <w:t xml:space="preserve">from a reported test result. The calibration files include every candidate setting and</w:t>
      </w:r>
      <w:r>
        <w:t xml:space="preserve"> </w:t>
      </w:r>
      <w:r>
        <w:t xml:space="preserve">case-level result.</w:t>
      </w:r>
    </w:p>
    <w:bookmarkEnd w:id="38"/>
    <w:bookmarkStart w:id="39" w:name="comparators-and-metrics"/>
    <w:p>
      <w:pPr>
        <w:pStyle w:val="Heading2"/>
      </w:pPr>
      <w:r>
        <w:t>4.8  Comparators and metrics</w:t>
      </w:r>
    </w:p>
    <w:p>
      <w:pPr>
        <w:pStyle w:val="FirstParagraph"/>
      </w:pPr>
      <w:r>
        <w:t xml:space="preserve">The direct comparison asks whether a rule improves the same supplied categorical field</w:t>
      </w:r>
      <w:r>
        <w:t xml:space="preserve"> </w:t>
      </w:r>
      <w:r>
        <w:t xml:space="preserve">under the same information budget. Numerical eligibility therefore requires a post-hoc</w:t>
      </w:r>
      <w:r>
        <w:t xml:space="preserve"> </w:t>
      </w:r>
      <w:r>
        <w:t xml:space="preserve">categorical rule that consumes exactly one categorical field, coordinates, and specimen</w:t>
      </w:r>
      <w:r>
        <w:t xml:space="preserve"> </w:t>
      </w:r>
      <w:r>
        <w:t xml:space="preserve">identifiers, without images, expression, logits, trusted anchors, repeated annotations,</w:t>
      </w:r>
      <w:r>
        <w:t xml:space="preserve"> </w:t>
      </w:r>
      <w:r>
        <w:t xml:space="preserve">or a fitted training collection.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one-hot encoding of the observed labels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a row-normalized</w:t>
      </w:r>
      <w:r>
        <w:t xml:space="preserve"> </w:t>
      </w:r>
      <m:oMath>
        <m:r>
          <m:t>k</m:t>
        </m:r>
      </m:oMath>
      <w:r>
        <w:t xml:space="preserve">-nearest-neighbor coordinate matrix constructed</w:t>
      </w:r>
      <w:r>
        <w:t xml:space="preserve"> </w:t>
      </w:r>
      <w:r>
        <w:t xml:space="preserve">separately in each specimen. The four calibrated control families use only these</w:t>
      </w:r>
      <w:r>
        <w:t xml:space="preserve"> </w:t>
      </w:r>
      <w:r>
        <w:t xml:space="preserve">inputs.</w:t>
      </w:r>
    </w:p>
    <w:p>
      <w:pPr>
        <w:pStyle w:val="BodyText"/>
      </w:pPr>
      <w:r>
        <w:t xml:space="preserve">The first family is a fixed local Potts-style ICM rule, and the second is standard</w:t>
      </w:r>
      <w:r>
        <w:t xml:space="preserve"> </w:t>
      </w:r>
      <w:r>
        <w:t xml:space="preserve">multi-label alpha-expansion graph-cut inference</w:t>
      </w:r>
      <w:r>
        <w:t xml:space="preserve"> </w:t>
      </w:r>
      <w:r>
        <w:t xml:space="preserve">(</w:t>
      </w:r>
      <w:hyperlink w:anchor="ref-boykov2001">
        <w:r>
          <w:rPr>
            <w:rStyle w:val="Hyperlink"/>
          </w:rPr>
          <w:t xml:space="preserve">Boykov, Veksler, and Zabih 2001</w:t>
        </w:r>
      </w:hyperlink>
      <w:r>
        <w:t xml:space="preserve">)</w:t>
      </w:r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d>
            <m:dPr>
              <m:begChr m:val="("/>
              <m:endChr m:val=")"/>
              <m:sepChr m:val=""/>
              <m:grow/>
            </m:dPr>
            <m:e>
              <m:r>
                <m:t>z</m:t>
              </m:r>
            </m:e>
          </m:d>
          <m:r>
            <m:rPr>
              <m:sty m:val="p"/>
            </m:rPr>
            <m:t>=</m:t>
          </m:r>
          <m:r>
            <m:t>5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r>
                <m:rPr>
                  <m:sty m:val="b"/>
                </m:rPr>
                <m:t>1</m:t>
              </m:r>
            </m:e>
          </m:nary>
          <m:r>
            <m:rPr>
              <m:sty m:val="p"/>
            </m:rPr>
            <m:t>{</m:t>
          </m:r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≠</m:t>
          </m:r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}</m:t>
          </m:r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rPr>
                  <m:sty m:val="p"/>
                </m:rPr>
                <m:t>{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G</m:t>
                  </m:r>
                </m:e>
                <m:sub>
                  <m:r>
                    <m:t>8</m:t>
                  </m:r>
                </m:sub>
              </m:sSub>
            </m:sub>
            <m:sup>
              <m:r>
                <m:t>​</m:t>
              </m:r>
            </m:sup>
            <m:e>
              <m:r>
                <m:rPr>
                  <m:sty m:val="b"/>
                </m:rPr>
                <m:t>1</m:t>
              </m:r>
            </m:e>
          </m:nary>
          <m:r>
            <m:rPr>
              <m:sty m:val="p"/>
            </m:rPr>
            <m:t>{</m:t>
          </m:r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z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}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8</m:t>
            </m:r>
          </m:sub>
        </m:sSub>
      </m:oMath>
      <w:r>
        <w:t xml:space="preserve"> </w:t>
      </w:r>
      <w:r>
        <w:t xml:space="preserve">is the undirected, symmetrized eight-nearest-neighbor graph built within</w:t>
      </w:r>
      <w:r>
        <w:t xml:space="preserve"> </w:t>
      </w:r>
      <w:r>
        <w:t xml:space="preserve">each specimen or mask. Alpha expansion starts from the observed field and performs</w:t>
      </w:r>
      <w:r>
        <w:t xml:space="preserve"> </w:t>
      </w:r>
      <w:r>
        <w:t xml:space="preserve">three complete class cycles. Its graph construction, unary weight, pairwise weight,</w:t>
      </w:r>
      <w:r>
        <w:t xml:space="preserve"> </w:t>
      </w:r>
      <w:r>
        <w:t xml:space="preserve">and cycle count are fixed across evaluations; the ICM rule is a separately configured</w:t>
      </w:r>
      <w:r>
        <w:t xml:space="preserve"> </w:t>
      </w:r>
      <w:r>
        <w:t xml:space="preserve">eight-pass local optimizer. These controls distinguish global discrete-energy</w:t>
      </w:r>
      <w:r>
        <w:t xml:space="preserve"> </w:t>
      </w:r>
      <w:r>
        <w:t xml:space="preserve">optimization from local smoothness updates.</w:t>
      </w:r>
    </w:p>
    <w:p>
      <w:pPr>
        <w:pStyle w:val="BodyText"/>
      </w:pPr>
      <w:r>
        <w:t xml:space="preserve">The coordinate-only CRF is a sparse Gaussian-coordinate conditional random field</w:t>
      </w:r>
      <w:r>
        <w:t xml:space="preserve"> </w:t>
      </w:r>
      <w:r>
        <w:t xml:space="preserve">evaluated by eight mean-field updates,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Q</m:t>
              </m:r>
            </m:e>
            <m:sub>
              <m:r>
                <m:t>i</m:t>
              </m:r>
            </m:sub>
            <m: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sup>
          </m:sSubSup>
          <m:d>
            <m:dPr>
              <m:begChr m:val="("/>
              <m:endChr m:val=")"/>
              <m:sepChr m:val=""/>
              <m:grow/>
            </m:dPr>
            <m:e>
              <m:r>
                <m:t>c</m:t>
              </m:r>
            </m:e>
          </m:d>
          <m:r>
            <m:rPr>
              <m:sty m:val="p"/>
            </m:rPr>
            <m:t>∝</m:t>
          </m:r>
          <m:r>
            <m:rPr>
              <m:sty m:val="p"/>
            </m:rPr>
            <m:t>exp</m:t>
          </m:r>
          <m:d>
            <m:dPr>
              <m:begChr m:val="["/>
              <m:endChr m:val="]"/>
              <m:sepChr m:val=""/>
              <m:grow/>
            </m:dPr>
            <m:e>
              <m:r>
                <m:rPr>
                  <m:sty m:val="p"/>
                </m:rPr>
                <m:t>−</m:t>
              </m:r>
              <m:r>
                <m:t>1.5</m:t>
              </m:r>
              <m:r>
                <m:rPr>
                  <m:sty m:val="b"/>
                </m:rPr>
                <m:t>1</m:t>
              </m:r>
              <m:r>
                <m:rPr>
                  <m:sty m:val="p"/>
                </m:rPr>
                <m:t>{</m:t>
              </m:r>
              <m:r>
                <m:t>c</m:t>
              </m:r>
              <m:r>
                <m:rPr>
                  <m:sty m:val="p"/>
                </m:rPr>
                <m:t>≠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+</m:t>
              </m:r>
              <m:r>
                <m:t>2.5</m:t>
              </m:r>
              <m:sSub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16</m:t>
                          </m:r>
                        </m:sub>
                      </m:sSub>
                      <m:sSup>
                        <m:e>
                          <m:r>
                            <m:t>Q</m:t>
                          </m:r>
                        </m:e>
                        <m:sup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t</m:t>
                              </m:r>
                            </m:e>
                          </m:d>
                        </m:sup>
                      </m:sSup>
                    </m:e>
                  </m:d>
                </m:e>
                <m:sub>
                  <m:r>
                    <m:t>i</m:t>
                  </m:r>
                  <m:r>
                    <m:t>c</m:t>
                  </m:r>
                </m:sub>
              </m:sSub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uses no image features, logits, learned unaries, or reference labels. The</w:t>
      </w:r>
      <w:r>
        <w:t xml:space="preserve"> </w:t>
      </w:r>
      <w:r>
        <w:t xml:space="preserve">self-anchored harmonic-propagation control supplies every observed label as an equally</w:t>
      </w:r>
      <w:r>
        <w:t xml:space="preserve"> </w:t>
      </w:r>
      <w:r>
        <w:t xml:space="preserve">weighted soft observation, rather than designating a trusted seed set: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sup>
          </m:sSup>
          <m:r>
            <m:rPr>
              <m:sty m:val="p"/>
            </m:rPr>
            <m:t>=</m:t>
          </m:r>
          <m:r>
            <m:t>0.20</m:t>
          </m:r>
          <m:r>
            <m:t>Y</m:t>
          </m:r>
          <m:r>
            <m:rPr>
              <m:sty m:val="p"/>
            </m:rPr>
            <m:t>+</m:t>
          </m:r>
          <m:r>
            <m:t>0.80</m:t>
          </m:r>
          <m:sSub>
            <m:e>
              <m:r>
                <m:t>P</m:t>
              </m:r>
            </m:e>
            <m:sub>
              <m:r>
                <m:t>24</m:t>
              </m:r>
            </m:sub>
          </m:sSub>
          <m:sSup>
            <m:e>
              <m:r>
                <m:t>F</m:t>
              </m:r>
            </m:e>
            <m: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sup>
          </m:sSup>
          <m:r>
            <m:rPr>
              <m:sty m:val="p"/>
            </m:rPr>
            <m:t>,</m:t>
          </m:r>
          <m:r>
            <m:t>  </m:t>
          </m:r>
          <m:r>
            <m:t>t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11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Finally, the multiscale-mode control averages categorical support over</w:t>
      </w:r>
      <w:r>
        <w:t xml:space="preserve"> </w:t>
      </w:r>
      <m:oMath>
        <m:r>
          <m:t>k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6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,</m:t>
        </m:r>
        <m:r>
          <m:t>30</m:t>
        </m:r>
        <m:r>
          <m:rPr>
            <m:sty m:val="p"/>
          </m:rPr>
          <m:t>}</m:t>
        </m:r>
      </m:oMath>
      <w:r>
        <w:t xml:space="preserve"> </w:t>
      </w:r>
      <w:r>
        <w:t xml:space="preserve">coordinate neighborhoods, adds 0.20 support to the observed class,</w:t>
      </w:r>
      <w:r>
        <w:t xml:space="preserve"> </w:t>
      </w:r>
      <w:r>
        <w:t xml:space="preserve">and changes a label only when the best rival exceeds its observed-class support by</w:t>
      </w:r>
      <w:r>
        <w:t xml:space="preserve"> </w:t>
      </w:r>
      <w:r>
        <w:t xml:space="preserve">0.05. Thus it is a multiscale version of the mode-filter family, defined on the same</w:t>
      </w:r>
      <w:r>
        <w:t xml:space="preserve"> </w:t>
      </w:r>
      <w:r>
        <w:t xml:space="preserve">irregular 2D/3D coordinates as FiberMargin rather than only on a pixel lattice.</w:t>
      </w:r>
      <w:r>
        <w:t xml:space="preserve"> </w:t>
      </w:r>
      <w:r>
        <w:t xml:space="preserve">Alpha expansion, the coordinate-only CRF, self-anchored propagation, multiscale mode,</w:t>
      </w:r>
      <w:r>
        <w:t xml:space="preserve"> </w:t>
      </w:r>
      <w:r>
        <w:t xml:space="preserve">and Potts ICM are joined by the fixed SpaGCN correction rule, fixed GraphST correction</w:t>
      </w:r>
      <w:r>
        <w:t xml:space="preserve"> </w:t>
      </w:r>
      <w:r>
        <w:t xml:space="preserve">rule, and the one-pass 8-NN modal reference. These nine rules are evaluated on every</w:t>
      </w:r>
      <w:r>
        <w:t xml:space="preserve"> </w:t>
      </w:r>
      <w:r>
        <w:t xml:space="preserve">controlled and real-upstream benchmark: planar and volumetric simulations, CRC,</w:t>
      </w:r>
      <w:r>
        <w:t xml:space="preserve"> </w:t>
      </w:r>
      <w:r>
        <w:t xml:space="preserve">DLPFC, MERFISH, procedural masks, held-out building masks, and image masks. We compare</w:t>
      </w:r>
      <w:r>
        <w:t xml:space="preserve"> </w:t>
      </w:r>
      <w:r>
        <w:t xml:space="preserve">the coordinate-label correction rules rather than end-to-end clustering systems. The</w:t>
      </w:r>
      <w:r>
        <w:t xml:space="preserve"> </w:t>
      </w:r>
      <w:r>
        <w:t xml:space="preserve">two published-rule reproductions were checked pointwise against official source commits</w:t>
      </w:r>
      <w:r>
        <w:t xml:space="preserve"> </w:t>
      </w:r>
      <w:r>
        <w:t xml:space="preserve">(</w:t>
      </w:r>
      <w:hyperlink w:anchor="ref-spagcnsource">
        <w:r>
          <w:rPr>
            <w:rStyle w:val="Hyperlink"/>
          </w:rPr>
          <w:t xml:space="preserve">SpaGCN developers 2026</w:t>
        </w:r>
      </w:hyperlink>
      <w:r>
        <w:t xml:space="preserve">;</w:t>
      </w:r>
      <w:r>
        <w:t xml:space="preserve"> </w:t>
      </w:r>
      <w:hyperlink w:anchor="ref-graphstsource">
        <w:r>
          <w:rPr>
            <w:rStyle w:val="Hyperlink"/>
          </w:rPr>
          <w:t xml:space="preserve">GraphST developers 2026</w:t>
        </w:r>
      </w:hyperlink>
      <w:r>
        <w:t xml:space="preserve">)</w:t>
      </w:r>
      <w:r>
        <w:t xml:space="preserve">. They matched all 9,600 predictions on continuous</w:t>
      </w:r>
      <w:r>
        <w:t xml:space="preserve"> </w:t>
      </w:r>
      <w:r>
        <w:t xml:space="preserve">coordinates; 5 of 648 lattice predictions differed because exact-distance ties have no</w:t>
      </w:r>
      <w:r>
        <w:t xml:space="preserve"> </w:t>
      </w:r>
      <w:r>
        <w:t xml:space="preserve">specified stable order.</w:t>
      </w:r>
    </w:p>
    <w:p>
      <w:pPr>
        <w:pStyle w:val="BodyText"/>
      </w:pPr>
      <w:r>
        <w:t xml:space="preserve">The modal reference is a one-pass instance of classical local mode filtering</w:t>
      </w:r>
      <w:r>
        <w:t xml:space="preserve"> </w:t>
      </w:r>
      <w:r>
        <w:t xml:space="preserve">(</w:t>
      </w:r>
      <w:hyperlink w:anchor="ref-serra1982">
        <w:r>
          <w:rPr>
            <w:rStyle w:val="Hyperlink"/>
          </w:rPr>
          <w:t xml:space="preserve">Serra 1982</w:t>
        </w:r>
      </w:hyperlink>
      <w:r>
        <w:t xml:space="preserve">;</w:t>
      </w:r>
      <w:r>
        <w:t xml:space="preserve"> </w:t>
      </w:r>
      <w:hyperlink w:anchor="ref-soille2003">
        <w:r>
          <w:rPr>
            <w:rStyle w:val="Hyperlink"/>
          </w:rPr>
          <w:t xml:space="preserve">Soille 2003</w:t>
        </w:r>
      </w:hyperlink>
      <w:r>
        <w:t xml:space="preserve">)</w:t>
      </w:r>
      <w:r>
        <w:t xml:space="preserve">. For each labelled location</w:t>
      </w:r>
      <w:r>
        <w:t xml:space="preserve"> </w:t>
      </w:r>
      <m:oMath>
        <m:r>
          <m:t>i</m:t>
        </m:r>
      </m:oMath>
      <w:r>
        <w:t xml:space="preserve">, let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N</m:t>
            </m:r>
          </m:e>
          <m:sub>
            <m:r>
              <m:t>k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i</m:t>
            </m:r>
          </m:e>
        </m:d>
      </m:oMath>
      <w:r>
        <w:t xml:space="preserve"> </w:t>
      </w:r>
      <w:r>
        <w:t xml:space="preserve">be its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nearest non-focal labelled locations within the same</w:t>
      </w:r>
      <w:r>
        <w:t xml:space="preserve"> </w:t>
      </w:r>
      <w:r>
        <w:t xml:space="preserve">specimen or mask, 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denote the corrupted labels. The filter returns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k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i</m:t>
              </m:r>
            </m:e>
          </m:d>
          <m:r>
            <m:rPr>
              <m:sty m:val="p"/>
            </m:rPr>
            <m:t>∈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c</m:t>
              </m:r>
            </m:lim>
          </m:limLow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ty m:val="p"/>
                      <m:scr m:val="script"/>
                    </m:rPr>
                    <m:t>N</m:t>
                  </m:r>
                </m:e>
                <m:sub>
                  <m:r>
                    <m:t>k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i</m:t>
                  </m:r>
                </m:e>
              </m:d>
            </m:sub>
            <m:sup>
              <m:r>
                <m:t>​</m:t>
              </m:r>
            </m:sup>
            <m:e>
              <m:r>
                <m:rPr>
                  <m:sty m:val="b"/>
                </m:rPr>
                <m:t>1</m:t>
              </m:r>
            </m:e>
          </m:nary>
          <m:r>
            <m:rPr>
              <m:sty m:val="p"/>
            </m:rPr>
            <m:t>{</m:t>
          </m:r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implementation resolves a tied mode with the nearest tied neighbour. The compact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rule is part of the matched nine-method roster. A broad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48</m:t>
        </m:r>
      </m:oMath>
      <w:r>
        <w:t xml:space="preserve"> </w:t>
      </w:r>
      <w:r>
        <w:t xml:space="preserve">version is a</w:t>
      </w:r>
      <w:r>
        <w:t xml:space="preserve"> </w:t>
      </w:r>
      <w:r>
        <w:t xml:space="preserve">separate regular-grid diagnostic, shown only for raster-mask studies; neither value is</w:t>
      </w:r>
      <w:r>
        <w:t xml:space="preserve"> </w:t>
      </w:r>
      <w:r>
        <w:t xml:space="preserve">tuned per mask or corruption condition. ADELE and PNAL require a trainable predictor,</w:t>
      </w:r>
      <w:r>
        <w:t xml:space="preserve"> </w:t>
      </w:r>
      <w:r>
        <w:t xml:space="preserve">data features, and prediction history; Noise2Self requires a numerical</w:t>
      </w:r>
      <w:r>
        <w:t xml:space="preserve"> </w:t>
      </w:r>
      <w:r>
        <w:t xml:space="preserve">self-supervision setting; image-guided refiners require image features or logits; and</w:t>
      </w:r>
      <w:r>
        <w:t xml:space="preserve"> </w:t>
      </w:r>
      <w:r>
        <w:t xml:space="preserve">annotator aggregation requires repeated labels. These methods are relevant neighboring</w:t>
      </w:r>
      <w:r>
        <w:t xml:space="preserve"> </w:t>
      </w:r>
      <w:r>
        <w:t xml:space="preserve">tasks, but their information contracts differ. Supplement S1 gives the full input</w:t>
      </w:r>
      <w:r>
        <w:t xml:space="preserve"> </w:t>
      </w:r>
      <w:r>
        <w:t xml:space="preserve">taxonomy.</w:t>
      </w:r>
    </w:p>
    <w:p>
      <w:pPr>
        <w:pStyle w:val="BodyText"/>
      </w:pPr>
      <w:r>
        <w:t xml:space="preserve">No single score captures useful repair. The evaluation maintains four core measures:</w:t>
      </w:r>
      <w:r>
        <w:t xml:space="preserve"> </w:t>
      </w:r>
      <w:r>
        <w:t xml:space="preserve">accuracy and ARI measure global recovery, correction recall measures recovery among</w:t>
      </w:r>
      <w:r>
        <w:t xml:space="preserve"> </w:t>
      </w:r>
      <w:r>
        <w:t xml:space="preserve">initially wrong labels, and damage measures mistakes introduced among initially correct</w:t>
      </w:r>
      <w:r>
        <w:t xml:space="preserve"> </w:t>
      </w:r>
      <w:r>
        <w:t xml:space="preserve">labels. Each main-text table shows the subset most relevant to its question, while the</w:t>
      </w:r>
      <w:r>
        <w:t xml:space="preserve"> </w:t>
      </w:r>
      <w:r>
        <w:t xml:space="preserve">supplement reports the complete core outcomes and secondary diagnostic</w:t>
      </w:r>
      <w:r>
        <w:t xml:space="preserve"> </w:t>
      </w:r>
      <w:r>
        <w:t xml:space="preserve">measures: mean IoU for mask overlap; one-grid-step Boundary IoU</w:t>
      </w:r>
      <w:r>
        <w:t xml:space="preserve"> </w:t>
      </w:r>
      <w:r>
        <w:t xml:space="preserve">(</w:t>
      </w:r>
      <w:hyperlink w:anchor="ref-cheng2021boundaryiou">
        <w:r>
          <w:rPr>
            <w:rStyle w:val="Hyperlink"/>
          </w:rPr>
          <w:t xml:space="preserve">B. Cheng et al. 2021</w:t>
        </w:r>
      </w:hyperlink>
      <w:r>
        <w:t xml:space="preserve">)</w:t>
      </w:r>
      <w:r>
        <w:t xml:space="preserve"> </w:t>
      </w:r>
      <w:r>
        <w:t xml:space="preserve">for geometric edge recovery; macro and worst recall for class</w:t>
      </w:r>
      <w:r>
        <w:t xml:space="preserve"> </w:t>
      </w:r>
      <w:r>
        <w:t xml:space="preserve">balance; and boundary and rare/sparse-region accuracy for difficult locations. For a</w:t>
      </w:r>
      <w:r>
        <w:t xml:space="preserve"> </w:t>
      </w:r>
      <w:r>
        <w:t xml:space="preserve">reference field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evaluation neighborhood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N</m:t>
            </m:r>
          </m:e>
          <m:sub>
            <m:r>
              <m:t>i</m:t>
            </m:r>
          </m:sub>
        </m:sSub>
      </m:oMath>
      <w:r>
        <w:t xml:space="preserve">, the generic boundary indicator is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b"/>
          </m:rPr>
          <m:t>1</m:t>
        </m:r>
        <m:r>
          <m:rPr>
            <m:sty m:val="p"/>
          </m:rPr>
          <m:t>{</m:t>
        </m:r>
        <m:r>
          <m:rPr>
            <m:sty m:val="p"/>
          </m:rPr>
          <m:t>∃</m:t>
        </m:r>
        <m:r>
          <m:t>j</m:t>
        </m:r>
        <m:r>
          <m:rPr>
            <m:sty m:val="p"/>
          </m:rPr>
          <m:t>∈</m:t>
        </m:r>
        <m:sSub>
          <m:e>
            <m:r>
              <m:rPr>
                <m:sty m:val="p"/>
                <m:scr m:val="script"/>
              </m:rPr>
              <m:t>N</m:t>
            </m:r>
          </m:e>
          <m:sub>
            <m:r>
              <m:t>i</m:t>
            </m:r>
          </m:sub>
        </m:sSub>
        <m:r>
          <m:rPr>
            <m:sty m:val="p"/>
          </m:rPr>
          <m:t>:</m:t>
        </m:r>
        <m:sSubSup>
          <m:e>
            <m:r>
              <m:t>y</m:t>
            </m:r>
          </m:e>
          <m:sub>
            <m:r>
              <m:t>j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≠</m:t>
        </m:r>
        <m:sSubSup>
          <m:e>
            <m:r>
              <m:t>y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}</m:t>
        </m:r>
      </m:oMath>
      <w:r>
        <w:t xml:space="preserve">, with anatomical</w:t>
      </w:r>
      <w:r>
        <w:t xml:space="preserve"> </w:t>
      </w:r>
      <w:r>
        <w:t xml:space="preserve">class-pair restrictions for DLPFC and MERFISH. If</w:t>
      </w:r>
      <w:r>
        <w:t xml:space="preserve"> </w:t>
      </w:r>
      <m:oMath>
        <m:r>
          <m:t>U</m:t>
        </m:r>
        <m:d>
          <m:dPr>
            <m:begChr m:val="("/>
            <m:endChr m:val=")"/>
            <m:sepChr m:val=""/>
            <m:grow/>
          </m:dPr>
          <m:e>
            <m:r>
              <m:t>i</m:t>
            </m:r>
          </m:e>
        </m:d>
      </m:oMath>
      <w:r>
        <w:t xml:space="preserve"> </w:t>
      </w:r>
      <w:r>
        <w:t xml:space="preserve">is an evaluation unit and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 reference region or class, let</w:t>
      </w:r>
      <w:r>
        <w:t xml:space="preserve"> </w:t>
      </w:r>
      <m:oMath>
        <m:sSub>
          <m:e>
            <m:r>
              <m:t>n</m:t>
            </m:r>
          </m:e>
          <m:sub>
            <m:r>
              <m:t>U</m:t>
            </m:r>
            <m:r>
              <m:t>c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  <m:r>
              <m:rPr>
                <m:sty m:val="p"/>
              </m:rPr>
              <m:t>:</m:t>
            </m:r>
            <m:r>
              <m:t>U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i</m:t>
                </m:r>
              </m:e>
            </m:d>
            <m:r>
              <m:rPr>
                <m:sty m:val="p"/>
              </m:rPr>
              <m:t>=</m:t>
            </m:r>
            <m:r>
              <m:t>U</m:t>
            </m:r>
          </m:sub>
          <m:sup>
            <m:r>
              <m:t>​</m:t>
            </m:r>
          </m:sup>
          <m:e>
            <m:r>
              <m:rPr>
                <m:sty m:val="b"/>
              </m:rPr>
              <m:t>1</m:t>
            </m:r>
          </m:e>
        </m:nary>
        <m:r>
          <m:rPr>
            <m:sty m:val="p"/>
          </m:rPr>
          <m:t>{</m:t>
        </m:r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sSubSup>
          <m:e>
            <m:r>
              <m:t>c</m:t>
            </m:r>
          </m:e>
          <m:sub>
            <m:r>
              <m:t>U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c</m:t>
            </m:r>
            <m:r>
              <m:rPr>
                <m:sty m:val="p"/>
              </m:rPr>
              <m:t>:</m:t>
            </m:r>
            <m:sSub>
              <m:e>
                <m:r>
                  <m:t>n</m:t>
                </m:r>
              </m:e>
              <m:sub>
                <m:r>
                  <m:t>U</m:t>
                </m:r>
                <m:r>
                  <m:t>c</m:t>
                </m:r>
              </m:sub>
            </m:sSub>
            <m:r>
              <m:rPr>
                <m:sty m:val="p"/>
              </m:rPr>
              <m:t>&gt;</m:t>
            </m:r>
            <m:r>
              <m:t>0</m:t>
            </m:r>
          </m:sub>
        </m:sSub>
        <m:sSub>
          <m:e>
            <m:r>
              <m:t>n</m:t>
            </m:r>
          </m:e>
          <m:sub>
            <m:r>
              <m:t>U</m:t>
            </m:r>
            <m:r>
              <m:t>c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b"/>
          </m:rPr>
          <m:t>1</m:t>
        </m:r>
        <m:r>
          <m:rPr>
            <m:sty m:val="p"/>
          </m:rPr>
          <m:t>{</m:t>
        </m:r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r>
              <m:t>c</m:t>
            </m:r>
          </m:e>
          <m:sub>
            <m:r>
              <m:t>U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i</m:t>
                </m:r>
              </m:e>
            </m:d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}</m:t>
        </m:r>
      </m:oMath>
      <w:r>
        <w:t xml:space="preserve">; no prevalence-percentage cutoff is used. The</w:t>
      </w:r>
      <w:r>
        <w:t xml:space="preserve"> </w:t>
      </w:r>
      <w:r>
        <w:t xml:space="preserve">neighborhood sizes, the 20% geometric-boundary threshold used by simulations,</w:t>
      </w:r>
      <w:r>
        <w:t xml:space="preserve"> </w:t>
      </w:r>
      <w:r>
        <w:t xml:space="preserve">tie handling, and all dataset-specific exceptions are fixed in Supplement S4.</w:t>
      </w:r>
      <w:r>
        <w:t xml:space="preserve"> </w:t>
      </w:r>
      <w:r>
        <w:t xml:space="preserve">Correction recall and damage are the two conditional terms in the exact identity</w:t>
      </w:r>
      <w:r>
        <w:t xml:space="preserve"> </w:t>
      </w:r>
      <w:r>
        <w:t xml:space="preserve">above. The shared core metrics make the correction–protection trade-off visible in</w:t>
      </w:r>
      <w:r>
        <w:t xml:space="preserve"> </w:t>
      </w:r>
      <w:r>
        <w:t xml:space="preserve">every main-text comparison.</w:t>
      </w:r>
    </w:p>
    <w:p>
      <w:pPr>
        <w:pStyle w:val="BodyText"/>
      </w:pPr>
      <w:r>
        <w:t xml:space="preserve">The scaling study is an engineering test of the complete R-to-C++ call rather than a</w:t>
      </w:r>
      <w:r>
        <w:t xml:space="preserve"> </w:t>
      </w:r>
      <w:r>
        <w:t xml:space="preserve">claim of a universal runtime ranking. Supplement S3 reports matched one-worker timing.</w:t>
      </w:r>
      <w:r>
        <w:t xml:space="preserve"> </w:t>
      </w:r>
      <w:r>
        <w:t xml:space="preserve">A timed call includes validation, specimen splitting, coordinate normalization,</w:t>
      </w:r>
      <w:r>
        <w:t xml:space="preserve"> </w:t>
      </w:r>
      <w:r>
        <w:t xml:space="preserve">geometry construction, inference, and output assembly; it excludes file I/O,</w:t>
      </w:r>
      <w:r>
        <w:t xml:space="preserve"> </w:t>
      </w:r>
      <w:r>
        <w:t xml:space="preserve">corruption generation, reference-derived masks, scoring, and plotting. Hardware,</w:t>
      </w:r>
      <w:r>
        <w:t xml:space="preserve"> </w:t>
      </w:r>
      <w:r>
        <w:t xml:space="preserve">compiler flags, and separate deterministic CPU-parallel verification are reported</w:t>
      </w:r>
      <w:r>
        <w:t xml:space="preserve"> </w:t>
      </w:r>
      <w:r>
        <w:t xml:space="preserve">there.</w:t>
      </w:r>
    </w:p>
    <w:bookmarkEnd w:id="39"/>
    <w:bookmarkEnd w:id="40"/>
    <w:bookmarkStart w:id="56" w:name="results"/>
    <w:p>
      <w:pPr>
        <w:pStyle w:val="Heading1"/>
      </w:pPr>
      <w:r>
        <w:t>5  Results</w:t>
      </w:r>
    </w:p>
    <w:bookmarkStart w:id="44" w:name="broad-multiclass-controlled-recovery"/>
    <w:p>
      <w:pPr>
        <w:pStyle w:val="Heading2"/>
      </w:pPr>
      <w:r>
        <w:t>5.1  Broad multiclass controlled recovery</w:t>
      </w:r>
    </w:p>
    <w:p>
      <w:pPr>
        <w:pStyle w:val="FirstParagraph"/>
      </w:pPr>
      <w:r>
        <w:rPr>
          <w:b/>
          <w:bCs/>
        </w:rPr>
        <w:t xml:space="preserve">Question.</w:t>
      </w:r>
      <w:r>
        <w:t xml:space="preserve"> </w:t>
      </w:r>
      <w:r>
        <w:t xml:space="preserve">Does the two-sided enclosure margin improve multiclass labels across</w:t>
      </w:r>
      <w:r>
        <w:t xml:space="preserve"> </w:t>
      </w:r>
      <w:r>
        <w:t xml:space="preserve">prespecified and previously unseen spatial structures? The complete suite varies</w:t>
      </w:r>
      <w:r>
        <w:t xml:space="preserve"> </w:t>
      </w:r>
      <w:r>
        <w:t xml:space="preserve">geometry, density, class balance, dimensionality, and corruption mechanism; the</w:t>
      </w:r>
      <w:r>
        <w:t xml:space="preserve"> </w:t>
      </w:r>
      <w:r>
        <w:t xml:space="preserve">unseen suite introduces new geometry formulas; and the 3D panel tests native</w:t>
      </w:r>
      <w:r>
        <w:t xml:space="preserve"> </w:t>
      </w:r>
      <w:r>
        <w:t xml:space="preserve">variable-density volumes. Figure 1 summarizes 36 variable-density 3D fields, 708</w:t>
      </w:r>
      <w:r>
        <w:t xml:space="preserve"> </w:t>
      </w:r>
      <w:r>
        <w:t xml:space="preserve">complete simulations, and 108 unseen geometries. Every method receives the same</w:t>
      </w:r>
      <w:r>
        <w:t xml:space="preserve"> </w:t>
      </w:r>
      <w:r>
        <w:t xml:space="preserve">coordinates and corrupted categorical labels.</w:t>
      </w:r>
    </w:p>
    <w:p>
      <w:pPr>
        <w:pStyle w:val="BodyText"/>
      </w:pPr>
      <w:r>
        <w:t xml:space="preserve">FiberMargin obtained the highest Accuracy and ARI on both the complete and</w:t>
      </w:r>
      <w:r>
        <w:t xml:space="preserve"> </w:t>
      </w:r>
      <w:r>
        <w:t xml:space="preserve">unseen-geometry ledgers. It also obtained the highest Accuracy on variable-density</w:t>
      </w:r>
      <w:r>
        <w:t xml:space="preserve"> </w:t>
      </w:r>
      <w:r>
        <w:t xml:space="preserve">3D, while multiscale mode had a 0.0010 higher ARI. Descriptive paired</w:t>
      </w:r>
      <w:r>
        <w:t xml:space="preserve"> </w:t>
      </w:r>
      <w:r>
        <w:t xml:space="preserve">family-clustered intervals compare FiberMargin with the strongest displayed control;</w:t>
      </w:r>
      <w:r>
        <w:t xml:space="preserve"> </w:t>
      </w:r>
      <w:r>
        <w:t xml:space="preserve">they are not selection-adjusted. The complete-suite Accuracy difference was 0.0112</w:t>
      </w:r>
      <w:r>
        <w:t xml:space="preserve"> </w:t>
      </w:r>
      <w:r>
        <w:t xml:space="preserve">(95% interval 0.0076–0.0146), and the unseen-suite difference was 0.0108</w:t>
      </w:r>
      <w:r>
        <w:t xml:space="preserve"> </w:t>
      </w:r>
      <w:r>
        <w:t xml:space="preserve">(0.0078–0.0147). In the variable-density 3D panel, the Accuracy interval crossed</w:t>
      </w:r>
      <w:r>
        <w:t xml:space="preserve"> </w:t>
      </w:r>
      <w:r>
        <w:t xml:space="preserve">zero and the ARI difference was compatible with a tie. Thus the strongest evidence</w:t>
      </w:r>
      <w:r>
        <w:t xml:space="preserve"> </w:t>
      </w:r>
      <w:r>
        <w:t xml:space="preserve">supports broad multiclass recovery across irregular geometries, not a universal</w:t>
      </w:r>
      <w:r>
        <w:t xml:space="preserve"> </w:t>
      </w:r>
      <w:r>
        <w:t xml:space="preserve">ranking over every spatial repair problem.</w:t>
      </w:r>
    </w:p>
    <w:p>
      <w:pPr>
        <w:pStyle w:val="CaptionedFigure"/>
        <w:jc w:val="center"/>
      </w:pPr>
      <w:r>
        <w:drawing>
          <wp:inline>
            <wp:extent cx="5334000" cy="5037666"/>
            <wp:effectExtent b="0" l="0" r="0" t="0"/>
            <wp:docPr descr="Accuracy and adjusted Rand index across 36 variable-density 3D fields, 708 complete simulations, and 108 unseen geometries. These are evaluations of FiberMargin’s multiclass two-sided enclosure mechanism. Every method receives the same coordinates and corrupted categorical labels; color and shape jointly identify the method." title="" id="42" name="Picture"/>
            <a:graphic>
              <a:graphicData uri="http://schemas.openxmlformats.org/drawingml/2006/picture">
                <pic:pic>
                  <pic:nvPicPr>
                    <pic:cNvPr descr="figures/fibermargin_simulation_scope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376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1. Accuracy and adjusted Rand index across 36 variable-density 3D fields, 708 complete simulations, and 108 unseen geometries. These are evaluations of FiberMargin’s multiclass two-sided enclosure mechanism. Every method receives the same coordinates and corrupted categorical labels; color and shape jointly identify the method.</w:t>
      </w:r>
    </w:p>
    <w:bookmarkEnd w:id="44"/>
    <w:bookmarkStart w:id="48" w:name="X7e70218baed9ab94edd748a839ef199f9dce21a"/>
    <w:p>
      <w:pPr>
        <w:pStyle w:val="Heading2"/>
      </w:pPr>
      <w:r>
        <w:t>5.2  Controlled biological-coordinate recovery</w:t>
      </w:r>
    </w:p>
    <w:p>
      <w:pPr>
        <w:pStyle w:val="FirstParagraph"/>
      </w:pPr>
      <w:r>
        <w:t xml:space="preserve">This section reports three real-coordinate studies.</w:t>
      </w:r>
      <w:r>
        <w:t xml:space="preserve"> </w:t>
      </w:r>
      <w:r>
        <w:rPr>
          <w:b/>
          <w:bCs/>
        </w:rPr>
        <w:t xml:space="preserve">Question.</w:t>
      </w:r>
      <w:r>
        <w:t xml:space="preserve"> </w:t>
      </w:r>
      <w:r>
        <w:t xml:space="preserve">Given the actual</w:t>
      </w:r>
      <w:r>
        <w:t xml:space="preserve"> </w:t>
      </w:r>
      <w:r>
        <w:t xml:space="preserve">coordinate layout of layered tissue, consecutive planes, or a dense 19-class field,</w:t>
      </w:r>
      <w:r>
        <w:t xml:space="preserve"> </w:t>
      </w:r>
      <w:r>
        <w:t xml:space="preserve">can a method repair deliberately introduced local label errors without using</w:t>
      </w:r>
      <w:r>
        <w:t xml:space="preserve"> </w:t>
      </w:r>
      <w:r>
        <w:t xml:space="preserve">expression data, images, or the reference annotation? The published or author-derived</w:t>
      </w:r>
      <w:r>
        <w:t xml:space="preserve"> </w:t>
      </w:r>
      <w:r>
        <w:t xml:space="preserve">labels are treated as evaluation-only references, fixed neighbor-plausible</w:t>
      </w:r>
      <w:r>
        <w:t xml:space="preserve"> </w:t>
      </w:r>
      <w:r>
        <w:t xml:space="preserve">corruptions are introduced, and the original labels are hidden before inference.</w:t>
      </w:r>
      <w:r>
        <w:t xml:space="preserve"> </w:t>
      </w:r>
      <w:r>
        <w:t xml:space="preserve">These studies therefore establish controlled recovery on biological geometry, not</w:t>
      </w:r>
      <w:r>
        <w:t xml:space="preserve"> </w:t>
      </w:r>
      <w:r>
        <w:t xml:space="preserve">correction of naturally disputed annotations.</w:t>
      </w:r>
    </w:p>
    <w:p>
      <w:pPr>
        <w:pStyle w:val="BodyText"/>
      </w:pPr>
      <w:r>
        <w:t xml:space="preserve">FiberMargin had the highest aggregate Accuracy and ARI on DLPFC</w:t>
      </w:r>
      <w:r>
        <w:t xml:space="preserve"> </w:t>
      </w:r>
      <w:r>
        <w:t xml:space="preserve">(0.8942 / 0.8220) and MERFISH (0.8905 / 0.8004) among the nine matched refiners.</w:t>
      </w:r>
      <w:r>
        <w:t xml:space="preserve"> </w:t>
      </w:r>
      <w:r>
        <w:t xml:space="preserve">CRC was the exception: multiscale mode narrowly led FiberMargin</w:t>
      </w:r>
      <w:r>
        <w:t xml:space="preserve"> </w:t>
      </w:r>
      <w:r>
        <w:t xml:space="preserve">(0.8604 / 0.7827 versus 0.8589 / 0.7806). FiberMargin recovered a larger fraction</w:t>
      </w:r>
      <w:r>
        <w:t xml:space="preserve"> </w:t>
      </w:r>
      <w:r>
        <w:t xml:space="preserve">of corrupted CRC labels (0.4444 versus 0.4105) but incurred more damage</w:t>
      </w:r>
      <w:r>
        <w:t xml:space="preserve"> </w:t>
      </w:r>
      <w:r>
        <w:t xml:space="preserve">(0.0478 versus 0.0336), making this a clear operating-point trade-off rather than a</w:t>
      </w:r>
      <w:r>
        <w:t xml:space="preserve"> </w:t>
      </w:r>
      <w:r>
        <w:t xml:space="preserve">uniform win. Detailed DLPFC and MERFISH operating points, boundary Accuracy,</w:t>
      </w:r>
      <w:r>
        <w:t xml:space="preserve"> </w:t>
      </w:r>
      <w:r>
        <w:t xml:space="preserve">sparse-region Accuracy, and class-balance comparisons are reported in the supplement.</w:t>
      </w:r>
    </w:p>
    <w:p>
      <w:pPr>
        <w:pStyle w:val="BodyText"/>
      </w:pPr>
      <w:r>
        <w:t xml:space="preserve">The predefined random 25% CRC visualization illustrates what aggregate means can and</w:t>
      </w:r>
      <w:r>
        <w:t xml:space="preserve"> </w:t>
      </w:r>
      <w:r>
        <w:t xml:space="preserve">cannot show (Figure 2). FiberMargin raised Accuracy from 0.7500 to 0.9715 and</w:t>
      </w:r>
      <w:r>
        <w:t xml:space="preserve"> </w:t>
      </w:r>
      <w:r>
        <w:t xml:space="preserve">corrected 0.9204 of injected errors with damage 0.0114. In contrast, one 25%</w:t>
      </w:r>
      <w:r>
        <w:t xml:space="preserve"> </w:t>
      </w:r>
      <w:r>
        <w:t xml:space="preserve">coherent-patch case fell from 0.7500 to 0.7104. A contiguous patch overwritten with</w:t>
      </w:r>
      <w:r>
        <w:t xml:space="preserve"> </w:t>
      </w:r>
      <w:r>
        <w:t xml:space="preserve">a neighboring class is observationally ambiguous when only coordinates and the</w:t>
      </w:r>
      <w:r>
        <w:t xml:space="preserve"> </w:t>
      </w:r>
      <w:r>
        <w:t xml:space="preserve">categorical field are available; the failure is retained in the scenario archive.</w:t>
      </w:r>
    </w:p>
    <w:p>
      <w:pPr>
        <w:pStyle w:val="CaptionedFigure"/>
        <w:jc w:val="center"/>
      </w:pPr>
      <w:r>
        <w:drawing>
          <wp:inline>
            <wp:extent cx="5334000" cy="3048000"/>
            <wp:effectExtent b="0" l="0" r="0" t="0"/>
            <wp:docPr descr="Full-tissue and zoomed 19-class CRC Visium HD recovery under 25% random corruption. FiberMargin uses its multiclass two-sided enclosure mechanism. The black rectangle identifies the zoom." title="" id="46" name="Picture"/>
            <a:graphic>
              <a:graphicData uri="http://schemas.openxmlformats.org/drawingml/2006/picture">
                <pic:pic>
                  <pic:nvPicPr>
                    <pic:cNvPr descr="../benchmarks/results/fibermargin_final/colorectal_19class_full_and_zoom_indexed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2. Full-tissue and zoomed 19-class CRC Visium HD recovery under 25% random corruption. FiberMargin uses its multiclass two-sided enclosure mechanism. The black rectangle identifies the zoom.</w:t>
      </w:r>
    </w:p>
    <w:bookmarkEnd w:id="48"/>
    <w:bookmarkStart w:id="49" w:name="procedural-multiclass-mask-repair"/>
    <w:p>
      <w:pPr>
        <w:pStyle w:val="Heading2"/>
      </w:pPr>
      <w:r>
        <w:t>5.3  Procedural multiclass mask repair</w:t>
      </w:r>
    </w:p>
    <w:p>
      <w:pPr>
        <w:pStyle w:val="FirstParagraph"/>
      </w:pPr>
      <w:r>
        <w:rPr>
          <w:b/>
          <w:bCs/>
        </w:rPr>
        <w:t xml:space="preserve">Question.</w:t>
      </w:r>
      <w:r>
        <w:t xml:space="preserve"> </w:t>
      </w:r>
      <w:r>
        <w:t xml:space="preserve">Does the same multiclass enclosure remain useful on regular categorical</w:t>
      </w:r>
      <w:r>
        <w:t xml:space="preserve"> </w:t>
      </w:r>
      <w:r>
        <w:t xml:space="preserve">rasters, where grid-specific local filters have a natural advantage? The suite crosses</w:t>
      </w:r>
      <w:r>
        <w:t xml:space="preserve"> </w:t>
      </w:r>
      <w:r>
        <w:t xml:space="preserve">six 96-by-96 geometry families, three error mechanisms, two corruption levels, and</w:t>
      </w:r>
      <w:r>
        <w:t xml:space="preserve"> </w:t>
      </w:r>
      <w:r>
        <w:t xml:space="preserve">three seeds, producing 108 cases. Table 1 includes the complete fixed comparator</w:t>
      </w:r>
      <w:r>
        <w:t xml:space="preserve"> </w:t>
      </w:r>
      <w:r>
        <w:t xml:space="preserve">roster plus a separate 48-NN regular-grid diagnostic.</w:t>
      </w:r>
    </w:p>
    <w:p>
      <w:pPr>
        <w:pStyle w:val="BodyText"/>
      </w:pPr>
      <w:r>
        <w:t xml:space="preserve">The 48-NN filter had the highest control Accuracy (0.9070), while the 8-NN filter</w:t>
      </w:r>
      <w:r>
        <w:t xml:space="preserve"> </w:t>
      </w:r>
      <w:r>
        <w:t xml:space="preserve">had the highest control ARI and correction recall. FiberMargin reached 0.9113</w:t>
      </w:r>
      <w:r>
        <w:t xml:space="preserve"> </w:t>
      </w:r>
      <w:r>
        <w:t xml:space="preserve">Accuracy and 0.7392 ARI, leading both primary scores, and corrected 0.6210 of altered</w:t>
      </w:r>
      <w:r>
        <w:t xml:space="preserve"> </w:t>
      </w:r>
      <w:r>
        <w:t xml:space="preserve">locations. Its 0.0056 damage was higher than multiscale mode (0.0011) and alpha</w:t>
      </w:r>
      <w:r>
        <w:t xml:space="preserve"> </w:t>
      </w:r>
      <w:r>
        <w:t xml:space="preserve">expansion (0.0009), so the result is an Accuracy–damage trade-off rather than a free</w:t>
      </w:r>
      <w:r>
        <w:t xml:space="preserve"> </w:t>
      </w:r>
      <w:r>
        <w:t xml:space="preserve">gain from changing more cells.</w:t>
      </w:r>
    </w:p>
    <w:p>
      <w:pPr>
        <w:pStyle w:val="TableCaption"/>
      </w:pPr>
      <w:r>
        <w:t xml:space="preserve">Aggregate core metrics on 108 procedural multiclass mask-repair cases. Higher is</w:t>
      </w:r>
      <w:r>
        <w:t xml:space="preserve"> </w:t>
      </w:r>
      <w:r>
        <w:t xml:space="preserve">better except for damage. Every matched comparator receives the same corrupted</w:t>
      </w:r>
      <w:r>
        <w:t xml:space="preserve"> </w:t>
      </w:r>
      <w:r>
        <w:t xml:space="preserve">categorical field and coordinates; the 48-NN modal filter is an additional</w:t>
      </w:r>
      <w:r>
        <w:t xml:space="preserve"> </w:t>
      </w:r>
      <w:r>
        <w:t xml:space="preserve">regular-grid diagnostic. Secondary overlap, boundary, and rare-class metrics are</w:t>
      </w:r>
      <w:r>
        <w:t xml:space="preserve"> </w:t>
      </w:r>
      <w:r>
        <w:t xml:space="preserve">reported in the supplement.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  <w:tblCaption w:val="Aggregate core metrics on 108 procedural multiclass mask-repair cases. Higher is better except for damage. Every matched comparator receives the same corrupted categorical field and coordinates; the 48-NN modal filter is an additional regular-grid diagnostic. Secondary overlap, boundary, and rare-class metrics are reported in the supplement.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  <w:tblHeader w:val="true"/>
          <w:cantSplit/>
        </w:trPr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4F6F9"/>
          </w:tcPr>
          <w:p>
            <w:pPr>
              <w:pStyle w:val="Compact"/>
              <w:spacing w:after="40" w:before="40" w:line="240" w:lineRule="auto"/>
              <w:jc w:val="left"/>
            </w:pPr>
            <w:r>
              <w:rPr>
                <w:rFonts w:ascii="Calibri" w:hAnsi="Calibri"/>
                <w:b/>
                <w:color w:val="1F4E79"/>
                <w:sz w:val="16"/>
              </w:rPr>
              <w:t xml:space="preserve">Method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4F6F9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b/>
                <w:color w:val="1F4E79"/>
                <w:sz w:val="16"/>
              </w:rPr>
              <w:t xml:space="preserve">Accuracy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4F6F9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b/>
                <w:color w:val="1F4E79"/>
                <w:sz w:val="16"/>
              </w:rPr>
              <w:t xml:space="preserve">ARI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4F6F9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b/>
                <w:color w:val="1F4E79"/>
                <w:sz w:val="16"/>
              </w:rPr>
              <w:t xml:space="preserve">Correction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4F6F9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b/>
                <w:color w:val="1F4E79"/>
                <w:sz w:val="16"/>
              </w:rPr>
              <w:t xml:space="preserve">Damage</w:t>
            </w:r>
          </w:p>
        </w:tc>
      </w:tr>
      <w:tr>
        <w:trPr>
          <w:cantSplit/>
        </w:trPr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left"/>
            </w:pPr>
            <w:r>
              <w:rPr>
                <w:rFonts w:ascii="Calibri" w:hAnsi="Calibri"/>
                <w:sz w:val="16"/>
              </w:rPr>
              <w:t xml:space="preserve">Initial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0.7750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0.4242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</w:t>
            </w:r>
          </w:p>
        </w:tc>
      </w:tr>
      <w:tr>
        <w:trPr>
          <w:cantSplit/>
        </w:trPr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left"/>
            </w:pPr>
            <w:r>
              <w:rPr>
                <w:rFonts w:ascii="Calibri" w:hAnsi="Calibri"/>
                <w:sz w:val="16"/>
              </w:rPr>
              <w:t xml:space="preserve">SpaGCN correction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0.8740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0.6335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0.4573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0.0018</w:t>
            </w:r>
          </w:p>
        </w:tc>
      </w:tr>
      <w:tr>
        <w:trPr>
          <w:cantSplit/>
        </w:trPr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left"/>
            </w:pPr>
            <w:r>
              <w:rPr>
                <w:rFonts w:ascii="Calibri" w:hAnsi="Calibri"/>
                <w:sz w:val="16"/>
              </w:rPr>
              <w:t xml:space="preserve">GraphST correction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0.9059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0.6964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0.6362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0.0163</w:t>
            </w:r>
          </w:p>
        </w:tc>
      </w:tr>
      <w:tr>
        <w:trPr>
          <w:cantSplit/>
        </w:trPr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left"/>
            </w:pPr>
            <w:r>
              <w:rPr>
                <w:rFonts w:ascii="Calibri" w:hAnsi="Calibri"/>
                <w:sz w:val="16"/>
              </w:rPr>
              <w:t xml:space="preserve">8-NN modal filter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0.9023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0.7218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b/>
                <w:bCs/>
                <w:sz w:val="16"/>
              </w:rPr>
              <w:t xml:space="preserve">0.6456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0.0231</w:t>
            </w:r>
          </w:p>
        </w:tc>
      </w:tr>
      <w:tr>
        <w:trPr>
          <w:cantSplit/>
        </w:trPr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left"/>
            </w:pPr>
            <w:r>
              <w:rPr>
                <w:rFonts w:ascii="Calibri" w:hAnsi="Calibri"/>
                <w:sz w:val="16"/>
              </w:rPr>
              <w:t xml:space="preserve">48-NN modal filter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0.9070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0.7012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0.6379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0.0153</w:t>
            </w:r>
          </w:p>
        </w:tc>
      </w:tr>
      <w:tr>
        <w:trPr>
          <w:cantSplit/>
        </w:trPr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left"/>
            </w:pPr>
            <w:r>
              <w:rPr>
                <w:rFonts w:ascii="Calibri" w:hAnsi="Calibri"/>
                <w:sz w:val="16"/>
              </w:rPr>
              <w:t xml:space="preserve">Alpha-expansion Potts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0.8997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0.7037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0.5511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0.0009</w:t>
            </w:r>
          </w:p>
        </w:tc>
      </w:tr>
      <w:tr>
        <w:trPr>
          <w:cantSplit/>
        </w:trPr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left"/>
            </w:pPr>
            <w:r>
              <w:rPr>
                <w:rFonts w:ascii="Calibri" w:hAnsi="Calibri"/>
                <w:sz w:val="16"/>
              </w:rPr>
              <w:t xml:space="preserve">Coordinate CRF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0.8662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0.6174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0.4166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b/>
                <w:bCs/>
                <w:sz w:val="16"/>
              </w:rPr>
              <w:t xml:space="preserve">0.0001</w:t>
            </w:r>
          </w:p>
        </w:tc>
      </w:tr>
      <w:tr>
        <w:trPr>
          <w:cantSplit/>
        </w:trPr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left"/>
            </w:pPr>
            <w:r>
              <w:rPr>
                <w:rFonts w:ascii="Calibri" w:hAnsi="Calibri"/>
                <w:sz w:val="16"/>
              </w:rPr>
              <w:t xml:space="preserve">Harmonic propagation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0.8961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0.6913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0.5357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0.0019</w:t>
            </w:r>
          </w:p>
        </w:tc>
      </w:tr>
      <w:tr>
        <w:trPr>
          <w:cantSplit/>
        </w:trPr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left"/>
            </w:pPr>
            <w:r>
              <w:rPr>
                <w:rFonts w:ascii="Calibri" w:hAnsi="Calibri"/>
                <w:sz w:val="16"/>
              </w:rPr>
              <w:t xml:space="preserve">Multiscale mode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0.9043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0.7210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0.5781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0.0011</w:t>
            </w:r>
          </w:p>
        </w:tc>
      </w:tr>
      <w:tr>
        <w:trPr>
          <w:cantSplit/>
        </w:trPr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left"/>
            </w:pPr>
            <w:r>
              <w:rPr>
                <w:rFonts w:ascii="Calibri" w:hAnsi="Calibri"/>
                <w:sz w:val="16"/>
              </w:rPr>
              <w:t xml:space="preserve">Potts ICM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0.8988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0.7009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0.5498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0.0017</w:t>
            </w:r>
          </w:p>
        </w:tc>
      </w:tr>
      <w:tr>
        <w:trPr>
          <w:cantSplit/>
        </w:trPr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left"/>
            </w:pPr>
            <w:r>
              <w:rPr>
                <w:rFonts w:ascii="Calibri" w:hAnsi="Calibri"/>
                <w:sz w:val="16"/>
              </w:rPr>
              <w:t xml:space="preserve">FiberMargin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b/>
                <w:bCs/>
                <w:sz w:val="16"/>
              </w:rPr>
              <w:t xml:space="preserve">0.9113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b/>
                <w:bCs/>
                <w:sz w:val="16"/>
              </w:rPr>
              <w:t xml:space="preserve">0.7392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0.6210</w:t>
            </w:r>
          </w:p>
        </w:tc>
        <w:tc>
          <w:tcPr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ompact"/>
              <w:spacing w:after="40" w:before="40" w:line="240" w:lineRule="auto"/>
              <w:jc w:val="right"/>
            </w:pPr>
            <w:r>
              <w:rPr>
                <w:rFonts w:ascii="Calibri" w:hAnsi="Calibri"/>
                <w:sz w:val="16"/>
              </w:rPr>
              <w:t xml:space="preserve">0.0056</w:t>
            </w:r>
          </w:p>
        </w:tc>
      </w:tr>
    </w:tbl>
    <w:p>
      <w:pPr>
        <w:pStyle w:val="BodyText"/>
      </w:pPr>
      <w:r>
        <w:t xml:space="preserve">The operating-point audit multiplied the fixed barrier by two, retained the default,</w:t>
      </w:r>
      <w:r>
        <w:t xml:space="preserve"> </w:t>
      </w:r>
      <w:r>
        <w:t xml:space="preserve">or removed the barrier. Correction recall and damage were respectively 0.584/0.0021,</w:t>
      </w:r>
      <w:r>
        <w:t xml:space="preserve"> </w:t>
      </w:r>
      <w:r>
        <w:t xml:space="preserve">0.621/0.0056, and 0.645/0.0149. Qualitatively, FiberMargin cleaned isolated and</w:t>
      </w:r>
      <w:r>
        <w:t xml:space="preserve"> </w:t>
      </w:r>
      <w:r>
        <w:t xml:space="preserve">disconnected regions but removed much of one very thin network. That counterexample,</w:t>
      </w:r>
      <w:r>
        <w:t xml:space="preserve"> </w:t>
      </w:r>
      <w:r>
        <w:t xml:space="preserve">retained in the supplement, prevents a topology-preservation claim.</w:t>
      </w:r>
    </w:p>
    <w:bookmarkEnd w:id="49"/>
    <w:bookmarkStart w:id="50" w:name="operator-diagnostics"/>
    <w:p>
      <w:pPr>
        <w:pStyle w:val="Heading2"/>
      </w:pPr>
      <w:r>
        <w:t>5.4  Operator diagnostics</w:t>
      </w:r>
    </w:p>
    <w:p>
      <w:pPr>
        <w:pStyle w:val="FirstParagraph"/>
      </w:pPr>
      <w:r>
        <w:t xml:space="preserve">These diagnostics test the final operator rather than add method comparisons. The</w:t>
      </w:r>
      <w:r>
        <w:t xml:space="preserve"> </w:t>
      </w:r>
      <w:r>
        <w:t xml:space="preserve">supplement reports the complete atlas-size audit with paired Accuracy, ARI,</w:t>
      </w:r>
      <w:r>
        <w:t xml:space="preserve"> </w:t>
      </w:r>
      <w:r>
        <w:t xml:space="preserve">worst-recall, sparse-region, and damage outcomes. The results support the fixed</w:t>
      </w:r>
      <w:r>
        <w:t xml:space="preserve"> </w:t>
      </w:r>
      <w:r>
        <w:t xml:space="preserve">9-path 2D and 12-path 3D atlas used by the package; changing CPU workers does not</w:t>
      </w:r>
      <w:r>
        <w:t xml:space="preserve"> </w:t>
      </w:r>
      <w:r>
        <w:t xml:space="preserve">change the mathematical operator.</w:t>
      </w:r>
    </w:p>
    <w:p>
      <w:pPr>
        <w:pStyle w:val="BodyText"/>
      </w:pPr>
      <w:r>
        <w:t xml:space="preserve">The specimen-isolation test verifies the stated mathematical contract rather than</w:t>
      </w:r>
      <w:r>
        <w:t xml:space="preserve"> </w:t>
      </w:r>
      <w:r>
        <w:t xml:space="preserve">recovery Accuracy: translating, rotating, coordinate-permuting, or label-permuting a</w:t>
      </w:r>
      <w:r>
        <w:t xml:space="preserve"> </w:t>
      </w:r>
      <w:r>
        <w:t xml:space="preserve">distractor specimen changed zero of 2,600 target predictions. This exact invariance</w:t>
      </w:r>
      <w:r>
        <w:t xml:space="preserve"> </w:t>
      </w:r>
      <w:r>
        <w:t xml:space="preserve">follows from independent specimen processing.</w:t>
      </w:r>
    </w:p>
    <w:p>
      <w:pPr>
        <w:pStyle w:val="BodyText"/>
      </w:pPr>
      <w:r>
        <w:t xml:space="preserve">The software contract additionally tests exact equality of all pointwise diagnostics</w:t>
      </w:r>
      <w:r>
        <w:t xml:space="preserve"> </w:t>
      </w:r>
      <w:r>
        <w:t xml:space="preserve">under one, two, and four requested CPU workers; row-permutation equivariance;</w:t>
      </w:r>
      <w:r>
        <w:t xml:space="preserve"> </w:t>
      </w:r>
      <w:r>
        <w:t xml:space="preserve">translation and uniform-scale invariance; equality of 2D and constant-</w:t>
      </w:r>
      <m:oMath>
        <m:r>
          <m:t>z</m:t>
        </m:r>
      </m:oMath>
      <w:r>
        <w:t xml:space="preserve"> </w:t>
      </w:r>
      <w:r>
        <w:t xml:space="preserve">inputs; and</w:t>
      </w:r>
      <w:r>
        <w:t xml:space="preserve"> </w:t>
      </w:r>
      <w:r>
        <w:t xml:space="preserve">non-equivalence after removing informative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from a genuinely 3D field. A mixed call</w:t>
      </w:r>
      <w:r>
        <w:t xml:space="preserve"> </w:t>
      </w:r>
      <w:r>
        <w:t xml:space="preserve">may therefore contain both effective 2D and effective 3D specimens without sharing</w:t>
      </w:r>
      <w:r>
        <w:t xml:space="preserve"> </w:t>
      </w:r>
      <w:r>
        <w:t xml:space="preserve">coordinate normalization or class evidence.</w:t>
      </w:r>
    </w:p>
    <w:bookmarkEnd w:id="50"/>
    <w:bookmarkStart w:id="51" w:name="scaling"/>
    <w:p>
      <w:pPr>
        <w:pStyle w:val="Heading2"/>
      </w:pPr>
      <w:r>
        <w:t>5.5  Scaling</w:t>
      </w:r>
    </w:p>
    <w:p>
      <w:pPr>
        <w:pStyle w:val="FirstParagraph"/>
      </w:pPr>
      <w:r>
        <w:t xml:space="preserve">This feasibility study measures the complete R-to-C++ call rather than a universal</w:t>
      </w:r>
      <w:r>
        <w:t xml:space="preserve"> </w:t>
      </w:r>
      <w:r>
        <w:t xml:space="preserve">runtime ranking. Fresh R processes measured complete 20-class calls at 10,000,</w:t>
      </w:r>
      <w:r>
        <w:t xml:space="preserve"> </w:t>
      </w:r>
      <w:r>
        <w:t xml:space="preserve">50,000, 100,000, 250,000, and 500,000 observations. Runtime rose from 0.067 to</w:t>
      </w:r>
      <w:r>
        <w:t xml:space="preserve"> </w:t>
      </w:r>
      <w:r>
        <w:t xml:space="preserve">6.146 seconds. The fitted log-log slope was 1.166 (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0.998</m:t>
        </m:r>
      </m:oMath>
      <w:r>
        <w:t xml:space="preserve">). At 500,000</w:t>
      </w:r>
      <w:r>
        <w:t xml:space="preserve"> </w:t>
      </w:r>
      <w:r>
        <w:t xml:space="preserve">observations, peak resident memory was 569 MB and the increase during refinement was</w:t>
      </w:r>
      <w:r>
        <w:t xml:space="preserve"> </w:t>
      </w:r>
      <w:r>
        <w:t xml:space="preserve">422 MB. For fixed atlas size, transport range, and class count, time is</w:t>
      </w:r>
      <w: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log</m:t>
            </m:r>
            <m:r>
              <m:t>n</m:t>
            </m:r>
            <m:r>
              <m:rPr>
                <m:sty m:val="p"/>
              </m:rPr>
              <m:t>+</m:t>
            </m:r>
            <m:r>
              <m:t>n</m:t>
            </m:r>
            <m:r>
              <m:t>K</m:t>
            </m:r>
          </m:e>
        </m:d>
      </m:oMath>
      <w:r>
        <w:t xml:space="preserve"> </w:t>
      </w:r>
      <w:r>
        <w:t xml:space="preserve">and stored chart actions require</w:t>
      </w:r>
      <w: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t>K</m:t>
            </m:r>
            <m:d>
              <m:dPr>
                <m:begChr m:val="|"/>
                <m:endChr m:val="|"/>
                <m:sepChr m:val=""/>
                <m:grow/>
              </m:dPr>
              <m:e>
                <m:r>
                  <m:rPr>
                    <m:sty m:val="p"/>
                    <m:scr m:val="script"/>
                  </m:rPr>
                  <m:t>A</m:t>
                </m:r>
              </m:e>
            </m:d>
          </m:e>
        </m:d>
      </m:oMath>
      <w:r>
        <w:t xml:space="preserve"> </w:t>
      </w:r>
      <w:r>
        <w:t xml:space="preserve">memory.</w:t>
      </w:r>
      <w:r>
        <w:t xml:space="preserve"> </w:t>
      </w:r>
      <w:r>
        <w:t xml:space="preserve">Matched cross-method timings are reported in Supplement S15.</w:t>
      </w:r>
    </w:p>
    <w:bookmarkEnd w:id="51"/>
    <w:bookmarkStart w:id="55" w:name="Xfe1256e06edb4a32e68d20ea4423381fbd46c71"/>
    <w:p>
      <w:pPr>
        <w:pStyle w:val="Heading2"/>
      </w:pPr>
      <w:r>
        <w:t>5.6  External transfer and auxiliary scope tests</w:t>
      </w:r>
    </w:p>
    <w:p>
      <w:pPr>
        <w:pStyle w:val="FirstParagraph"/>
      </w:pPr>
      <w:r>
        <w:t xml:space="preserve">The final evaluations ask whether the operator transfers beyond controlled recovery</w:t>
      </w:r>
      <w:r>
        <w:t xml:space="preserve"> </w:t>
      </w:r>
      <w:r>
        <w:t xml:space="preserve">to categorical masks produced by real upstream predictors. All repair methods receive</w:t>
      </w:r>
      <w:r>
        <w:t xml:space="preserve"> </w:t>
      </w:r>
      <w:r>
        <w:t xml:space="preserve">the same saved categorical prediction and coordinates; source features and upstream</w:t>
      </w:r>
      <w:r>
        <w:t xml:space="preserve"> </w:t>
      </w:r>
      <w:r>
        <w:t xml:space="preserve">outputs beyond the categorical prediction are withheld. Figure 3 shows the matched</w:t>
      </w:r>
      <w:r>
        <w:t xml:space="preserve"> </w:t>
      </w:r>
      <w:r>
        <w:t xml:space="preserve">Accuracy–damage operating points, and the supplement reports the complete image- and</w:t>
      </w:r>
      <w:r>
        <w:t xml:space="preserve"> </w:t>
      </w:r>
      <w:r>
        <w:t xml:space="preserve">room-level matrices.</w:t>
      </w:r>
    </w:p>
    <w:p>
      <w:pPr>
        <w:pStyle w:val="BodyText"/>
      </w:pPr>
      <w:r>
        <w:t xml:space="preserve">FiberMargin improved CamVid Accuracy by 0.0186 (descriptive 95% image-bootstrap</w:t>
      </w:r>
      <w:r>
        <w:t xml:space="preserve"> </w:t>
      </w:r>
      <w:r>
        <w:t xml:space="preserve">interval 0.0175–0.0197) and S3DIS Accuracy by 0.0204 (room-block interval</w:t>
      </w:r>
      <w:r>
        <w:t xml:space="preserve"> </w:t>
      </w:r>
      <w:r>
        <w:t xml:space="preserve">0.0152–0.0259). GraphST correction had the highest Accuracy in both studies; its</w:t>
      </w:r>
      <w:r>
        <w:t xml:space="preserve"> </w:t>
      </w:r>
      <w:r>
        <w:t xml:space="preserve">advantage over FiberMargin was 0.0061 on CamVid and 0.0112 on S3DIS. Harmonic</w:t>
      </w:r>
      <w:r>
        <w:t xml:space="preserve"> </w:t>
      </w:r>
      <w:r>
        <w:t xml:space="preserve">propagation also provided a more favorable Accuracy–damage point in these two</w:t>
      </w:r>
      <w:r>
        <w:t xml:space="preserve"> </w:t>
      </w:r>
      <w:r>
        <w:t xml:space="preserve">settings. Frames and room blocks retain sequence or scene dependence, so the</w:t>
      </w:r>
      <w:r>
        <w:t xml:space="preserve"> </w:t>
      </w:r>
      <w:r>
        <w:t xml:space="preserve">intervals are descriptive. These tests establish that FiberMargin can improve saved</w:t>
      </w:r>
      <w:r>
        <w:t xml:space="preserve"> </w:t>
      </w:r>
      <w:r>
        <w:t xml:space="preserve">predictions, but they also delimit its current transfer range: the strongest evidence</w:t>
      </w:r>
      <w:r>
        <w:t xml:space="preserve"> </w:t>
      </w:r>
      <w:r>
        <w:t xml:space="preserve">remains irregular multiclass controlled recovery.</w:t>
      </w:r>
    </w:p>
    <w:p>
      <w:pPr>
        <w:pStyle w:val="CaptionedFigure"/>
        <w:jc w:val="center"/>
      </w:pPr>
      <w:r>
        <w:drawing>
          <wp:inline>
            <wp:extent cx="4533900" cy="2610427"/>
            <wp:effectExtent b="0" l="0" r="0" t="0"/>
            <wp:docPr descr="Accuracy gain and correction damage for saved CamVid and S3DIS upstream predictions. Both evaluations are multiclass and use FiberMargin’s two-sided enclosure mechanism. Every repair method receives only the categorical prediction and coordinates; color and shape jointly identify methods." title="" id="53" name="Picture"/>
            <a:graphic>
              <a:graphicData uri="http://schemas.openxmlformats.org/drawingml/2006/picture">
                <pic:pic>
                  <pic:nvPicPr>
                    <pic:cNvPr descr="figures/fibermargin_external_natural_accuracy_damage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26104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3. Accuracy gain and correction damage for saved CamVid and S3DIS upstream predictions. Both evaluations are multiclass and use FiberMargin’s two-sided enclosure mechanism. Every repair method receives only the categorical prediction and coordinates; color and shape jointly identify methods.</w:t>
      </w:r>
    </w:p>
    <w:p>
      <w:pPr>
        <w:pStyle w:val="BodyText"/>
      </w:pPr>
      <w:r>
        <w:t xml:space="preserve">The supplement separately reports 330 controlled corruptions of 55 held-out binary</w:t>
      </w:r>
      <w:r>
        <w:t xml:space="preserve"> </w:t>
      </w:r>
      <w:r>
        <w:t xml:space="preserve">building masks. That study evaluates the package’s local-ballot utility, not the</w:t>
      </w:r>
      <w:r>
        <w:t xml:space="preserve"> </w:t>
      </w:r>
      <w:r>
        <w:t xml:space="preserve">multiclass enclosure developed in this paper, and is therefore excluded from the</w:t>
      </w:r>
      <w:r>
        <w:t xml:space="preserve"> </w:t>
      </w:r>
      <w:r>
        <w:t xml:space="preserve">primary evidence hierarchy.</w:t>
      </w:r>
    </w:p>
    <w:bookmarkEnd w:id="55"/>
    <w:bookmarkEnd w:id="56"/>
    <w:bookmarkStart w:id="59" w:name="discussion"/>
    <w:p>
      <w:pPr>
        <w:pStyle w:val="Heading1"/>
      </w:pPr>
      <w:r>
        <w:t>6  Discussion</w:t>
      </w:r>
    </w:p>
    <w:p>
      <w:pPr>
        <w:pStyle w:val="FirstParagraph"/>
      </w:pPr>
      <w:r>
        <w:t xml:space="preserve">FiberMargin addresses a deliberately restricted multiclass repair task with one</w:t>
      </w:r>
      <w:r>
        <w:t xml:space="preserve"> </w:t>
      </w:r>
      <w:r>
        <w:t xml:space="preserve">explicit margin-generating recurrence. Each remote observation contributes through a</w:t>
      </w:r>
      <w:r>
        <w:t xml:space="preserve"> </w:t>
      </w:r>
      <w:r>
        <w:t xml:space="preserve">known exponential path weight, the fixed path atlas determines the contrast, and a</w:t>
      </w:r>
      <w:r>
        <w:t xml:space="preserve"> </w:t>
      </w:r>
      <w:r>
        <w:t xml:space="preserve">positive gap makes the decision stable. The C++ implementation retains this structure</w:t>
      </w:r>
      <w:r>
        <w:t xml:space="preserve"> </w:t>
      </w:r>
      <w:r>
        <w:t xml:space="preserve">closely enough for source-level audit.</w:t>
      </w:r>
    </w:p>
    <w:p>
      <w:pPr>
        <w:pStyle w:val="BodyText"/>
      </w:pPr>
      <w:r>
        <w:t xml:space="preserve">The experiments identify a coherent regime of advantage. FiberMargin led the complete</w:t>
      </w:r>
      <w:r>
        <w:t xml:space="preserve"> </w:t>
      </w:r>
      <w:r>
        <w:t xml:space="preserve">and unseen-geometry simulation ledgers, procedural multiclass masks, DLPFC, and</w:t>
      </w:r>
      <w:r>
        <w:t xml:space="preserve"> </w:t>
      </w:r>
      <w:r>
        <w:t xml:space="preserve">MERFISH, and attained the highest Accuracy in the variable-density 3D study. These</w:t>
      </w:r>
      <w:r>
        <w:t xml:space="preserve"> </w:t>
      </w:r>
      <w:r>
        <w:t xml:space="preserve">settings share multiclass structure, irregular or heterogeneous spatial support, and</w:t>
      </w:r>
      <w:r>
        <w:t xml:space="preserve"> </w:t>
      </w:r>
      <w:r>
        <w:t xml:space="preserve">errors that remain locally contradicted from more than one direction. CRC exposed an</w:t>
      </w:r>
      <w:r>
        <w:t xml:space="preserve"> </w:t>
      </w:r>
      <w:r>
        <w:t xml:space="preserve">Accuracy–damage trade-off rather than a clear loss: multiscale mode narrowly led the</w:t>
      </w:r>
      <w:r>
        <w:t xml:space="preserve"> </w:t>
      </w:r>
      <w:r>
        <w:t xml:space="preserve">primary scores, while FiberMargin corrected more corrupted labels and damaged more</w:t>
      </w:r>
      <w:r>
        <w:t xml:space="preserve"> </w:t>
      </w:r>
      <w:r>
        <w:t xml:space="preserve">initially correct labels.</w:t>
      </w:r>
    </w:p>
    <w:p>
      <w:pPr>
        <w:pStyle w:val="BodyText"/>
      </w:pPr>
      <w:r>
        <w:t xml:space="preserve">The external-prediction studies define the boundary of that evidence. FiberMargin</w:t>
      </w:r>
      <w:r>
        <w:t xml:space="preserve"> </w:t>
      </w:r>
      <w:r>
        <w:t xml:space="preserve">improved both saved upstream predictions, but harmonic propagation and GraphST</w:t>
      </w:r>
      <w:r>
        <w:t xml:space="preserve"> </w:t>
      </w:r>
      <w:r>
        <w:t xml:space="preserve">correction provided stronger operating points. The auxiliary binary ballot was also</w:t>
      </w:r>
      <w:r>
        <w:t xml:space="preserve"> </w:t>
      </w:r>
      <w:r>
        <w:t xml:space="preserve">not the strongest rule on held-out building masks. These outcomes do not negate the</w:t>
      </w:r>
      <w:r>
        <w:t xml:space="preserve"> </w:t>
      </w:r>
      <w:r>
        <w:t xml:space="preserve">multiclass enclosure result; they show that regular binary masks and errors inherited</w:t>
      </w:r>
      <w:r>
        <w:t xml:space="preserve"> </w:t>
      </w:r>
      <w:r>
        <w:t xml:space="preserve">from an upstream predictor can favor simpler local operators. Recovery and protection</w:t>
      </w:r>
      <w:r>
        <w:t xml:space="preserve"> </w:t>
      </w:r>
      <w:r>
        <w:t xml:space="preserve">must therefore be reported jointly, and method choice should follow the geometry and</w:t>
      </w:r>
      <w:r>
        <w:t xml:space="preserve"> </w:t>
      </w:r>
      <w:r>
        <w:t xml:space="preserve">error regime rather than a universal ranking.</w:t>
      </w:r>
    </w:p>
    <w:bookmarkStart w:id="57" w:name="scope-of-the-mask-repair-task"/>
    <w:p>
      <w:pPr>
        <w:pStyle w:val="Heading2"/>
      </w:pPr>
      <w:r>
        <w:t>6.1  Scope of the mask-repair task</w:t>
      </w:r>
    </w:p>
    <w:p>
      <w:pPr>
        <w:pStyle w:val="FirstParagraph"/>
      </w:pPr>
      <w:r>
        <w:t xml:space="preserve">The same input contract covers regular image masks, 3D voxel labels, irregular point</w:t>
      </w:r>
      <w:r>
        <w:t xml:space="preserve"> </w:t>
      </w:r>
      <w:r>
        <w:t xml:space="preserve">clouds, and categorical maps, but the present evidence is strongest for multiclass</w:t>
      </w:r>
      <w:r>
        <w:t xml:space="preserve"> </w:t>
      </w:r>
      <w:r>
        <w:t xml:space="preserve">irregular-coordinate fields. It is most relevant when an upstream label field exists</w:t>
      </w:r>
      <w:r>
        <w:t xml:space="preserve"> </w:t>
      </w:r>
      <w:r>
        <w:t xml:space="preserve">but its image, logits, training pipeline, or domain-specific model cannot be used.</w:t>
      </w:r>
      <w:r>
        <w:t xml:space="preserve"> </w:t>
      </w:r>
      <w:r>
        <w:t xml:space="preserve">Potential tests include LiDAR labels</w:t>
      </w:r>
      <w:r>
        <w:t xml:space="preserve"> </w:t>
      </w:r>
      <w:r>
        <w:t xml:space="preserve">(</w:t>
      </w:r>
      <w:hyperlink w:anchor="ref-ye2021pointnoise">
        <w:r>
          <w:rPr>
            <w:rStyle w:val="Hyperlink"/>
          </w:rPr>
          <w:t xml:space="preserve">Ye et al. 2021</w:t>
        </w:r>
      </w:hyperlink>
      <w:r>
        <w:t xml:space="preserve">)</w:t>
      </w:r>
      <w:r>
        <w:t xml:space="preserve">, land-cover maps</w:t>
      </w:r>
      <w:r>
        <w:t xml:space="preserve"> </w:t>
      </w:r>
      <w:r>
        <w:t xml:space="preserve">(</w:t>
      </w:r>
      <w:hyperlink w:anchor="ref-isprssemantic">
        <w:r>
          <w:rPr>
            <w:rStyle w:val="Hyperlink"/>
          </w:rPr>
          <w:t xml:space="preserve">International Society for Photogrammetry and Remote Sensing n.d.</w:t>
        </w:r>
      </w:hyperlink>
      <w:r>
        <w:t xml:space="preserve">)</w:t>
      </w:r>
      <w:r>
        <w:t xml:space="preserve">, and multi-annotator medical masks</w:t>
      </w:r>
      <w:r>
        <w:t xml:space="preserve"> </w:t>
      </w:r>
      <w:r>
        <w:t xml:space="preserve">(</w:t>
      </w:r>
      <w:hyperlink w:anchor="ref-zhang2023annotators">
        <w:r>
          <w:rPr>
            <w:rStyle w:val="Hyperlink"/>
          </w:rPr>
          <w:t xml:space="preserve">Zhang et al. 2023</w:t>
        </w:r>
      </w:hyperlink>
      <w:r>
        <w:t xml:space="preserve">)</w:t>
      </w:r>
      <w:r>
        <w:t xml:space="preserve">. The</w:t>
      </w:r>
      <w:r>
        <w:t xml:space="preserve"> </w:t>
      </w:r>
      <w:r>
        <w:t xml:space="preserve">supplement prespecifies suitable datasets and guards.</w:t>
      </w:r>
    </w:p>
    <w:p>
      <w:pPr>
        <w:pStyle w:val="BodyText"/>
      </w:pPr>
      <w:r>
        <w:t xml:space="preserve">The taxonomy in Section 2 also clarifies how future comparisons should be organized.</w:t>
      </w:r>
      <w:r>
        <w:t xml:space="preserve"> </w:t>
      </w:r>
      <w:r>
        <w:t xml:space="preserve">Single-mask, coordinate-only operators can be compared directly at equal information.</w:t>
      </w:r>
      <w:r>
        <w:t xml:space="preserve"> </w:t>
      </w:r>
      <w:r>
        <w:t xml:space="preserve">Feature-guided refiners should form a second track that receives the image or point</w:t>
      </w:r>
      <w:r>
        <w:t xml:space="preserve"> </w:t>
      </w:r>
      <w:r>
        <w:t xml:space="preserve">features; noisy-label methods should form a training-time track; and STAPLE-like</w:t>
      </w:r>
      <w:r>
        <w:t xml:space="preserve"> </w:t>
      </w:r>
      <w:r>
        <w:t xml:space="preserve">methods should form a repeated-annotation track. A topology-aware track should report</w:t>
      </w:r>
      <w:r>
        <w:t xml:space="preserve"> </w:t>
      </w:r>
      <w:r>
        <w:t xml:space="preserve">connectivity metrics and receive the structural information its methods require.</w:t>
      </w:r>
      <w:r>
        <w:t xml:space="preserve"> </w:t>
      </w:r>
      <w:r>
        <w:t xml:space="preserve">SegRefiner and RNCA can learn visual or anatomical repair priors from data;</w:t>
      </w:r>
      <w:r>
        <w:t xml:space="preserve"> </w:t>
      </w:r>
      <w:r>
        <w:t xml:space="preserve">FiberMargin cannot. Conversely, FiberMargin requires no fitted weights and applies</w:t>
      </w:r>
      <w:r>
        <w:t xml:space="preserve"> </w:t>
      </w:r>
      <w:r>
        <w:t xml:space="preserve">unchanged to irregular 2D/3D coordinates. Collapsing these settings into one ranking</w:t>
      </w:r>
      <w:r>
        <w:t xml:space="preserve"> </w:t>
      </w:r>
      <w:r>
        <w:t xml:space="preserve">would measure access to information as much as repair quality.</w:t>
      </w:r>
    </w:p>
    <w:bookmarkEnd w:id="57"/>
    <w:bookmarkStart w:id="58" w:name="limitations-and-next-steps"/>
    <w:p>
      <w:pPr>
        <w:pStyle w:val="Heading2"/>
      </w:pPr>
      <w:r>
        <w:t>6.2  Limitations and next steps</w:t>
      </w:r>
    </w:p>
    <w:p>
      <w:pPr>
        <w:pStyle w:val="FirstParagraph"/>
      </w:pPr>
      <w:r>
        <w:t xml:space="preserve">The procedural masks, auxiliary HOT study, and public-annotation diagnostics use</w:t>
      </w:r>
      <w:r>
        <w:t xml:space="preserve"> </w:t>
      </w:r>
      <w:r>
        <w:t xml:space="preserve">injected defects. CamVid and S3DIS instead supply genuine upstream predictions with independent</w:t>
      </w:r>
      <w:r>
        <w:t xml:space="preserve"> </w:t>
      </w:r>
      <w:r>
        <w:t xml:space="preserve">references, but two simple upstream models cannot establish uniform performance across</w:t>
      </w:r>
      <w:r>
        <w:t xml:space="preserve"> </w:t>
      </w:r>
      <w:r>
        <w:t xml:space="preserve">natural error mechanisms. The thin-network and coherent-patch failures show that</w:t>
      </w:r>
      <w:r>
        <w:t xml:space="preserve"> </w:t>
      </w:r>
      <w:r>
        <w:t xml:space="preserve">the operator is not topology preserving. A contiguous regional overwrite can remain</w:t>
      </w:r>
      <w:r>
        <w:t xml:space="preserve"> </w:t>
      </w:r>
      <w:r>
        <w:t xml:space="preserve">observationally ambiguous from geometry and one categorical field alone. The</w:t>
      </w:r>
      <w:r>
        <w:t xml:space="preserve"> </w:t>
      </w:r>
      <w:r>
        <w:t xml:space="preserve">conditional recovery theorems require chart-interior witnesses and independent</w:t>
      </w:r>
      <w:r>
        <w:t xml:space="preserve"> </w:t>
      </w:r>
      <w:r>
        <w:t xml:space="preserve">bounded label noise; they do not establish universal consistency at boundaries or</w:t>
      </w:r>
      <w:r>
        <w:t xml:space="preserve"> </w:t>
      </w:r>
      <w:r>
        <w:t xml:space="preserve">under structured regional corruption. The</w:t>
      </w:r>
      <w:r>
        <w:t xml:space="preserve"> </w:t>
      </w:r>
      <w:r>
        <w:t xml:space="preserve">finite atlas is not exactly rotation invariant.</w:t>
      </w:r>
    </w:p>
    <w:p>
      <w:pPr>
        <w:pStyle w:val="BodyText"/>
      </w:pPr>
      <w:r>
        <w:t xml:space="preserve">The biological tests also remain controlled recovery studies. DLPFC contains several</w:t>
      </w:r>
      <w:r>
        <w:t xml:space="preserve"> </w:t>
      </w:r>
      <w:r>
        <w:t xml:space="preserve">donors, but CRC and MERFISH each contribute one biological unit; natural</w:t>
      </w:r>
      <w:r>
        <w:t xml:space="preserve"> </w:t>
      </w:r>
      <w:r>
        <w:t xml:space="preserve">annotation uncertainty was not independently adjudicated. Strong next tests require</w:t>
      </w:r>
      <w:r>
        <w:t xml:space="preserve"> </w:t>
      </w:r>
      <w:r>
        <w:t xml:space="preserve">independent tissues, additional paired imperfect/reference masks from upstream models,</w:t>
      </w:r>
      <w:r>
        <w:t xml:space="preserve"> </w:t>
      </w:r>
      <w:r>
        <w:t xml:space="preserve">and 3D point clouds. A feature-enabled veto should be evaluated separately from the</w:t>
      </w:r>
      <w:r>
        <w:t xml:space="preserve"> </w:t>
      </w:r>
      <w:r>
        <w:t xml:space="preserve">present mask-only operator. For current evidence, FiberMargin is a fast, auditable</w:t>
      </w:r>
      <w:r>
        <w:t xml:space="preserve"> </w:t>
      </w:r>
      <w:r>
        <w:t xml:space="preserve">multiclass spatial-label repair method whose strongest support is irregular</w:t>
      </w:r>
      <w:r>
        <w:t xml:space="preserve"> </w:t>
      </w:r>
      <w:r>
        <w:t xml:space="preserve">controlled recovery; external-prediction generalization remains an open problem.</w:t>
      </w:r>
    </w:p>
    <w:bookmarkEnd w:id="58"/>
    <w:bookmarkEnd w:id="59"/>
    <w:bookmarkStart w:id="161" w:name="software-and-reproducibility"/>
    <w:p>
      <w:pPr>
        <w:pStyle w:val="Heading1"/>
      </w:pPr>
      <w:r>
        <w:t>7  Software and Reproducibility</w:t>
      </w:r>
    </w:p>
    <w:p>
      <w:pPr>
        <w:pStyle w:val="FirstParagraph"/>
      </w:pPr>
      <w:r>
        <w:t xml:space="preserve">The R package exposes</w:t>
      </w:r>
      <w:r>
        <w:t xml:space="preserve"> </w:t>
      </w:r>
      <w:r>
        <w:rPr>
          <w:rStyle w:val="VerbatimChar"/>
        </w:rPr>
        <w:t xml:space="preserve">clean_categorical_mask(mask, samples = NULL, workers = NULL)</w:t>
      </w:r>
      <w:r>
        <w:t xml:space="preserve"> </w:t>
      </w:r>
      <w:r>
        <w:t xml:space="preserve">for pixel/voxel arrays and</w:t>
      </w:r>
      <w:r>
        <w:t xml:space="preserve"> </w:t>
      </w:r>
      <w:r>
        <w:rPr>
          <w:rStyle w:val="VerbatimChar"/>
        </w:rPr>
        <w:t xml:space="preserve">refine_spatial_labels(xy, labels, samples = NULL, workers = NULL)</w:t>
      </w:r>
      <w:r>
        <w:t xml:space="preserve"> </w:t>
      </w:r>
      <w:r>
        <w:t xml:space="preserve">for irregular</w:t>
      </w:r>
      <w:r>
        <w:t xml:space="preserve"> </w:t>
      </w:r>
      <w:r>
        <w:t xml:space="preserve">coordinates.</w:t>
      </w:r>
      <w:r>
        <w:t xml:space="preserve"> </w:t>
      </w:r>
      <w:r>
        <w:rPr>
          <w:rStyle w:val="VerbatimChar"/>
        </w:rPr>
        <w:t xml:space="preserve">corrupt_categorical_mask()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evaluate_mask_cleaning()</w:t>
      </w:r>
      <w:r>
        <w:t xml:space="preserve"> </w:t>
      </w:r>
      <w:r>
        <w:t xml:space="preserve">implement</w:t>
      </w:r>
      <w:r>
        <w:t xml:space="preserve"> </w:t>
      </w:r>
      <w:r>
        <w:t xml:space="preserve">the public benchmark contract and exact repair–damage audit. The mathematical</w:t>
      </w:r>
      <w:r>
        <w:t xml:space="preserve"> </w:t>
      </w:r>
      <w:r>
        <w:t xml:space="preserve">operator, including path construction, directional recurrences, margin aggregation, and</w:t>
      </w:r>
      <w:r>
        <w:t xml:space="preserve"> </w:t>
      </w:r>
      <w:r>
        <w:t xml:space="preserve">decisions, is implemented in C++17. R validates and encodes inputs, allocates one total</w:t>
      </w:r>
      <w:r>
        <w:t xml:space="preserve"> </w:t>
      </w:r>
      <w:r>
        <w:t xml:space="preserve">CPU budget, and restores output types and row order. One native call performs</w:t>
      </w:r>
      <w:r>
        <w:t xml:space="preserve"> </w:t>
      </w:r>
      <w:r>
        <w:t xml:space="preserve">per-specimen axis reduction, coordinate normalization, local class encoding, and</w:t>
      </w:r>
      <w:r>
        <w:t xml:space="preserve"> </w:t>
      </w:r>
      <w:r>
        <w:t xml:space="preserve">refinement. Specimens reuse the same budget and native stages do not nest thread pools.</w:t>
      </w:r>
      <w:r>
        <w:t xml:space="preserve"> </w:t>
      </w:r>
      <w:r>
        <w:t xml:space="preserve">Independent charts and row ranges use deterministic standard C++ threads on macOS,</w:t>
      </w:r>
      <w:r>
        <w:t xml:space="preserve"> </w:t>
      </w:r>
      <w:r>
        <w:t xml:space="preserve">Linux, and Windows. The returned factor retains input levels and identifiers and carries</w:t>
      </w:r>
      <w:r>
        <w:t xml:space="preserve"> </w:t>
      </w:r>
      <w:r>
        <w:t xml:space="preserve">the seven pointwise diagnostics together with per-specimen dimensionality, sample size,</w:t>
      </w:r>
      <w:r>
        <w:t xml:space="preserve"> </w:t>
      </w:r>
      <w:r>
        <w:t xml:space="preserve">edit count, edit fraction, before/after class sets, and explicit removed-class summaries.</w:t>
      </w:r>
      <w:r>
        <w:t xml:space="preserve"> </w:t>
      </w:r>
      <w:r>
        <w:t xml:space="preserve">The implementation does not constrain the number of output classes. The repository contains the</w:t>
      </w:r>
      <w:r>
        <w:t xml:space="preserve"> </w:t>
      </w:r>
      <w:r>
        <w:t xml:space="preserve">versioned source, simulators, evaluators, manifests, scenario metrics, figures, and all</w:t>
      </w:r>
      <w:r>
        <w:t xml:space="preserve"> </w:t>
      </w:r>
      <w:r>
        <w:t xml:space="preserve">scripts used here. Compact DLPFC and CRC coordinate/annotation derivatives are</w:t>
      </w:r>
      <w:r>
        <w:t xml:space="preserve"> </w:t>
      </w:r>
      <w:r>
        <w:t xml:space="preserve">redistributed under their source terms. The CRC derivative is CC BY 4.0, records</w:t>
      </w:r>
      <w:r>
        <w:t xml:space="preserve"> </w:t>
      </w:r>
      <w:r>
        <w:t xml:space="preserve">attribution and modifications, and excludes expression counts and tissue imagery.</w:t>
      </w:r>
      <w:r>
        <w:t xml:space="preserve"> </w:t>
      </w:r>
      <w:r>
        <w:t xml:space="preserve">MERFISH source data are not redistributed; scripts document the official source and</w:t>
      </w:r>
      <w:r>
        <w:t xml:space="preserve"> </w:t>
      </w:r>
      <w:r>
        <w:t xml:space="preserve">license. The HOT and Oxford-IIIT Pet controlled studies use mask labels only. The</w:t>
      </w:r>
      <w:r>
        <w:t xml:space="preserve"> </w:t>
      </w:r>
      <w:r>
        <w:t xml:space="preserve">CamVid preparation script uses source images solely to create fixed upstream categorical</w:t>
      </w:r>
      <w:r>
        <w:t xml:space="preserve"> </w:t>
      </w:r>
      <w:r>
        <w:t xml:space="preserve">predictions; the R repair evaluator reads only those saved masks, coordinates, and</w:t>
      </w:r>
      <w:r>
        <w:t xml:space="preserve"> </w:t>
      </w:r>
      <w:r>
        <w:t xml:space="preserve">independent references, never image values or model scores. Its manifest records source</w:t>
      </w:r>
      <w:r>
        <w:t xml:space="preserve"> </w:t>
      </w:r>
      <w:r>
        <w:t xml:space="preserve">terms and the exact upstream recipe.</w:t>
      </w:r>
    </w:p>
    <w:bookmarkStart w:id="160" w:name="refs"/>
    <w:bookmarkStart w:id="61" w:name="ref-tenxcrc2025"/>
    <w:p>
      <w:pPr>
        <w:pStyle w:val="Heading1"/>
      </w:pPr>
      <w:r>
        <w:t>Acknowledgments</w:t>
      </w:r>
    </w:p>
    <w:p>
      <w:pPr>
        <w:pStyle w:val="BodyText"/>
        <w:jc w:val="left"/>
      </w:pPr>
      <w:r>
        <w:t>The authors thank 10x Genomics and the maintainers of spatialLIBD, SpaGCN, and GraphST for making data or source code available for reproducible evaluation.</w:t>
      </w:r>
    </w:p>
    <w:p>
      <w:pPr>
        <w:pStyle w:val="BodyText"/>
        <w:jc w:val="left"/>
      </w:pPr>
      <w:r/>
      <w:r>
        <w:rPr>
          <w:b/>
        </w:rPr>
        <w:t xml:space="preserve">Funding. </w:t>
      </w:r>
      <w:r>
        <w:t>The authors received no specific funding for this work.</w:t>
      </w:r>
    </w:p>
    <w:p>
      <w:pPr>
        <w:pStyle w:val="BodyText"/>
        <w:jc w:val="left"/>
      </w:pPr>
      <w:r/>
      <w:r>
        <w:rPr>
          <w:b/>
        </w:rPr>
        <w:t xml:space="preserve">Competing interests. </w:t>
      </w:r>
      <w:r>
        <w:t>The authors declare that they have no competing interests.</w:t>
      </w:r>
    </w:p>
    <w:p>
      <w:pPr>
        <w:pStyle w:val="Heading1"/>
      </w:pPr>
      <w:r>
        <w:t>References</w:t>
      </w:r>
    </w:p>
    <w:p>
      <w:pPr>
        <w:pStyle w:val="Bibliography"/>
      </w:pPr>
      <w:r>
        <w:t xml:space="preserve">10x Genomics. 2025.</w:t>
      </w:r>
      <w:r>
        <w:t xml:space="preserve"> </w:t>
      </w:r>
      <w:r>
        <w:t xml:space="preserve">“</w:t>
      </w:r>
      <w:r>
        <w:t xml:space="preserve">Visium HD Spatial Gene Expression Library, Human Colorectal Cancer (FFPE)</w:t>
      </w:r>
      <w:r>
        <w:t xml:space="preserve">.”</w:t>
      </w:r>
      <w:r>
        <w:t xml:space="preserve"> </w:t>
      </w:r>
      <w:r>
        <w:t xml:space="preserve">Dataset analyzed using Space Ranger v4.0.1; published July 3, 2025; CC BY 4.0.</w:t>
      </w:r>
      <w:r>
        <w:t xml:space="preserve"> </w:t>
      </w:r>
      <w:hyperlink r:id="rId60">
        <w:r>
          <w:rPr>
            <w:rStyle w:val="Hyperlink"/>
          </w:rPr>
          <w:t xml:space="preserve">https://www.10xgenomics.com/datasets/visium-hd-cytassist-gene-expression-libraries-of-human-crc-v4</w:t>
        </w:r>
      </w:hyperlink>
      <w:r>
        <w:t xml:space="preserve">.</w:t>
      </w:r>
    </w:p>
    <w:bookmarkEnd w:id="61"/>
    <w:bookmarkStart w:id="63" w:name="ref-abdelshafy2025kodama"/>
    <w:p>
      <w:pPr>
        <w:pStyle w:val="Bibliography"/>
      </w:pPr>
      <w:r>
        <w:t xml:space="preserve">Abdel-Shafy, Ebtesam A. et al. 2025.</w:t>
      </w:r>
      <w:r>
        <w:t xml:space="preserve"> </w:t>
      </w:r>
      <w:r>
        <w:t xml:space="preserve">“</w:t>
      </w:r>
      <w:r>
        <w:t xml:space="preserve">KODAMA</w:t>
      </w:r>
      <w:r>
        <w:t xml:space="preserve"> </w:t>
      </w:r>
      <w:r>
        <w:t xml:space="preserve">Enables Self-Guided Weakly Supervised Learning in Spatial Transcriptomics.”</w:t>
      </w:r>
      <w:r>
        <w:t xml:space="preserve"> </w:t>
      </w:r>
      <w:r>
        <w:rPr>
          <w:i/>
          <w:iCs/>
        </w:rPr>
        <w:t xml:space="preserve">bioRxiv</w:t>
      </w:r>
      <w:r>
        <w:t xml:space="preserve">.</w:t>
      </w:r>
      <w:r>
        <w:t xml:space="preserve"> </w:t>
      </w:r>
      <w:hyperlink r:id="rId62">
        <w:r>
          <w:rPr>
            <w:rStyle w:val="Hyperlink"/>
          </w:rPr>
          <w:t xml:space="preserve">https://doi.org/10.1101/2025.05.28.656544</w:t>
        </w:r>
      </w:hyperlink>
      <w:r>
        <w:t xml:space="preserve">.</w:t>
      </w:r>
    </w:p>
    <w:bookmarkEnd w:id="63"/>
    <w:bookmarkStart w:id="65" w:name="ref-armeni2016"/>
    <w:p>
      <w:pPr>
        <w:pStyle w:val="Bibliography"/>
      </w:pPr>
      <w:r>
        <w:t xml:space="preserve">Armeni, Iro, Ozan Sener, Amir R. Zamir, Helen Jiang, Ioannis Brilakis, Martin Fischer, and Silvio Savarese. 2016.</w:t>
      </w:r>
      <w:r>
        <w:t xml:space="preserve"> </w:t>
      </w:r>
      <w:r>
        <w:t xml:space="preserve">“3D Semantic Parsing of Large-Scale Indoor Spaces.”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Proceedings of the IEEE Conference on Computer Vision and Pattern Recognition</w:t>
      </w:r>
      <w:r>
        <w:t xml:space="preserve">, 1534–43.</w:t>
      </w:r>
      <w:r>
        <w:t xml:space="preserve"> </w:t>
      </w:r>
      <w:hyperlink r:id="rId64">
        <w:r>
          <w:rPr>
            <w:rStyle w:val="Hyperlink"/>
          </w:rPr>
          <w:t xml:space="preserve">https://doi.org/10.1109/CVPR.2016.170</w:t>
        </w:r>
      </w:hyperlink>
      <w:r>
        <w:t xml:space="preserve">.</w:t>
      </w:r>
    </w:p>
    <w:bookmarkEnd w:id="65"/>
    <w:bookmarkStart w:id="67" w:name="ref-batson2019noise2self"/>
    <w:p>
      <w:pPr>
        <w:pStyle w:val="Bibliography"/>
      </w:pPr>
      <w:r>
        <w:t xml:space="preserve">Batson, Joshua, and Loic Royer. 2019.</w:t>
      </w:r>
      <w:r>
        <w:t xml:space="preserve"> </w:t>
      </w:r>
      <w:r>
        <w:t xml:space="preserve">“</w:t>
      </w:r>
      <w:r>
        <w:t xml:space="preserve">Noise2Self</w:t>
      </w:r>
      <w:r>
        <w:t xml:space="preserve">: Blind Denoising by Self-Supervision.”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Proceedings of the 36th International Conference on Machine Learning</w:t>
      </w:r>
      <w:r>
        <w:t xml:space="preserve">, 97:524–33. Proceedings of Machine Learning Research.</w:t>
      </w:r>
      <w:r>
        <w:t xml:space="preserve"> </w:t>
      </w:r>
      <w:hyperlink r:id="rId66">
        <w:r>
          <w:rPr>
            <w:rStyle w:val="Hyperlink"/>
          </w:rPr>
          <w:t xml:space="preserve">https://proceedings.mlr.press/v97/batson19a.html</w:t>
        </w:r>
      </w:hyperlink>
      <w:r>
        <w:t xml:space="preserve">.</w:t>
      </w:r>
    </w:p>
    <w:bookmarkEnd w:id="67"/>
    <w:bookmarkStart w:id="68" w:name="ref-berthon2021"/>
    <w:p>
      <w:pPr>
        <w:pStyle w:val="Bibliography"/>
      </w:pPr>
      <w:r>
        <w:t xml:space="preserve">Berthon, Antonin, Bo Han, Gang Niu, Tongliang Liu, and Masashi Sugiyama. 2021.</w:t>
      </w:r>
      <w:r>
        <w:t xml:space="preserve"> </w:t>
      </w:r>
      <w:r>
        <w:t xml:space="preserve">“Confidence Scores Make Instance-Dependent Label-Noise Learning Possible.”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Proceedings of the 38th International Conference on Machine Learning</w:t>
      </w:r>
      <w:r>
        <w:t xml:space="preserve">, 825–36.</w:t>
      </w:r>
    </w:p>
    <w:bookmarkEnd w:id="68"/>
    <w:bookmarkStart w:id="69" w:name="ref-besag1986"/>
    <w:p>
      <w:pPr>
        <w:pStyle w:val="Bibliography"/>
      </w:pPr>
      <w:r>
        <w:t xml:space="preserve">Besag, Julian. 1986.</w:t>
      </w:r>
      <w:r>
        <w:t xml:space="preserve"> </w:t>
      </w:r>
      <w:r>
        <w:t xml:space="preserve">“On the Statistical Analysis of Dirty Pictures.”</w:t>
      </w:r>
      <w:r>
        <w:t xml:space="preserve"> </w:t>
      </w:r>
      <w:r>
        <w:rPr>
          <w:i/>
          <w:iCs/>
        </w:rPr>
        <w:t xml:space="preserve">Journal of the Royal Statistical Society: Series B</w:t>
      </w:r>
      <w:r>
        <w:t xml:space="preserve"> </w:t>
      </w:r>
      <w:r>
        <w:t xml:space="preserve">48 (3): 259–302.</w:t>
      </w:r>
    </w:p>
    <w:bookmarkEnd w:id="69"/>
    <w:bookmarkStart w:id="71" w:name="ref-boykov2001"/>
    <w:p>
      <w:pPr>
        <w:pStyle w:val="Bibliography"/>
      </w:pPr>
      <w:r>
        <w:t xml:space="preserve">Boykov, Yuri, Olga Veksler, and Ramin Zabih. 2001.</w:t>
      </w:r>
      <w:r>
        <w:t xml:space="preserve"> </w:t>
      </w:r>
      <w:r>
        <w:t xml:space="preserve">“Fast Approximate Energy Minimization via Graph Cuts.”</w:t>
      </w:r>
      <w:r>
        <w:t xml:space="preserve"> </w:t>
      </w:r>
      <w:r>
        <w:rPr>
          <w:i/>
          <w:iCs/>
        </w:rPr>
        <w:t xml:space="preserve">IEEE Transactions on Pattern Analysis and Machine Intelligence</w:t>
      </w:r>
      <w:r>
        <w:t xml:space="preserve"> </w:t>
      </w:r>
      <w:r>
        <w:t xml:space="preserve">23 (11): 1222–39.</w:t>
      </w:r>
      <w:r>
        <w:t xml:space="preserve"> </w:t>
      </w:r>
      <w:hyperlink r:id="rId70">
        <w:r>
          <w:rPr>
            <w:rStyle w:val="Hyperlink"/>
          </w:rPr>
          <w:t xml:space="preserve">https://doi.org/10.1109/34.969114</w:t>
        </w:r>
      </w:hyperlink>
      <w:r>
        <w:t xml:space="preserve">.</w:t>
      </w:r>
    </w:p>
    <w:bookmarkEnd w:id="71"/>
    <w:bookmarkStart w:id="73" w:name="ref-brostow2009"/>
    <w:p>
      <w:pPr>
        <w:pStyle w:val="Bibliography"/>
      </w:pPr>
      <w:r>
        <w:t xml:space="preserve">Brostow, Gabriel J., Julien Fauqueur, and Roberto Cipolla. 2009.</w:t>
      </w:r>
      <w:r>
        <w:t xml:space="preserve"> </w:t>
      </w:r>
      <w:r>
        <w:t xml:space="preserve">“Semantic Object Classes in Video: A High-Definition Ground Truth Database.”</w:t>
      </w:r>
      <w:r>
        <w:t xml:space="preserve"> </w:t>
      </w:r>
      <w:r>
        <w:rPr>
          <w:i/>
          <w:iCs/>
        </w:rPr>
        <w:t xml:space="preserve">Pattern Recognition Letters</w:t>
      </w:r>
      <w:r>
        <w:t xml:space="preserve"> </w:t>
      </w:r>
      <w:r>
        <w:t xml:space="preserve">30 (2): 88–97.</w:t>
      </w:r>
      <w:r>
        <w:t xml:space="preserve"> </w:t>
      </w:r>
      <w:hyperlink r:id="rId72">
        <w:r>
          <w:rPr>
            <w:rStyle w:val="Hyperlink"/>
          </w:rPr>
          <w:t xml:space="preserve">https://doi.org/10.1016/j.patrec.2008.04.005</w:t>
        </w:r>
      </w:hyperlink>
      <w:r>
        <w:t xml:space="preserve">.</w:t>
      </w:r>
    </w:p>
    <w:bookmarkEnd w:id="73"/>
    <w:bookmarkStart w:id="75" w:name="ref-cheng2021boundaryiou"/>
    <w:p>
      <w:pPr>
        <w:pStyle w:val="Bibliography"/>
      </w:pPr>
      <w:r>
        <w:t xml:space="preserve">Cheng, Bowen, Ross Girshick, Piotr Dollár, Alexander C. Berg, and Alexander Kirillov. 2021.</w:t>
      </w:r>
      <w:r>
        <w:t xml:space="preserve"> </w:t>
      </w:r>
      <w:r>
        <w:t xml:space="preserve">“Boundary</w:t>
      </w:r>
      <w:r>
        <w:t xml:space="preserve"> </w:t>
      </w:r>
      <w:r>
        <w:t xml:space="preserve">IoU</w:t>
      </w:r>
      <w:r>
        <w:t xml:space="preserve">: Improving Object-Centric Image Segmentation Evaluation.”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Proceedings of the IEEE/CVF Conference on Computer Vision and Pattern Recognition</w:t>
      </w:r>
      <w:r>
        <w:t xml:space="preserve">, 15334–42.</w:t>
      </w:r>
      <w:r>
        <w:t xml:space="preserve"> </w:t>
      </w:r>
      <w:hyperlink r:id="rId74">
        <w:r>
          <w:rPr>
            <w:rStyle w:val="Hyperlink"/>
          </w:rPr>
          <w:t xml:space="preserve">https://openaccess.thecvf.com/content/CVPR2021/html/Cheng_Boundary_IoU_Improving_Object-Centric_Image_Segmentation_Evaluation_CVPR_2021_paper.html</w:t>
        </w:r>
      </w:hyperlink>
      <w:r>
        <w:t xml:space="preserve">.</w:t>
      </w:r>
    </w:p>
    <w:bookmarkEnd w:id="75"/>
    <w:bookmarkStart w:id="77" w:name="ref-cheng2020cascadepsp"/>
    <w:p>
      <w:pPr>
        <w:pStyle w:val="Bibliography"/>
      </w:pPr>
      <w:r>
        <w:t xml:space="preserve">Cheng, Ho Kei, Jihoon Chung, Yu-Wing Tai, and Chi-Keung Tang. 2020.</w:t>
      </w:r>
      <w:r>
        <w:t xml:space="preserve"> </w:t>
      </w:r>
      <w:r>
        <w:t xml:space="preserve">“</w:t>
      </w:r>
      <w:r>
        <w:t xml:space="preserve">CascadePSP</w:t>
      </w:r>
      <w:r>
        <w:t xml:space="preserve">: Toward Class-Agnostic and Very High-Resolution Segmentation via Global and Local Refinement.”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Proceedings of the IEEE/CVF Conference on Computer Vision and Pattern Recognition</w:t>
      </w:r>
      <w:r>
        <w:t xml:space="preserve">, 8890–99.</w:t>
      </w:r>
      <w:r>
        <w:t xml:space="preserve"> </w:t>
      </w:r>
      <w:hyperlink r:id="rId76">
        <w:r>
          <w:rPr>
            <w:rStyle w:val="Hyperlink"/>
          </w:rPr>
          <w:t xml:space="preserve">https://openaccess.thecvf.com/content_CVPR_2020/html/Cheng_CascadePSP_Toward_Class-Agnostic_and_Very_High-Resolution_Segmentation_via_Global_and_CVPR_2020_paper.html</w:t>
        </w:r>
      </w:hyperlink>
      <w:r>
        <w:t xml:space="preserve">.</w:t>
      </w:r>
    </w:p>
    <w:bookmarkEnd w:id="77"/>
    <w:bookmarkStart w:id="79" w:name="ref-dawid1979"/>
    <w:p>
      <w:pPr>
        <w:pStyle w:val="Bibliography"/>
      </w:pPr>
      <w:r>
        <w:t xml:space="preserve">Dawid, A. P., and A. M. Skene. 1979.</w:t>
      </w:r>
      <w:r>
        <w:t xml:space="preserve"> </w:t>
      </w:r>
      <w:r>
        <w:t xml:space="preserve">“Maximum Likelihood Estimation of Observer Error-Rates Using the</w:t>
      </w:r>
      <w:r>
        <w:t xml:space="preserve"> </w:t>
      </w:r>
      <w:r>
        <w:t xml:space="preserve">EM</w:t>
      </w:r>
      <w:r>
        <w:t xml:space="preserve"> </w:t>
      </w:r>
      <w:r>
        <w:t xml:space="preserve">Algorithm.”</w:t>
      </w:r>
      <w:r>
        <w:t xml:space="preserve"> </w:t>
      </w:r>
      <w:r>
        <w:rPr>
          <w:i/>
          <w:iCs/>
        </w:rPr>
        <w:t xml:space="preserve">Journal of the Royal Statistical Society: Series C (Applied Statistics)</w:t>
      </w:r>
      <w:r>
        <w:t xml:space="preserve"> </w:t>
      </w:r>
      <w:r>
        <w:t xml:space="preserve">28 (1): 20–28.</w:t>
      </w:r>
      <w:r>
        <w:t xml:space="preserve"> </w:t>
      </w:r>
      <w:hyperlink r:id="rId78">
        <w:r>
          <w:rPr>
            <w:rStyle w:val="Hyperlink"/>
          </w:rPr>
          <w:t xml:space="preserve">https://doi.org/10.2307/2346806</w:t>
        </w:r>
      </w:hyperlink>
      <w:r>
        <w:t xml:space="preserve">.</w:t>
      </w:r>
    </w:p>
    <w:bookmarkEnd w:id="79"/>
    <w:bookmarkStart w:id="80" w:name="ref-elyaniv2010"/>
    <w:p>
      <w:pPr>
        <w:pStyle w:val="Bibliography"/>
      </w:pPr>
      <w:r>
        <w:t xml:space="preserve">El-Yaniv, Ran, and Yair Wiener. 2010.</w:t>
      </w:r>
      <w:r>
        <w:t xml:space="preserve"> </w:t>
      </w:r>
      <w:r>
        <w:t xml:space="preserve">“On the Foundations of Noise-Free Selective Classification.”</w:t>
      </w:r>
      <w:r>
        <w:t xml:space="preserve"> </w:t>
      </w:r>
      <w:r>
        <w:rPr>
          <w:i/>
          <w:iCs/>
        </w:rPr>
        <w:t xml:space="preserve">Journal of Machine Learning Research</w:t>
      </w:r>
      <w:r>
        <w:t xml:space="preserve"> </w:t>
      </w:r>
      <w:r>
        <w:t xml:space="preserve">11: 1605–41.</w:t>
      </w:r>
    </w:p>
    <w:bookmarkEnd w:id="80"/>
    <w:bookmarkStart w:id="82" w:name="ref-geman1984"/>
    <w:p>
      <w:pPr>
        <w:pStyle w:val="Bibliography"/>
      </w:pPr>
      <w:r>
        <w:t xml:space="preserve">Geman, Stuart, and Donald Geman. 1984.</w:t>
      </w:r>
      <w:r>
        <w:t xml:space="preserve"> </w:t>
      </w:r>
      <w:r>
        <w:t xml:space="preserve">“Stochastic Relaxation,</w:t>
      </w:r>
      <w:r>
        <w:t xml:space="preserve"> </w:t>
      </w:r>
      <w:r>
        <w:t xml:space="preserve">Gibbs</w:t>
      </w:r>
      <w:r>
        <w:t xml:space="preserve"> </w:t>
      </w:r>
      <w:r>
        <w:t xml:space="preserve">Distributions, and the</w:t>
      </w:r>
      <w:r>
        <w:t xml:space="preserve"> </w:t>
      </w:r>
      <w:r>
        <w:t xml:space="preserve">Bayesian</w:t>
      </w:r>
      <w:r>
        <w:t xml:space="preserve"> </w:t>
      </w:r>
      <w:r>
        <w:t xml:space="preserve">Restoration of Images.”</w:t>
      </w:r>
      <w:r>
        <w:t xml:space="preserve"> </w:t>
      </w:r>
      <w:r>
        <w:rPr>
          <w:i/>
          <w:iCs/>
        </w:rPr>
        <w:t xml:space="preserve">IEEE Transactions on Pattern Analysis and Machine Intelligence</w:t>
      </w:r>
      <w:r>
        <w:t xml:space="preserve"> </w:t>
      </w:r>
      <w:r>
        <w:t xml:space="preserve">PAMI-6 (6): 721–41.</w:t>
      </w:r>
      <w:r>
        <w:t xml:space="preserve"> </w:t>
      </w:r>
      <w:hyperlink r:id="rId81">
        <w:r>
          <w:rPr>
            <w:rStyle w:val="Hyperlink"/>
          </w:rPr>
          <w:t xml:space="preserve">https://doi.org/10.1109/TPAMI.1984.4767596</w:t>
        </w:r>
      </w:hyperlink>
      <w:r>
        <w:t xml:space="preserve">.</w:t>
      </w:r>
    </w:p>
    <w:bookmarkEnd w:id="82"/>
    <w:bookmarkStart w:id="84" w:name="ref-geurts2006extratrees"/>
    <w:p>
      <w:pPr>
        <w:pStyle w:val="Bibliography"/>
      </w:pPr>
      <w:r>
        <w:t xml:space="preserve">Geurts, Pierre, Damien Ernst, and Louis Wehenkel. 2006.</w:t>
      </w:r>
      <w:r>
        <w:t xml:space="preserve"> </w:t>
      </w:r>
      <w:r>
        <w:t xml:space="preserve">“Extremely Randomized Trees.”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 </w:t>
      </w:r>
      <w:r>
        <w:t xml:space="preserve">63 (1): 3–42.</w:t>
      </w:r>
      <w:r>
        <w:t xml:space="preserve"> </w:t>
      </w:r>
      <w:hyperlink r:id="rId83">
        <w:r>
          <w:rPr>
            <w:rStyle w:val="Hyperlink"/>
          </w:rPr>
          <w:t xml:space="preserve">https://doi.org/10.1007/s10994-006-6226-1</w:t>
        </w:r>
      </w:hyperlink>
      <w:r>
        <w:t xml:space="preserve">.</w:t>
      </w:r>
    </w:p>
    <w:bookmarkEnd w:id="84"/>
    <w:bookmarkStart w:id="86" w:name="ref-grady2006"/>
    <w:p>
      <w:pPr>
        <w:pStyle w:val="Bibliography"/>
      </w:pPr>
      <w:r>
        <w:t xml:space="preserve">Grady, Leo. 2006.</w:t>
      </w:r>
      <w:r>
        <w:t xml:space="preserve"> </w:t>
      </w:r>
      <w:r>
        <w:t xml:space="preserve">“Random Walks for Image Segmentation.”</w:t>
      </w:r>
      <w:r>
        <w:t xml:space="preserve"> </w:t>
      </w:r>
      <w:r>
        <w:rPr>
          <w:i/>
          <w:iCs/>
        </w:rPr>
        <w:t xml:space="preserve">IEEE Transactions on Pattern Analysis and Machine Intelligence</w:t>
      </w:r>
      <w:r>
        <w:t xml:space="preserve"> </w:t>
      </w:r>
      <w:r>
        <w:t xml:space="preserve">28 (11): 1768–83.</w:t>
      </w:r>
      <w:r>
        <w:t xml:space="preserve"> </w:t>
      </w:r>
      <w:hyperlink r:id="rId85">
        <w:r>
          <w:rPr>
            <w:rStyle w:val="Hyperlink"/>
          </w:rPr>
          <w:t xml:space="preserve">https://doi.org/10.1109/TPAMI.2006.233</w:t>
        </w:r>
      </w:hyperlink>
      <w:r>
        <w:t xml:space="preserve">.</w:t>
      </w:r>
    </w:p>
    <w:bookmarkEnd w:id="86"/>
    <w:bookmarkStart w:id="88" w:name="ref-graphstsource"/>
    <w:p>
      <w:pPr>
        <w:pStyle w:val="Bibliography"/>
      </w:pPr>
      <w:r>
        <w:t xml:space="preserve">GraphST developers. 2026.</w:t>
      </w:r>
      <w:r>
        <w:t xml:space="preserve"> </w:t>
      </w:r>
      <w:r>
        <w:t xml:space="preserve">“</w:t>
      </w:r>
      <w:r>
        <w:t xml:space="preserve">GraphST</w:t>
      </w:r>
      <w:r>
        <w:t xml:space="preserve"> </w:t>
      </w:r>
      <w:r>
        <w:t xml:space="preserve">Official Source Repository.”</w:t>
      </w:r>
      <w:r>
        <w:t xml:space="preserve"> </w:t>
      </w:r>
      <w:hyperlink r:id="rId87">
        <w:r>
          <w:rPr>
            <w:rStyle w:val="Hyperlink"/>
          </w:rPr>
          <w:t xml:space="preserve">https://github.com/JinmiaoChenLab/GraphST</w:t>
        </w:r>
      </w:hyperlink>
      <w:r>
        <w:t xml:space="preserve">.</w:t>
      </w:r>
    </w:p>
    <w:bookmarkEnd w:id="88"/>
    <w:bookmarkStart w:id="90" w:name="ref-han2018coteaching"/>
    <w:p>
      <w:pPr>
        <w:pStyle w:val="Bibliography"/>
      </w:pPr>
      <w:r>
        <w:t xml:space="preserve">Han, Bo, Quanming Yao, Xingrui Yu, Gang Niu, Miao Xu, Weihua Hu, Ivor Tsang, and Masashi Sugiyama. 2018.</w:t>
      </w:r>
      <w:r>
        <w:t xml:space="preserve"> </w:t>
      </w:r>
      <w:r>
        <w:t xml:space="preserve">“Co-Teaching: Robust Training of Deep Neural Networks with Extremely Noisy Labels.”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Advances in Neural Information Processing Systems</w:t>
      </w:r>
      <w:r>
        <w:t xml:space="preserve">. Vol. 31.</w:t>
      </w:r>
      <w:r>
        <w:t xml:space="preserve"> </w:t>
      </w:r>
      <w:hyperlink r:id="rId89">
        <w:r>
          <w:rPr>
            <w:rStyle w:val="Hyperlink"/>
          </w:rPr>
          <w:t xml:space="preserve">https://proceedings.neurips.cc/paper_files/paper/2018/hash/a19744e268754fb0148b017647355b7b-Abstract.html</w:t>
        </w:r>
      </w:hyperlink>
      <w:r>
        <w:t xml:space="preserve">.</w:t>
      </w:r>
    </w:p>
    <w:bookmarkEnd w:id="90"/>
    <w:bookmarkStart w:id="92" w:name="ref-hu2021"/>
    <w:p>
      <w:pPr>
        <w:pStyle w:val="Bibliography"/>
      </w:pPr>
      <w:r>
        <w:t xml:space="preserve">Hu, Jian et al. 2021.</w:t>
      </w:r>
      <w:r>
        <w:t xml:space="preserve"> </w:t>
      </w:r>
      <w:r>
        <w:t xml:space="preserve">“</w:t>
      </w:r>
      <w:r>
        <w:t xml:space="preserve">SpaGCN</w:t>
      </w:r>
      <w:r>
        <w:t xml:space="preserve">: Integrating Gene Expression, Spatial Location and Histology to Identify Spatial Domains and Spatially Variable Genes by Graph Convolutional Network.”</w:t>
      </w:r>
      <w:r>
        <w:t xml:space="preserve"> </w:t>
      </w:r>
      <w:r>
        <w:rPr>
          <w:i/>
          <w:iCs/>
        </w:rPr>
        <w:t xml:space="preserve">Nature Methods</w:t>
      </w:r>
      <w:r>
        <w:t xml:space="preserve"> </w:t>
      </w:r>
      <w:r>
        <w:t xml:space="preserve">18: 1342–51.</w:t>
      </w:r>
      <w:r>
        <w:t xml:space="preserve"> </w:t>
      </w:r>
      <w:hyperlink r:id="rId91">
        <w:r>
          <w:rPr>
            <w:rStyle w:val="Hyperlink"/>
          </w:rPr>
          <w:t xml:space="preserve">https://doi.org/10.1038/s41592-021-01255-8</w:t>
        </w:r>
      </w:hyperlink>
      <w:r>
        <w:t xml:space="preserve">.</w:t>
      </w:r>
    </w:p>
    <w:bookmarkEnd w:id="92"/>
    <w:bookmarkStart w:id="94" w:name="ref-hu2019topology"/>
    <w:p>
      <w:pPr>
        <w:pStyle w:val="Bibliography"/>
      </w:pPr>
      <w:r>
        <w:t xml:space="preserve">Hu, Xiaoling, Fuxin Li, Dimitris Samaras, and Chao Chen. 2019.</w:t>
      </w:r>
      <w:r>
        <w:t xml:space="preserve"> </w:t>
      </w:r>
      <w:r>
        <w:t xml:space="preserve">“Topology-Preserving Deep Image Segmentation.”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Advances in Neural Information Processing Systems</w:t>
      </w:r>
      <w:r>
        <w:t xml:space="preserve">. Vol. 32.</w:t>
      </w:r>
      <w:r>
        <w:t xml:space="preserve"> </w:t>
      </w:r>
      <w:hyperlink r:id="rId93">
        <w:r>
          <w:rPr>
            <w:rStyle w:val="Hyperlink"/>
          </w:rPr>
          <w:t xml:space="preserve">https://proceedings.neurips.cc/paper/2019/hash/2d95666e2649fcfc6e3af75e09f5adb9-Abstract.html</w:t>
        </w:r>
      </w:hyperlink>
      <w:r>
        <w:t xml:space="preserve">.</w:t>
      </w:r>
    </w:p>
    <w:bookmarkEnd w:id="94"/>
    <w:bookmarkStart w:id="96" w:name="ref-hot2026buildings"/>
    <w:p>
      <w:pPr>
        <w:pStyle w:val="Bibliography"/>
      </w:pPr>
      <w:r>
        <w:t xml:space="preserve">Humanitarian OpenStreetMap Team. 2026.</w:t>
      </w:r>
      <w:r>
        <w:t xml:space="preserve"> </w:t>
      </w:r>
      <w:r>
        <w:t xml:space="preserve">“</w:t>
      </w:r>
      <w:r>
        <w:t xml:space="preserve">HOT</w:t>
      </w:r>
      <w:r>
        <w:t xml:space="preserve"> </w:t>
      </w:r>
      <w:r>
        <w:t xml:space="preserve">Very-High-Resolution Building Segmentation Dataset.”</w:t>
      </w:r>
      <w:r>
        <w:t xml:space="preserve"> </w:t>
      </w:r>
      <w:r>
        <w:t xml:space="preserve">Hugging Face Datasets.</w:t>
      </w:r>
      <w:r>
        <w:t xml:space="preserve"> </w:t>
      </w:r>
      <w:hyperlink r:id="rId95">
        <w:r>
          <w:rPr>
            <w:rStyle w:val="Hyperlink"/>
          </w:rPr>
          <w:t xml:space="preserve">https://huggingface.co/datasets/hotosm/vhr-building-segmentation</w:t>
        </w:r>
      </w:hyperlink>
      <w:r>
        <w:t xml:space="preserve">.</w:t>
      </w:r>
    </w:p>
    <w:bookmarkEnd w:id="96"/>
    <w:bookmarkStart w:id="98" w:name="ref-isprssemantic"/>
    <w:p>
      <w:pPr>
        <w:pStyle w:val="Bibliography"/>
      </w:pPr>
      <w:r>
        <w:t xml:space="preserve">International Society for Photogrammetry and Remote Sensing. n.d.</w:t>
      </w:r>
      <w:r>
        <w:t xml:space="preserve"> </w:t>
      </w:r>
      <w:r>
        <w:t xml:space="preserve">“</w:t>
      </w:r>
      <w:r>
        <w:t xml:space="preserve">2D Semantic Labeling Contest: Vaihingen and Potsdam</w:t>
      </w:r>
      <w:r>
        <w:t xml:space="preserve">.”</w:t>
      </w:r>
      <w:r>
        <w:t xml:space="preserve"> </w:t>
      </w:r>
      <w:r>
        <w:t xml:space="preserve">Urban Modelling and Semantic Labelling Benchmark.</w:t>
      </w:r>
      <w:r>
        <w:t xml:space="preserve"> </w:t>
      </w:r>
      <w:hyperlink r:id="rId97">
        <w:r>
          <w:rPr>
            <w:rStyle w:val="Hyperlink"/>
          </w:rPr>
          <w:t xml:space="preserve">https://www.isprs.org/resources/datasets/benchmarks/UrbanSemLab/semantic-labeling.aspx</w:t>
        </w:r>
      </w:hyperlink>
      <w:r>
        <w:t xml:space="preserve">.</w:t>
      </w:r>
    </w:p>
    <w:bookmarkEnd w:id="98"/>
    <w:bookmarkStart w:id="100" w:name="ref-ke2022masktransfiner"/>
    <w:p>
      <w:pPr>
        <w:pStyle w:val="Bibliography"/>
      </w:pPr>
      <w:r>
        <w:t xml:space="preserve">Ke, Lei, Martin Danelljan, Xia Li, Yu-Wing Tai, Chi-Keung Tang, and Fisher Yu. 2022.</w:t>
      </w:r>
      <w:r>
        <w:t xml:space="preserve"> </w:t>
      </w:r>
      <w:r>
        <w:t xml:space="preserve">“Mask Transfiner for High-Quality Instance Segmentation.”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Proceedings of the IEEE/CVF Conference on Computer Vision and Pattern Recognition</w:t>
      </w:r>
      <w:r>
        <w:t xml:space="preserve">, 4412–21.</w:t>
      </w:r>
      <w:r>
        <w:t xml:space="preserve"> </w:t>
      </w:r>
      <w:hyperlink r:id="rId99">
        <w:r>
          <w:rPr>
            <w:rStyle w:val="Hyperlink"/>
          </w:rPr>
          <w:t xml:space="preserve">https://openaccess.thecvf.com/content/CVPR2022/html/Ke_Mask_Transfiner_for_High-Quality_Instance_Segmentation_CVPR_2022_paper.html</w:t>
        </w:r>
      </w:hyperlink>
      <w:r>
        <w:t xml:space="preserve">.</w:t>
      </w:r>
    </w:p>
    <w:bookmarkEnd w:id="100"/>
    <w:bookmarkStart w:id="102" w:name="ref-kirillov2020pointrend"/>
    <w:p>
      <w:pPr>
        <w:pStyle w:val="Bibliography"/>
      </w:pPr>
      <w:r>
        <w:t xml:space="preserve">Kirillov, Alexander, Yuxin Wu, Kaiming He, and Ross Girshick. 2020.</w:t>
      </w:r>
      <w:r>
        <w:t xml:space="preserve"> </w:t>
      </w:r>
      <w:r>
        <w:t xml:space="preserve">“</w:t>
      </w:r>
      <w:r>
        <w:t xml:space="preserve">PointRend</w:t>
      </w:r>
      <w:r>
        <w:t xml:space="preserve">: Image Segmentation as Rendering.”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Proceedings of the IEEE/CVF Conference on Computer Vision and Pattern Recognition</w:t>
      </w:r>
      <w:r>
        <w:t xml:space="preserve">, 9799–9808.</w:t>
      </w:r>
      <w:r>
        <w:t xml:space="preserve"> </w:t>
      </w:r>
      <w:hyperlink r:id="rId101">
        <w:r>
          <w:rPr>
            <w:rStyle w:val="Hyperlink"/>
          </w:rPr>
          <w:t xml:space="preserve">https://openaccess.thecvf.com/content_CVPR_2020/html/Kirillov_PointRend_Image_Segmentation_As_Rendering_CVPR_2020_paper.html</w:t>
        </w:r>
      </w:hyperlink>
      <w:r>
        <w:t xml:space="preserve">.</w:t>
      </w:r>
    </w:p>
    <w:bookmarkEnd w:id="102"/>
    <w:bookmarkStart w:id="103" w:name="ref-krahenbuhl2011"/>
    <w:p>
      <w:pPr>
        <w:pStyle w:val="Bibliography"/>
      </w:pPr>
      <w:r>
        <w:t xml:space="preserve">Krähenbühl, Philipp, and Vladlen Koltun. 2011.</w:t>
      </w:r>
      <w:r>
        <w:t xml:space="preserve"> </w:t>
      </w:r>
      <w:r>
        <w:t xml:space="preserve">“Efficient Inference in Fully Connected</w:t>
      </w:r>
      <w:r>
        <w:t xml:space="preserve"> </w:t>
      </w:r>
      <w:r>
        <w:t xml:space="preserve">CRF</w:t>
      </w:r>
      <w:r>
        <w:t xml:space="preserve">s with Gaussian Edge Potentials.”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Advances in Neural Information Processing Systems</w:t>
      </w:r>
      <w:r>
        <w:t xml:space="preserve">. Vol. 24.</w:t>
      </w:r>
    </w:p>
    <w:bookmarkEnd w:id="103"/>
    <w:bookmarkStart w:id="105" w:name="ref-li2022bass"/>
    <w:p>
      <w:pPr>
        <w:pStyle w:val="Bibliography"/>
      </w:pPr>
      <w:r>
        <w:t xml:space="preserve">Li, Zheng, and Xiang Zhou. 2022.</w:t>
      </w:r>
      <w:r>
        <w:t xml:space="preserve"> </w:t>
      </w:r>
      <w:r>
        <w:t xml:space="preserve">“</w:t>
      </w:r>
      <w:r>
        <w:t xml:space="preserve">BASS</w:t>
      </w:r>
      <w:r>
        <w:t xml:space="preserve">: Multi-Scale and Multi-Sample Analysis Enables Accurate Cell Type Clustering and Spatial Domain Detection in Spatial Transcriptomic Studies.”</w:t>
      </w:r>
      <w:r>
        <w:t xml:space="preserve"> </w:t>
      </w:r>
      <w:r>
        <w:rPr>
          <w:i/>
          <w:iCs/>
        </w:rPr>
        <w:t xml:space="preserve">Genome Biology</w:t>
      </w:r>
      <w:r>
        <w:t xml:space="preserve"> </w:t>
      </w:r>
      <w:r>
        <w:t xml:space="preserve">23: 168.</w:t>
      </w:r>
      <w:r>
        <w:t xml:space="preserve"> </w:t>
      </w:r>
      <w:hyperlink r:id="rId104">
        <w:r>
          <w:rPr>
            <w:rStyle w:val="Hyperlink"/>
          </w:rPr>
          <w:t xml:space="preserve">https://doi.org/10.1186/s13059-022-02734-7</w:t>
        </w:r>
      </w:hyperlink>
      <w:r>
        <w:t xml:space="preserve">.</w:t>
      </w:r>
    </w:p>
    <w:bookmarkEnd w:id="105"/>
    <w:bookmarkStart w:id="107" w:name="ref-liu2022adele"/>
    <w:p>
      <w:pPr>
        <w:pStyle w:val="Bibliography"/>
      </w:pPr>
      <w:r>
        <w:t xml:space="preserve">Liu, Sheng, Kangning Liu, Weicheng Zhu, Yiqiu Shen, and Carlos Fernandez-Granda. 2022.</w:t>
      </w:r>
      <w:r>
        <w:t xml:space="preserve"> </w:t>
      </w:r>
      <w:r>
        <w:t xml:space="preserve">“Adaptive Early-Learning Correction for Segmentation from Noisy Annotations.”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Proceedings of the IEEE/CVF Conference on Computer Vision and Pattern Recognition</w:t>
      </w:r>
      <w:r>
        <w:t xml:space="preserve">, 2606–16.</w:t>
      </w:r>
      <w:r>
        <w:t xml:space="preserve"> </w:t>
      </w:r>
      <w:hyperlink r:id="rId106">
        <w:r>
          <w:rPr>
            <w:rStyle w:val="Hyperlink"/>
          </w:rPr>
          <w:t xml:space="preserve">https://openaccess.thecvf.com/content/CVPR2022/html/Liu_Adaptive_Early-Learning_Correction_for_Segmentation_From_Noisy_Annotations_CVPR_2022_paper.html</w:t>
        </w:r>
      </w:hyperlink>
      <w:r>
        <w:t xml:space="preserve">.</w:t>
      </w:r>
    </w:p>
    <w:bookmarkEnd w:id="107"/>
    <w:bookmarkStart w:id="109" w:name="ref-long2023"/>
    <w:p>
      <w:pPr>
        <w:pStyle w:val="Bibliography"/>
      </w:pPr>
      <w:r>
        <w:t xml:space="preserve">Long, Yahui et al. 2023.</w:t>
      </w:r>
      <w:r>
        <w:t xml:space="preserve"> </w:t>
      </w:r>
      <w:r>
        <w:t xml:space="preserve">“Spatially Informed Clustering, Integration, and Deconvolution of Spatial Transcriptomics with</w:t>
      </w:r>
      <w:r>
        <w:t xml:space="preserve"> </w:t>
      </w:r>
      <w:r>
        <w:t xml:space="preserve">GraphST</w:t>
      </w:r>
      <w:r>
        <w:t xml:space="preserve">.”</w:t>
      </w:r>
      <w:r>
        <w:t xml:space="preserve"> </w:t>
      </w:r>
      <w:r>
        <w:rPr>
          <w:i/>
          <w:iCs/>
        </w:rPr>
        <w:t xml:space="preserve">Nature Communications</w:t>
      </w:r>
      <w:r>
        <w:t xml:space="preserve"> </w:t>
      </w:r>
      <w:r>
        <w:t xml:space="preserve">14: 1155.</w:t>
      </w:r>
      <w:r>
        <w:t xml:space="preserve"> </w:t>
      </w:r>
      <w:hyperlink r:id="rId108">
        <w:r>
          <w:rPr>
            <w:rStyle w:val="Hyperlink"/>
          </w:rPr>
          <w:t xml:space="preserve">https://doi.org/10.1038/s41467-023-36796-3</w:t>
        </w:r>
      </w:hyperlink>
      <w:r>
        <w:t xml:space="preserve">.</w:t>
      </w:r>
    </w:p>
    <w:bookmarkEnd w:id="109"/>
    <w:bookmarkStart w:id="111" w:name="ref-maynard2021"/>
    <w:p>
      <w:pPr>
        <w:pStyle w:val="Bibliography"/>
      </w:pPr>
      <w:r>
        <w:t xml:space="preserve">Maynard, Kristen R. et al. 2021.</w:t>
      </w:r>
      <w:r>
        <w:t xml:space="preserve"> </w:t>
      </w:r>
      <w:r>
        <w:t xml:space="preserve">“Transcriptome-Scale Spatial Gene Expression in the Human Dorsolateral Prefrontal Cortex.”</w:t>
      </w:r>
      <w:r>
        <w:t xml:space="preserve"> </w:t>
      </w:r>
      <w:r>
        <w:rPr>
          <w:i/>
          <w:iCs/>
        </w:rPr>
        <w:t xml:space="preserve">Nature Neuroscience</w:t>
      </w:r>
      <w:r>
        <w:t xml:space="preserve"> </w:t>
      </w:r>
      <w:r>
        <w:t xml:space="preserve">24: 425–36.</w:t>
      </w:r>
      <w:r>
        <w:t xml:space="preserve"> </w:t>
      </w:r>
      <w:hyperlink r:id="rId110">
        <w:r>
          <w:rPr>
            <w:rStyle w:val="Hyperlink"/>
          </w:rPr>
          <w:t xml:space="preserve">https://doi.org/10.1038/s41593-020-00787-0</w:t>
        </w:r>
      </w:hyperlink>
      <w:r>
        <w:t xml:space="preserve">.</w:t>
      </w:r>
    </w:p>
    <w:bookmarkEnd w:id="111"/>
    <w:bookmarkStart w:id="113" w:name="ref-moffitt2018"/>
    <w:p>
      <w:pPr>
        <w:pStyle w:val="Bibliography"/>
      </w:pPr>
      <w:r>
        <w:t xml:space="preserve">Moffitt, Jeffrey R. et al. 2018.</w:t>
      </w:r>
      <w:r>
        <w:t xml:space="preserve"> </w:t>
      </w:r>
      <w:r>
        <w:t xml:space="preserve">“Molecular, Spatial, and Functional Single-Cell Profiling of the Hypothalamic Preoptic Region.”</w:t>
      </w:r>
      <w:r>
        <w:t xml:space="preserve"> </w:t>
      </w:r>
      <w:r>
        <w:rPr>
          <w:i/>
          <w:iCs/>
        </w:rPr>
        <w:t xml:space="preserve">Science</w:t>
      </w:r>
      <w:r>
        <w:t xml:space="preserve"> </w:t>
      </w:r>
      <w:r>
        <w:t xml:space="preserve">362 (6416): eaau5324.</w:t>
      </w:r>
      <w:r>
        <w:t xml:space="preserve"> </w:t>
      </w:r>
      <w:hyperlink r:id="rId112">
        <w:r>
          <w:rPr>
            <w:rStyle w:val="Hyperlink"/>
          </w:rPr>
          <w:t xml:space="preserve">https://doi.org/10.1126/science.aau5324</w:t>
        </w:r>
      </w:hyperlink>
      <w:r>
        <w:t xml:space="preserve">.</w:t>
      </w:r>
    </w:p>
    <w:bookmarkEnd w:id="113"/>
    <w:bookmarkStart w:id="115" w:name="ref-moon2001"/>
    <w:p>
      <w:pPr>
        <w:pStyle w:val="Bibliography"/>
      </w:pPr>
      <w:r>
        <w:t xml:space="preserve">Moon, Bongki, H. V. Jagadish, Christos Faloutsos, and Joel H. Saltz. 2001.</w:t>
      </w:r>
      <w:r>
        <w:t xml:space="preserve"> </w:t>
      </w:r>
      <w:r>
        <w:t xml:space="preserve">“Analysis of the Clustering Properties of the</w:t>
      </w:r>
      <w:r>
        <w:t xml:space="preserve"> </w:t>
      </w:r>
      <w:r>
        <w:t xml:space="preserve">Hilbert</w:t>
      </w:r>
      <w:r>
        <w:t xml:space="preserve"> </w:t>
      </w:r>
      <w:r>
        <w:t xml:space="preserve">Space-Filling Curve.”</w:t>
      </w:r>
      <w:r>
        <w:t xml:space="preserve"> </w:t>
      </w:r>
      <w:r>
        <w:rPr>
          <w:i/>
          <w:iCs/>
        </w:rPr>
        <w:t xml:space="preserve">IEEE Transactions on Knowledge and Data Engineering</w:t>
      </w:r>
      <w:r>
        <w:t xml:space="preserve"> </w:t>
      </w:r>
      <w:r>
        <w:t xml:space="preserve">13 (1): 124–41.</w:t>
      </w:r>
      <w:r>
        <w:t xml:space="preserve"> </w:t>
      </w:r>
      <w:hyperlink r:id="rId114">
        <w:r>
          <w:rPr>
            <w:rStyle w:val="Hyperlink"/>
          </w:rPr>
          <w:t xml:space="preserve">https://doi.org/10.1109/69.908985</w:t>
        </w:r>
      </w:hyperlink>
      <w:r>
        <w:t xml:space="preserve">.</w:t>
      </w:r>
    </w:p>
    <w:bookmarkEnd w:id="115"/>
    <w:bookmarkStart w:id="117" w:name="ref-northcutt2021"/>
    <w:p>
      <w:pPr>
        <w:pStyle w:val="Bibliography"/>
      </w:pPr>
      <w:r>
        <w:t xml:space="preserve">Northcutt, Curtis G., Lu Jiang, and Isaac L. Chuang. 2021.</w:t>
      </w:r>
      <w:r>
        <w:t xml:space="preserve"> </w:t>
      </w:r>
      <w:r>
        <w:t xml:space="preserve">“Confident Learning: Estimating Uncertainty in Dataset Labels.”</w:t>
      </w:r>
      <w:r>
        <w:t xml:space="preserve"> </w:t>
      </w:r>
      <w:r>
        <w:rPr>
          <w:i/>
          <w:iCs/>
        </w:rPr>
        <w:t xml:space="preserve">Journal of Artificial Intelligence Research</w:t>
      </w:r>
      <w:r>
        <w:t xml:space="preserve"> </w:t>
      </w:r>
      <w:r>
        <w:t xml:space="preserve">70: 1373–1411.</w:t>
      </w:r>
      <w:r>
        <w:t xml:space="preserve"> </w:t>
      </w:r>
      <w:hyperlink r:id="rId116">
        <w:r>
          <w:rPr>
            <w:rStyle w:val="Hyperlink"/>
          </w:rPr>
          <w:t xml:space="preserve">https://doi.org/10.1613/jair.1.12125</w:t>
        </w:r>
      </w:hyperlink>
      <w:r>
        <w:t xml:space="preserve">.</w:t>
      </w:r>
    </w:p>
    <w:bookmarkEnd w:id="117"/>
    <w:bookmarkStart w:id="119" w:name="ref-pardo2022"/>
    <w:p>
      <w:pPr>
        <w:pStyle w:val="Bibliography"/>
      </w:pPr>
      <w:r>
        <w:t xml:space="preserve">Pardo, Brenda et al. 2022.</w:t>
      </w:r>
      <w:r>
        <w:t xml:space="preserve"> </w:t>
      </w:r>
      <w:r>
        <w:t xml:space="preserve">“</w:t>
      </w:r>
      <w:r>
        <w:t xml:space="preserve">spatialLIBD</w:t>
      </w:r>
      <w:r>
        <w:t xml:space="preserve">: An</w:t>
      </w:r>
      <w:r>
        <w:t xml:space="preserve"> </w:t>
      </w:r>
      <w:r>
        <w:t xml:space="preserve">R/Bioconductor</w:t>
      </w:r>
      <w:r>
        <w:t xml:space="preserve"> </w:t>
      </w:r>
      <w:r>
        <w:t xml:space="preserve">Package to Visualize Spatially-Resolved Transcriptomics Data.”</w:t>
      </w:r>
      <w:r>
        <w:t xml:space="preserve"> </w:t>
      </w:r>
      <w:r>
        <w:rPr>
          <w:i/>
          <w:iCs/>
        </w:rPr>
        <w:t xml:space="preserve">BMC Genomics</w:t>
      </w:r>
      <w:r>
        <w:t xml:space="preserve"> </w:t>
      </w:r>
      <w:r>
        <w:t xml:space="preserve">23: 434.</w:t>
      </w:r>
      <w:r>
        <w:t xml:space="preserve"> </w:t>
      </w:r>
      <w:hyperlink r:id="rId118">
        <w:r>
          <w:rPr>
            <w:rStyle w:val="Hyperlink"/>
          </w:rPr>
          <w:t xml:space="preserve">https://doi.org/10.1186/s12864-022-08601-w</w:t>
        </w:r>
      </w:hyperlink>
      <w:r>
        <w:t xml:space="preserve">.</w:t>
      </w:r>
    </w:p>
    <w:bookmarkEnd w:id="119"/>
    <w:bookmarkStart w:id="121" w:name="ref-parkhi2012"/>
    <w:p>
      <w:pPr>
        <w:pStyle w:val="Bibliography"/>
      </w:pPr>
      <w:r>
        <w:t xml:space="preserve">Parkhi, Omkar M., Andrea Vedaldi, Andrew Zisserman, and C. V. Jawahar. 2012.</w:t>
      </w:r>
      <w:r>
        <w:t xml:space="preserve"> </w:t>
      </w:r>
      <w:r>
        <w:t xml:space="preserve">“Cats and Dogs.”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2012 IEEE Conference on Computer Vision and Pattern Recognition</w:t>
      </w:r>
      <w:r>
        <w:t xml:space="preserve">, 3498–3505.</w:t>
      </w:r>
      <w:r>
        <w:t xml:space="preserve"> </w:t>
      </w:r>
      <w:hyperlink r:id="rId120">
        <w:r>
          <w:rPr>
            <w:rStyle w:val="Hyperlink"/>
          </w:rPr>
          <w:t xml:space="preserve">https://doi.org/10.1109/CVPR.2012.6248092</w:t>
        </w:r>
      </w:hyperlink>
      <w:r>
        <w:t xml:space="preserve">.</w:t>
      </w:r>
    </w:p>
    <w:bookmarkEnd w:id="121"/>
    <w:bookmarkStart w:id="123" w:name="ref-patrini2017"/>
    <w:p>
      <w:pPr>
        <w:pStyle w:val="Bibliography"/>
      </w:pPr>
      <w:r>
        <w:t xml:space="preserve">Patrini, Giorgio, Alessandro Rozza, Aditya Krishna Menon, Richard Nock, and Lizhen Qu. 2017.</w:t>
      </w:r>
      <w:r>
        <w:t xml:space="preserve"> </w:t>
      </w:r>
      <w:r>
        <w:t xml:space="preserve">“Making Deep Neural Networks Robust to Label Noise: A Loss Correction Approach.”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Proceedings of the IEEE Conference on Computer Vision and Pattern Recognition</w:t>
      </w:r>
      <w:r>
        <w:t xml:space="preserve">, 1944–52.</w:t>
      </w:r>
      <w:r>
        <w:t xml:space="preserve"> </w:t>
      </w:r>
      <w:hyperlink r:id="rId122">
        <w:r>
          <w:rPr>
            <w:rStyle w:val="Hyperlink"/>
          </w:rPr>
          <w:t xml:space="preserve">https://openaccess.thecvf.com/content_cvpr_2017/html/Patrini_Making_Deep_Neural_CVPR_2017_paper.html</w:t>
        </w:r>
      </w:hyperlink>
      <w:r>
        <w:t xml:space="preserve">.</w:t>
      </w:r>
    </w:p>
    <w:bookmarkEnd w:id="123"/>
    <w:bookmarkStart w:id="124" w:name="ref-rockafellar2000"/>
    <w:p>
      <w:pPr>
        <w:pStyle w:val="Bibliography"/>
      </w:pPr>
      <w:r>
        <w:t xml:space="preserve">Rockafellar, R. Tyrrell, and Stanislav Uryasev. 2000.</w:t>
      </w:r>
      <w:r>
        <w:t xml:space="preserve"> </w:t>
      </w:r>
      <w:r>
        <w:t xml:space="preserve">“Optimization of Conditional Value-at-Risk.”</w:t>
      </w:r>
      <w:r>
        <w:t xml:space="preserve"> </w:t>
      </w:r>
      <w:r>
        <w:rPr>
          <w:i/>
          <w:iCs/>
        </w:rPr>
        <w:t xml:space="preserve">Journal of Risk</w:t>
      </w:r>
      <w:r>
        <w:t xml:space="preserve"> </w:t>
      </w:r>
      <w:r>
        <w:t xml:space="preserve">2 (3): 21–41.</w:t>
      </w:r>
    </w:p>
    <w:bookmarkEnd w:id="124"/>
    <w:bookmarkStart w:id="126" w:name="ref-rother2004"/>
    <w:p>
      <w:pPr>
        <w:pStyle w:val="Bibliography"/>
      </w:pPr>
      <w:r>
        <w:t xml:space="preserve">Rother, Carsten, Vladimir Kolmogorov, and Andrew Blake. 2004.</w:t>
      </w:r>
      <w:r>
        <w:t xml:space="preserve"> </w:t>
      </w:r>
      <w:r>
        <w:t xml:space="preserve">“</w:t>
      </w:r>
      <w:r>
        <w:t xml:space="preserve">GrabCut</w:t>
      </w:r>
      <w:r>
        <w:t xml:space="preserve">: Interactive Foreground Extraction Using Iterated Graph Cuts.”</w:t>
      </w:r>
      <w:r>
        <w:t xml:space="preserve"> </w:t>
      </w:r>
      <w:r>
        <w:rPr>
          <w:i/>
          <w:iCs/>
        </w:rPr>
        <w:t xml:space="preserve">ACM Transactions on Graphics</w:t>
      </w:r>
      <w:r>
        <w:t xml:space="preserve"> </w:t>
      </w:r>
      <w:r>
        <w:t xml:space="preserve">23 (3): 309–14.</w:t>
      </w:r>
      <w:r>
        <w:t xml:space="preserve"> </w:t>
      </w:r>
      <w:hyperlink r:id="rId125">
        <w:r>
          <w:rPr>
            <w:rStyle w:val="Hyperlink"/>
          </w:rPr>
          <w:t xml:space="preserve">https://doi.org/10.1145/1015706.1015720</w:t>
        </w:r>
      </w:hyperlink>
      <w:r>
        <w:t xml:space="preserve">.</w:t>
      </w:r>
    </w:p>
    <w:bookmarkEnd w:id="126"/>
    <w:bookmarkStart w:id="127" w:name="ref-sagan1994"/>
    <w:p>
      <w:pPr>
        <w:pStyle w:val="Bibliography"/>
      </w:pPr>
      <w:r>
        <w:t xml:space="preserve">Sagan, Hans. 1994.</w:t>
      </w:r>
      <w:r>
        <w:t xml:space="preserve"> </w:t>
      </w:r>
      <w:r>
        <w:rPr>
          <w:i/>
          <w:iCs/>
        </w:rPr>
        <w:t xml:space="preserve">Space-Filling Curves</w:t>
      </w:r>
      <w:r>
        <w:t xml:space="preserve">. New York: Springer.</w:t>
      </w:r>
    </w:p>
    <w:bookmarkEnd w:id="127"/>
    <w:bookmarkStart w:id="128" w:name="ref-serra1982"/>
    <w:p>
      <w:pPr>
        <w:pStyle w:val="Bibliography"/>
      </w:pPr>
      <w:r>
        <w:t xml:space="preserve">Serra, Jean. 1982.</w:t>
      </w:r>
      <w:r>
        <w:t xml:space="preserve"> </w:t>
      </w:r>
      <w:r>
        <w:rPr>
          <w:i/>
          <w:iCs/>
        </w:rPr>
        <w:t xml:space="preserve">Image Analysis and Mathematical Morphology</w:t>
      </w:r>
      <w:r>
        <w:t xml:space="preserve">. London: Academic Press.</w:t>
      </w:r>
    </w:p>
    <w:bookmarkEnd w:id="128"/>
    <w:bookmarkStart w:id="130" w:name="ref-shit2021cldice"/>
    <w:p>
      <w:pPr>
        <w:pStyle w:val="Bibliography"/>
      </w:pPr>
      <w:r>
        <w:t xml:space="preserve">Shit, Suprosanna, Johannes C. Paetzold, Anjany Sekuboyina, Ivan Ezhov, Alexander Unger, Andrey Zhylka, Josien P. W. Pluim, Ulrich Bauer, and Bjoern H. Menze. 2021.</w:t>
      </w:r>
      <w:r>
        <w:t xml:space="preserve"> </w:t>
      </w:r>
      <w:r>
        <w:t xml:space="preserve">“</w:t>
      </w:r>
      <w:r>
        <w:t xml:space="preserve">clDice</w:t>
      </w:r>
      <w:r>
        <w:t xml:space="preserve">: A Novel Topology-Preserving Loss Function for Tubular Structure Segmentation.”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Proceedings of the IEEE/CVF Conference on Computer Vision and Pattern Recognition</w:t>
      </w:r>
      <w:r>
        <w:t xml:space="preserve">, 16560–69.</w:t>
      </w:r>
      <w:r>
        <w:t xml:space="preserve"> </w:t>
      </w:r>
      <w:hyperlink r:id="rId129">
        <w:r>
          <w:rPr>
            <w:rStyle w:val="Hyperlink"/>
          </w:rPr>
          <w:t xml:space="preserve">https://openaccess.thecvf.com/content/CVPR2021/html/Shit_clDice_-_A_Novel_Topology-Preserving_Loss_Function_for_Tubular_Structure_CVPR_2021_paper.html</w:t>
        </w:r>
      </w:hyperlink>
      <w:r>
        <w:t xml:space="preserve">.</w:t>
      </w:r>
    </w:p>
    <w:bookmarkEnd w:id="130"/>
    <w:bookmarkStart w:id="132" w:name="ref-silbernagel2026rnca"/>
    <w:p>
      <w:pPr>
        <w:pStyle w:val="Bibliography"/>
      </w:pPr>
      <w:r>
        <w:t xml:space="preserve">Silbernagel, Malte, Albert Alonso, Jens Petersen, Bulat Ibragimov, Marleen de Bruijne, and Madeleine K. Wyburd. 2026.</w:t>
      </w:r>
      <w:r>
        <w:t xml:space="preserve"> </w:t>
      </w:r>
      <w:r>
        <w:t xml:space="preserve">“</w:t>
      </w:r>
      <w:r>
        <w:t xml:space="preserve">RNCA</w:t>
      </w:r>
      <w:r>
        <w:t xml:space="preserve">: Self-Repairing Segmentation Masks.”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Proceedings of the 9th International Conference on Medical Imaging with Deep Learning</w:t>
      </w:r>
      <w:r>
        <w:t xml:space="preserve">, 315:2474–95. Proceedings of Machine Learning Research.</w:t>
      </w:r>
      <w:r>
        <w:t xml:space="preserve"> </w:t>
      </w:r>
      <w:hyperlink r:id="rId131">
        <w:r>
          <w:rPr>
            <w:rStyle w:val="Hyperlink"/>
          </w:rPr>
          <w:t xml:space="preserve">https://proceedings.mlr.press/v315/silbernagel26a.html</w:t>
        </w:r>
      </w:hyperlink>
      <w:r>
        <w:t xml:space="preserve">.</w:t>
      </w:r>
    </w:p>
    <w:bookmarkEnd w:id="132"/>
    <w:bookmarkStart w:id="134" w:name="ref-singhal2024"/>
    <w:p>
      <w:pPr>
        <w:pStyle w:val="Bibliography"/>
      </w:pPr>
      <w:r>
        <w:t xml:space="preserve">Singhal, Vidya et al. 2024.</w:t>
      </w:r>
      <w:r>
        <w:t xml:space="preserve"> </w:t>
      </w:r>
      <w:r>
        <w:t xml:space="preserve">“</w:t>
      </w:r>
      <w:r>
        <w:t xml:space="preserve">BANKSY</w:t>
      </w:r>
      <w:r>
        <w:t xml:space="preserve"> </w:t>
      </w:r>
      <w:r>
        <w:t xml:space="preserve">Unifies Cell Typing and Tissue Domain Segmentation for Scalable Spatial Omics Data Analysis.”</w:t>
      </w:r>
      <w:r>
        <w:t xml:space="preserve"> </w:t>
      </w:r>
      <w:r>
        <w:rPr>
          <w:i/>
          <w:iCs/>
        </w:rPr>
        <w:t xml:space="preserve">Nature Genetics</w:t>
      </w:r>
      <w:r>
        <w:t xml:space="preserve"> </w:t>
      </w:r>
      <w:r>
        <w:t xml:space="preserve">56: 431–41.</w:t>
      </w:r>
      <w:r>
        <w:t xml:space="preserve"> </w:t>
      </w:r>
      <w:hyperlink r:id="rId133">
        <w:r>
          <w:rPr>
            <w:rStyle w:val="Hyperlink"/>
          </w:rPr>
          <w:t xml:space="preserve">https://doi.org/10.1038/s41588-024-01664-3</w:t>
        </w:r>
      </w:hyperlink>
      <w:r>
        <w:t xml:space="preserve">.</w:t>
      </w:r>
    </w:p>
    <w:bookmarkEnd w:id="134"/>
    <w:bookmarkStart w:id="136" w:name="ref-soille2003"/>
    <w:p>
      <w:pPr>
        <w:pStyle w:val="Bibliography"/>
      </w:pPr>
      <w:r>
        <w:t xml:space="preserve">Soille, Pierre. 2003.</w:t>
      </w:r>
      <w:r>
        <w:t xml:space="preserve"> </w:t>
      </w:r>
      <w:r>
        <w:rPr>
          <w:i/>
          <w:iCs/>
        </w:rPr>
        <w:t xml:space="preserve">Morphological Image Analysis: Principles and Applications</w:t>
      </w:r>
      <w:r>
        <w:t xml:space="preserve">. 2nd ed. Berlin: Springer.</w:t>
      </w:r>
      <w:r>
        <w:t xml:space="preserve"> </w:t>
      </w:r>
      <w:hyperlink r:id="rId135">
        <w:r>
          <w:rPr>
            <w:rStyle w:val="Hyperlink"/>
          </w:rPr>
          <w:t xml:space="preserve">https://doi.org/10.1007/978-3-662-05088-0</w:t>
        </w:r>
      </w:hyperlink>
      <w:r>
        <w:t xml:space="preserve">.</w:t>
      </w:r>
    </w:p>
    <w:bookmarkEnd w:id="136"/>
    <w:bookmarkStart w:id="138" w:name="ref-spagcnsource"/>
    <w:p>
      <w:pPr>
        <w:pStyle w:val="Bibliography"/>
      </w:pPr>
      <w:r>
        <w:t xml:space="preserve">SpaGCN developers. 2026.</w:t>
      </w:r>
      <w:r>
        <w:t xml:space="preserve"> </w:t>
      </w:r>
      <w:r>
        <w:t xml:space="preserve">“</w:t>
      </w:r>
      <w:r>
        <w:t xml:space="preserve">SpaGCN</w:t>
      </w:r>
      <w:r>
        <w:t xml:space="preserve"> </w:t>
      </w:r>
      <w:r>
        <w:t xml:space="preserve">Official Source Repository.”</w:t>
      </w:r>
      <w:r>
        <w:t xml:space="preserve"> </w:t>
      </w:r>
      <w:hyperlink r:id="rId137">
        <w:r>
          <w:rPr>
            <w:rStyle w:val="Hyperlink"/>
          </w:rPr>
          <w:t xml:space="preserve">https://github.com/jianhuupenn/SpaGCN</w:t>
        </w:r>
      </w:hyperlink>
      <w:r>
        <w:t xml:space="preserve">.</w:t>
      </w:r>
    </w:p>
    <w:bookmarkEnd w:id="138"/>
    <w:bookmarkStart w:id="140" w:name="ref-tang2021bpr"/>
    <w:p>
      <w:pPr>
        <w:pStyle w:val="Bibliography"/>
      </w:pPr>
      <w:r>
        <w:t xml:space="preserve">Tang, Chufeng, Hang Chen, Xiao Li, Jianmin Li, Zhaoxiang Zhang, and Xiaolin Hu. 2021.</w:t>
      </w:r>
      <w:r>
        <w:t xml:space="preserve"> </w:t>
      </w:r>
      <w:r>
        <w:t xml:space="preserve">“Look Closer to Segment Better: Boundary Patch Refinement for Instance Segmentation.”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Proceedings of the IEEE/CVF Conference on Computer Vision and Pattern Recognition</w:t>
      </w:r>
      <w:r>
        <w:t xml:space="preserve">, 13926–35.</w:t>
      </w:r>
      <w:r>
        <w:t xml:space="preserve"> </w:t>
      </w:r>
      <w:hyperlink r:id="rId139">
        <w:r>
          <w:rPr>
            <w:rStyle w:val="Hyperlink"/>
          </w:rPr>
          <w:t xml:space="preserve">https://openaccess.thecvf.com/content/CVPR2021/html/Tang_Look_Closer_To_Segment_Better_Boundary_Patch_Refinement_for_Instance_CVPR_2021_paper.html</w:t>
        </w:r>
      </w:hyperlink>
      <w:r>
        <w:t xml:space="preserve">.</w:t>
      </w:r>
    </w:p>
    <w:bookmarkEnd w:id="140"/>
    <w:bookmarkStart w:id="142" w:name="ref-tanno2019annotators"/>
    <w:p>
      <w:pPr>
        <w:pStyle w:val="Bibliography"/>
      </w:pPr>
      <w:r>
        <w:t xml:space="preserve">Tanno, Ryutaro, Ardavan Saeedi, Swami Sankaranarayanan, Daniel C. Alexander, and Nathan Silberman. 2019.</w:t>
      </w:r>
      <w:r>
        <w:t xml:space="preserve"> </w:t>
      </w:r>
      <w:r>
        <w:t xml:space="preserve">“Learning from Noisy Labels by Regularized Estimation of Annotator Confusion.”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Proceedings of the IEEE/CVF Conference on Computer Vision and Pattern Recognition</w:t>
      </w:r>
      <w:r>
        <w:t xml:space="preserve">, 11244–53.</w:t>
      </w:r>
      <w:r>
        <w:t xml:space="preserve"> </w:t>
      </w:r>
      <w:hyperlink r:id="rId141">
        <w:r>
          <w:rPr>
            <w:rStyle w:val="Hyperlink"/>
          </w:rPr>
          <w:t xml:space="preserve">https://openaccess.thecvf.com/content_CVPR_2019/html/Tanno_Learning_From_Noisy_Labels_by_Regularized_Estimation_of_Annotator_Confusion_CVPR_2019_paper.html</w:t>
        </w:r>
      </w:hyperlink>
      <w:r>
        <w:t xml:space="preserve">.</w:t>
      </w:r>
    </w:p>
    <w:bookmarkEnd w:id="142"/>
    <w:bookmarkStart w:id="144" w:name="ref-wang2023segrefiner"/>
    <w:p>
      <w:pPr>
        <w:pStyle w:val="Bibliography"/>
      </w:pPr>
      <w:r>
        <w:t xml:space="preserve">Wang, Mengyu, Henghui Ding, Jun Hao Liew, Jiajun Liu, Yao Zhao, and Yunchao Wei. 2023.</w:t>
      </w:r>
      <w:r>
        <w:t xml:space="preserve"> </w:t>
      </w:r>
      <w:r>
        <w:t xml:space="preserve">“</w:t>
      </w:r>
      <w:r>
        <w:t xml:space="preserve">SegRefiner</w:t>
      </w:r>
      <w:r>
        <w:t xml:space="preserve">: Towards Model-Agnostic Segmentation Refinement with Discrete Diffusion Process.”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Advances in Neural Information Processing Systems</w:t>
      </w:r>
      <w:r>
        <w:t xml:space="preserve">. Vol. 36.</w:t>
      </w:r>
      <w:r>
        <w:t xml:space="preserve"> </w:t>
      </w:r>
      <w:hyperlink r:id="rId143">
        <w:r>
          <w:rPr>
            <w:rStyle w:val="Hyperlink"/>
          </w:rPr>
          <w:t xml:space="preserve">https://papers.neurips.cc/paper_files/paper/2023/hash/fc0cc55dca3d791c4a0bb2d8ddeefe4f-Abstract-Conference.html</w:t>
        </w:r>
      </w:hyperlink>
      <w:r>
        <w:t xml:space="preserve">.</w:t>
      </w:r>
    </w:p>
    <w:bookmarkEnd w:id="144"/>
    <w:bookmarkStart w:id="146" w:name="ref-warfield2004"/>
    <w:p>
      <w:pPr>
        <w:pStyle w:val="Bibliography"/>
      </w:pPr>
      <w:r>
        <w:t xml:space="preserve">Warfield, Simon K., Kelly H. Zou, and William M. Wells. 2004.</w:t>
      </w:r>
      <w:r>
        <w:t xml:space="preserve"> </w:t>
      </w:r>
      <w:r>
        <w:t xml:space="preserve">“Simultaneous Truth and Performance Level Estimation (</w:t>
      </w:r>
      <w:r>
        <w:t xml:space="preserve">STAPLE</w:t>
      </w:r>
      <w:r>
        <w:t xml:space="preserve">): An Algorithm for the Validation of Image Segmentation.”</w:t>
      </w:r>
      <w:r>
        <w:t xml:space="preserve"> </w:t>
      </w:r>
      <w:r>
        <w:rPr>
          <w:i/>
          <w:iCs/>
        </w:rPr>
        <w:t xml:space="preserve">IEEE Transactions on Medical Imaging</w:t>
      </w:r>
      <w:r>
        <w:t xml:space="preserve"> </w:t>
      </w:r>
      <w:r>
        <w:t xml:space="preserve">23 (7): 903–21.</w:t>
      </w:r>
      <w:r>
        <w:t xml:space="preserve"> </w:t>
      </w:r>
      <w:hyperlink r:id="rId145">
        <w:r>
          <w:rPr>
            <w:rStyle w:val="Hyperlink"/>
          </w:rPr>
          <w:t xml:space="preserve">https://doi.org/10.1109/TMI.2004.828354</w:t>
        </w:r>
      </w:hyperlink>
      <w:r>
        <w:t xml:space="preserve">.</w:t>
      </w:r>
    </w:p>
    <w:bookmarkEnd w:id="146"/>
    <w:bookmarkStart w:id="148" w:name="ref-yao2023spatialcorrection"/>
    <w:p>
      <w:pPr>
        <w:pStyle w:val="Bibliography"/>
      </w:pPr>
      <w:r>
        <w:t xml:space="preserve">Yao, Jiachen, Yikai Zhang, Songzhu Zheng, Mayank Goswami, Prateek Prasanna, and Chao Chen. 2023.</w:t>
      </w:r>
      <w:r>
        <w:t xml:space="preserve"> </w:t>
      </w:r>
      <w:r>
        <w:t xml:space="preserve">“Learning to Segment from Noisy Annotations: A Spatial Correction Approach.”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International Conference on Learning Representations</w:t>
      </w:r>
      <w:r>
        <w:t xml:space="preserve">.</w:t>
      </w:r>
      <w:r>
        <w:t xml:space="preserve"> </w:t>
      </w:r>
      <w:hyperlink r:id="rId147">
        <w:r>
          <w:rPr>
            <w:rStyle w:val="Hyperlink"/>
          </w:rPr>
          <w:t xml:space="preserve">https://openreview.net/forum?id=Qc_OopMEBnC</w:t>
        </w:r>
      </w:hyperlink>
      <w:r>
        <w:t xml:space="preserve">.</w:t>
      </w:r>
    </w:p>
    <w:bookmarkEnd w:id="148"/>
    <w:bookmarkStart w:id="150" w:name="ref-ye2021pointnoise"/>
    <w:p>
      <w:pPr>
        <w:pStyle w:val="Bibliography"/>
      </w:pPr>
      <w:r>
        <w:t xml:space="preserve">Ye, Shuquan, Dongdong Chen, Songfang Han, and Jing Liao. 2021.</w:t>
      </w:r>
      <w:r>
        <w:t xml:space="preserve"> </w:t>
      </w:r>
      <w:r>
        <w:t xml:space="preserve">“Learning with Noisy Labels for Robust Point Cloud Segmentation.”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Proceedings of the IEEE/CVF International Conference on Computer Vision</w:t>
      </w:r>
      <w:r>
        <w:t xml:space="preserve">, 6443–52.</w:t>
      </w:r>
      <w:r>
        <w:t xml:space="preserve"> </w:t>
      </w:r>
      <w:hyperlink r:id="rId149">
        <w:r>
          <w:rPr>
            <w:rStyle w:val="Hyperlink"/>
          </w:rPr>
          <w:t xml:space="preserve">https://openaccess.thecvf.com/content/ICCV2021/html/Ye_Learning_With_Noisy_Labels_for_Robust_Point_Cloud_Segmentation_ICCV_2021_paper.html</w:t>
        </w:r>
      </w:hyperlink>
      <w:r>
        <w:t xml:space="preserve">.</w:t>
      </w:r>
    </w:p>
    <w:bookmarkEnd w:id="150"/>
    <w:bookmarkStart w:id="152" w:name="ref-yuan2020segfix"/>
    <w:p>
      <w:pPr>
        <w:pStyle w:val="Bibliography"/>
      </w:pPr>
      <w:r>
        <w:t xml:space="preserve">Yuan, Yuhui, Jingyi Xie, Xilin Chen, and Jingdong Wang. 2020.</w:t>
      </w:r>
      <w:r>
        <w:t xml:space="preserve"> </w:t>
      </w:r>
      <w:r>
        <w:t xml:space="preserve">“</w:t>
      </w:r>
      <w:r>
        <w:t xml:space="preserve">SegFix</w:t>
      </w:r>
      <w:r>
        <w:t xml:space="preserve">: Model-Agnostic Boundary Refinement for Segmentation.”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Computer Vision – ECCV 2020</w:t>
      </w:r>
      <w:r>
        <w:t xml:space="preserve">, 489–506.</w:t>
      </w:r>
      <w:r>
        <w:t xml:space="preserve"> </w:t>
      </w:r>
      <w:hyperlink r:id="rId151">
        <w:r>
          <w:rPr>
            <w:rStyle w:val="Hyperlink"/>
          </w:rPr>
          <w:t xml:space="preserve">https://www.ecva.net/papers/eccv_2020/papers_ECCV/papers/123570477.pdf</w:t>
        </w:r>
      </w:hyperlink>
      <w:r>
        <w:t xml:space="preserve">.</w:t>
      </w:r>
    </w:p>
    <w:bookmarkEnd w:id="152"/>
    <w:bookmarkStart w:id="154" w:name="ref-zhang2023annotators"/>
    <w:p>
      <w:pPr>
        <w:pStyle w:val="Bibliography"/>
      </w:pPr>
      <w:r>
        <w:t xml:space="preserve">Zhang, Le, Ryutaro Tanno, Moucheng Xu, Yawen Huang, Kevin Bronik, Chen Jin, Joseph Jacob, et al. 2023.</w:t>
      </w:r>
      <w:r>
        <w:t xml:space="preserve"> </w:t>
      </w:r>
      <w:r>
        <w:t xml:space="preserve">“Learning from Multiple Annotators for Medical Image Segmentation.”</w:t>
      </w:r>
      <w:r>
        <w:t xml:space="preserve"> </w:t>
      </w:r>
      <w:r>
        <w:rPr>
          <w:i/>
          <w:iCs/>
        </w:rPr>
        <w:t xml:space="preserve">Pattern Recognition</w:t>
      </w:r>
      <w:r>
        <w:t xml:space="preserve"> </w:t>
      </w:r>
      <w:r>
        <w:t xml:space="preserve">138: 109400.</w:t>
      </w:r>
      <w:r>
        <w:t xml:space="preserve"> </w:t>
      </w:r>
      <w:hyperlink r:id="rId153">
        <w:r>
          <w:rPr>
            <w:rStyle w:val="Hyperlink"/>
          </w:rPr>
          <w:t xml:space="preserve">https://doi.org/10.1016/j.patcog.2023.109400</w:t>
        </w:r>
      </w:hyperlink>
      <w:r>
        <w:t xml:space="preserve">.</w:t>
      </w:r>
    </w:p>
    <w:bookmarkEnd w:id="154"/>
    <w:bookmarkStart w:id="156" w:name="ref-zhao2021"/>
    <w:p>
      <w:pPr>
        <w:pStyle w:val="Bibliography"/>
      </w:pPr>
      <w:r>
        <w:t xml:space="preserve">Zhao, Edward et al. 2021.</w:t>
      </w:r>
      <w:r>
        <w:t xml:space="preserve"> </w:t>
      </w:r>
      <w:r>
        <w:t xml:space="preserve">“Spatial Transcriptomics at Subspot Resolution with</w:t>
      </w:r>
      <w:r>
        <w:t xml:space="preserve"> </w:t>
      </w:r>
      <w:r>
        <w:t xml:space="preserve">BayesSpace</w:t>
      </w:r>
      <w:r>
        <w:t xml:space="preserve">.”</w:t>
      </w:r>
      <w:r>
        <w:t xml:space="preserve"> </w:t>
      </w:r>
      <w:r>
        <w:rPr>
          <w:i/>
          <w:iCs/>
        </w:rPr>
        <w:t xml:space="preserve">Nature Biotechnology</w:t>
      </w:r>
      <w:r>
        <w:t xml:space="preserve"> </w:t>
      </w:r>
      <w:r>
        <w:t xml:space="preserve">39: 1375–84.</w:t>
      </w:r>
      <w:r>
        <w:t xml:space="preserve"> </w:t>
      </w:r>
      <w:hyperlink r:id="rId155">
        <w:r>
          <w:rPr>
            <w:rStyle w:val="Hyperlink"/>
          </w:rPr>
          <w:t xml:space="preserve">https://doi.org/10.1038/s41587-021-00935-2</w:t>
        </w:r>
      </w:hyperlink>
      <w:r>
        <w:t xml:space="preserve">.</w:t>
      </w:r>
    </w:p>
    <w:bookmarkEnd w:id="156"/>
    <w:bookmarkStart w:id="158" w:name="ref-zheng2015crfrnn"/>
    <w:p>
      <w:pPr>
        <w:pStyle w:val="Bibliography"/>
      </w:pPr>
      <w:r>
        <w:t xml:space="preserve">Zheng, Shuai, Sadeep Jayasumana, Bernardino Romera-Paredes, Vibhav Vineet, Zhizhong Su, Dalong Du, Chang Huang, and Philip H. S. Torr. 2015.</w:t>
      </w:r>
      <w:r>
        <w:t xml:space="preserve"> </w:t>
      </w:r>
      <w:r>
        <w:t xml:space="preserve">“Conditional Random Fields as Recurrent Neural Networks.”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Proceedings of the IEEE International Conference on Computer Vision</w:t>
      </w:r>
      <w:r>
        <w:t xml:space="preserve">, 1529–37.</w:t>
      </w:r>
      <w:r>
        <w:t xml:space="preserve"> </w:t>
      </w:r>
      <w:hyperlink r:id="rId157">
        <w:r>
          <w:rPr>
            <w:rStyle w:val="Hyperlink"/>
          </w:rPr>
          <w:t xml:space="preserve">https://openaccess.thecvf.com/content_iccv_2015/html/Zheng_Conditional_Random_Fields_ICCV_2015_paper.html</w:t>
        </w:r>
      </w:hyperlink>
      <w:r>
        <w:t xml:space="preserve">.</w:t>
      </w:r>
    </w:p>
    <w:bookmarkEnd w:id="158"/>
    <w:bookmarkStart w:id="159" w:name="ref-zhu2003"/>
    <w:p>
      <w:pPr>
        <w:pStyle w:val="Bibliography"/>
      </w:pPr>
      <w:r>
        <w:t xml:space="preserve">Zhu, Xiaojin, Zoubin Ghahramani, and John D. Lafferty. 2003.</w:t>
      </w:r>
      <w:r>
        <w:t xml:space="preserve"> </w:t>
      </w:r>
      <w:r>
        <w:t xml:space="preserve">“Semi-Supervised Learning Using</w:t>
      </w:r>
      <w:r>
        <w:t xml:space="preserve"> </w:t>
      </w:r>
      <w:r>
        <w:t xml:space="preserve">Gaussian</w:t>
      </w:r>
      <w:r>
        <w:t xml:space="preserve"> </w:t>
      </w:r>
      <w:r>
        <w:t xml:space="preserve">Fields and Harmonic Functions.”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Proceedings of the 20th International Conference on Machine Learning</w:t>
      </w:r>
      <w:r>
        <w:t xml:space="preserve">, 912–19.</w:t>
      </w:r>
    </w:p>
    <w:bookmarkEnd w:id="159"/>
    <w:bookmarkEnd w:id="160"/>
    <w:bookmarkEnd w:id="161"/>
    <w:sectPr>
      <w:headerReference w:type="default" r:id="rId9"/>
      <w:footerReference w:type="default" r:id="rId10"/>
      <w:type w:val="continuous"/>
      <w:pgSz w:w="12240" w:h="15840"/>
      <w:pgMar w:top="1224" w:bottom="1152" w:left="1296" w:right="1296" w:header="504" w:footer="50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F6B78"/>
        <w:sz w:val="16"/>
      </w:rPr>
      <w:fldChar w:fldCharType="begin"/>
      <w:instrText xml:space="preserve"> PAGE 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5F6B78"/>
        <w:sz w:val="16"/>
      </w:rPr>
      <w:t>FiberMargin | JMLR manuscript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widowControl/>
      <w:spacing w:after="160" w:line="300" w:lineRule="auto"/>
      <w:jc w:val="both"/>
    </w:pPr>
    <w:rPr>
      <w:rFonts w:ascii="Calibri" w:hAnsi="Calibri" w:eastAsia="Calibri"/>
      <w:color w:val="172233"/>
      <w:sz w:val="22"/>
    </w:rPr>
  </w:style>
  <w:style w:styleId="BodyText" w:type="paragraph">
    <w:name w:val="Body Text"/>
    <w:basedOn w:val="Normal"/>
    <w:link w:val="BodyTextChar"/>
    <w:qFormat/>
    <w:pPr>
      <w:widowControl/>
      <w:spacing w:after="160" w:before="180" w:line="300" w:lineRule="auto"/>
      <w:jc w:val="both"/>
    </w:pPr>
    <w:rPr>
      <w:rFonts w:ascii="Calibri" w:hAnsi="Calibri" w:eastAsia="Calibri"/>
      <w:color w:val="172233"/>
      <w:sz w:val="22"/>
    </w:rPr>
  </w:style>
  <w:style w:customStyle="1" w:styleId="FirstParagraph" w:type="paragraph">
    <w:name w:val="First Paragraph"/>
    <w:basedOn w:val="BodyText"/>
    <w:next w:val="BodyText"/>
    <w:qFormat/>
    <w:pPr>
      <w:widowControl/>
      <w:spacing w:after="160" w:line="300" w:lineRule="auto"/>
      <w:jc w:val="both"/>
    </w:pPr>
    <w:rPr>
      <w:rFonts w:ascii="Calibri" w:hAnsi="Calibri" w:eastAsia="Calibri"/>
      <w:color w:val="172233"/>
      <w:sz w:val="22"/>
    </w:rPr>
  </w:style>
  <w:style w:customStyle="1" w:styleId="Compact" w:type="paragraph">
    <w:name w:val="Compact"/>
    <w:basedOn w:val="BodyText"/>
    <w:qFormat/>
    <w:pPr>
      <w:spacing w:after="60" w:before="36" w:line="276" w:lineRule="auto"/>
    </w:pPr>
    <w:rPr>
      <w:rFonts w:ascii="Calibri" w:hAnsi="Calibri" w:eastAsia="Calibri"/>
      <w:color w:val="172233"/>
      <w:sz w:val="21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keepNext/>
      <w:spacing w:after="200" w:line="240" w:lineRule="auto"/>
      <w:contextualSpacing/>
      <w:jc w:val="center"/>
    </w:pPr>
    <w:rPr>
      <w:rFonts w:asciiTheme="majorHAnsi" w:cstheme="majorBidi" w:eastAsiaTheme="majorEastAsia" w:hAnsiTheme="majorHAnsi" w:ascii="Calibri" w:hAnsi="Calibri" w:eastAsia="Calibri"/>
      <w:b/>
      <w:color w:val="172233"/>
      <w:spacing w:val="-10"/>
      <w:kern w:val="28"/>
      <w:sz w:val="4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spacing w:after="80"/>
      <w:jc w:val="center"/>
    </w:pPr>
    <w:rPr>
      <w:rFonts w:ascii="Calibri" w:hAnsi="Calibri" w:eastAsia="Calibri"/>
      <w:b/>
      <w:color w:val="1F4E79"/>
      <w:sz w:val="21"/>
    </w:r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>
      <w:keepNext w:val="0"/>
      <w:keepLines w:val="0"/>
      <w:spacing w:after="100" w:line="252" w:lineRule="auto"/>
      <w:ind w:left="360" w:hanging="360"/>
      <w:jc w:val="left"/>
    </w:pPr>
    <w:rPr>
      <w:rFonts w:ascii="Calibri" w:hAnsi="Calibri" w:eastAsia="Calibri"/>
      <w:color w:val="172233"/>
      <w:sz w:val="19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60" w:before="360"/>
      <w:outlineLvl w:val="0"/>
    </w:pPr>
    <w:rPr>
      <w:rFonts w:asciiTheme="majorHAnsi" w:cstheme="majorBidi" w:eastAsiaTheme="majorEastAsia" w:hAnsiTheme="majorHAnsi" w:ascii="Calibri" w:hAnsi="Calibri" w:eastAsia="Calibri"/>
      <w:b/>
      <w:color w:val="1F4E79"/>
      <w:sz w:val="32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20" w:before="240"/>
      <w:outlineLvl w:val="1"/>
    </w:pPr>
    <w:rPr>
      <w:rFonts w:asciiTheme="majorHAnsi" w:cstheme="majorBidi" w:eastAsiaTheme="majorEastAsia" w:hAnsiTheme="majorHAnsi" w:ascii="Calibri" w:hAnsi="Calibri" w:eastAsia="Calibri"/>
      <w:b/>
      <w:color w:val="1F4E79"/>
      <w:sz w:val="26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80"/>
      <w:outlineLvl w:val="2"/>
    </w:pPr>
    <w:rPr>
      <w:rFonts w:cstheme="majorBidi" w:eastAsiaTheme="majorEastAsia" w:ascii="Calibri" w:hAnsi="Calibri" w:eastAsia="Calibri"/>
      <w:b/>
      <w:color w:val="172233"/>
      <w:sz w:val="23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 w:eastAsia="Consolas"/>
      <w:color w:val="172233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pacing w:before="80" w:after="0" w:line="240" w:lineRule="auto"/>
      <w:ind w:left="259"/>
      <w:jc w:val="left"/>
    </w:pPr>
    <w:rPr>
      <w:rFonts w:ascii="Consolas" w:hAnsi="Consolas" w:eastAsia="Consolas"/>
      <w:color w:val="172233"/>
      <w:sz w:val="18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45" Type="http://schemas.openxmlformats.org/officeDocument/2006/relationships/image" Target="media/rId45.png"/><Relationship Id="rId52" Type="http://schemas.openxmlformats.org/officeDocument/2006/relationships/image" Target="media/rId52.png"/><Relationship Id="rId41" Type="http://schemas.openxmlformats.org/officeDocument/2006/relationships/image" Target="media/rId41.png"/><Relationship Id="rId135" Type="http://schemas.openxmlformats.org/officeDocument/2006/relationships/hyperlink" Target="https://doi.org/10.1007/978-3-662-05088-0" TargetMode="External"/><Relationship Id="rId83" Type="http://schemas.openxmlformats.org/officeDocument/2006/relationships/hyperlink" Target="https://doi.org/10.1007/s10994-006-6226-1" TargetMode="External"/><Relationship Id="rId153" Type="http://schemas.openxmlformats.org/officeDocument/2006/relationships/hyperlink" Target="https://doi.org/10.1016/j.patcog.2023.109400" TargetMode="External"/><Relationship Id="rId72" Type="http://schemas.openxmlformats.org/officeDocument/2006/relationships/hyperlink" Target="https://doi.org/10.1016/j.patrec.2008.04.005" TargetMode="External"/><Relationship Id="rId108" Type="http://schemas.openxmlformats.org/officeDocument/2006/relationships/hyperlink" Target="https://doi.org/10.1038/s41467-023-36796-3" TargetMode="External"/><Relationship Id="rId155" Type="http://schemas.openxmlformats.org/officeDocument/2006/relationships/hyperlink" Target="https://doi.org/10.1038/s41587-021-00935-2" TargetMode="External"/><Relationship Id="rId133" Type="http://schemas.openxmlformats.org/officeDocument/2006/relationships/hyperlink" Target="https://doi.org/10.1038/s41588-024-01664-3" TargetMode="External"/><Relationship Id="rId91" Type="http://schemas.openxmlformats.org/officeDocument/2006/relationships/hyperlink" Target="https://doi.org/10.1038/s41592-021-01255-8" TargetMode="External"/><Relationship Id="rId110" Type="http://schemas.openxmlformats.org/officeDocument/2006/relationships/hyperlink" Target="https://doi.org/10.1038/s41593-020-00787-0" TargetMode="External"/><Relationship Id="rId62" Type="http://schemas.openxmlformats.org/officeDocument/2006/relationships/hyperlink" Target="https://doi.org/10.1101/2025.05.28.656544" TargetMode="External"/><Relationship Id="rId70" Type="http://schemas.openxmlformats.org/officeDocument/2006/relationships/hyperlink" Target="https://doi.org/10.1109/34.969114" TargetMode="External"/><Relationship Id="rId114" Type="http://schemas.openxmlformats.org/officeDocument/2006/relationships/hyperlink" Target="https://doi.org/10.1109/69.908985" TargetMode="External"/><Relationship Id="rId120" Type="http://schemas.openxmlformats.org/officeDocument/2006/relationships/hyperlink" Target="https://doi.org/10.1109/CVPR.2012.6248092" TargetMode="External"/><Relationship Id="rId64" Type="http://schemas.openxmlformats.org/officeDocument/2006/relationships/hyperlink" Target="https://doi.org/10.1109/CVPR.2016.170" TargetMode="External"/><Relationship Id="rId145" Type="http://schemas.openxmlformats.org/officeDocument/2006/relationships/hyperlink" Target="https://doi.org/10.1109/TMI.2004.828354" TargetMode="External"/><Relationship Id="rId81" Type="http://schemas.openxmlformats.org/officeDocument/2006/relationships/hyperlink" Target="https://doi.org/10.1109/TPAMI.1984.4767596" TargetMode="External"/><Relationship Id="rId85" Type="http://schemas.openxmlformats.org/officeDocument/2006/relationships/hyperlink" Target="https://doi.org/10.1109/TPAMI.2006.233" TargetMode="External"/><Relationship Id="rId112" Type="http://schemas.openxmlformats.org/officeDocument/2006/relationships/hyperlink" Target="https://doi.org/10.1126/science.aau5324" TargetMode="External"/><Relationship Id="rId125" Type="http://schemas.openxmlformats.org/officeDocument/2006/relationships/hyperlink" Target="https://doi.org/10.1145/1015706.1015720" TargetMode="External"/><Relationship Id="rId118" Type="http://schemas.openxmlformats.org/officeDocument/2006/relationships/hyperlink" Target="https://doi.org/10.1186/s12864-022-08601-w" TargetMode="External"/><Relationship Id="rId104" Type="http://schemas.openxmlformats.org/officeDocument/2006/relationships/hyperlink" Target="https://doi.org/10.1186/s13059-022-02734-7" TargetMode="External"/><Relationship Id="rId116" Type="http://schemas.openxmlformats.org/officeDocument/2006/relationships/hyperlink" Target="https://doi.org/10.1613/jair.1.12125" TargetMode="External"/><Relationship Id="rId78" Type="http://schemas.openxmlformats.org/officeDocument/2006/relationships/hyperlink" Target="https://doi.org/10.2307/2346806" TargetMode="External"/><Relationship Id="rId87" Type="http://schemas.openxmlformats.org/officeDocument/2006/relationships/hyperlink" Target="https://github.com/JinmiaoChenLab/GraphST" TargetMode="External"/><Relationship Id="rId137" Type="http://schemas.openxmlformats.org/officeDocument/2006/relationships/hyperlink" Target="https://github.com/jianhuupenn/SpaGCN" TargetMode="External"/><Relationship Id="rId95" Type="http://schemas.openxmlformats.org/officeDocument/2006/relationships/hyperlink" Target="https://huggingface.co/datasets/hotosm/vhr-building-segmentation" TargetMode="External"/><Relationship Id="rId74" Type="http://schemas.openxmlformats.org/officeDocument/2006/relationships/hyperlink" Target="https://openaccess.thecvf.com/content/CVPR2021/html/Cheng_Boundary_IoU_Improving_Object-Centric_Image_Segmentation_Evaluation_CVPR_2021_paper.html" TargetMode="External"/><Relationship Id="rId129" Type="http://schemas.openxmlformats.org/officeDocument/2006/relationships/hyperlink" Target="https://openaccess.thecvf.com/content/CVPR2021/html/Shit_clDice_-_A_Novel_Topology-Preserving_Loss_Function_for_Tubular_Structure_CVPR_2021_paper.html" TargetMode="External"/><Relationship Id="rId139" Type="http://schemas.openxmlformats.org/officeDocument/2006/relationships/hyperlink" Target="https://openaccess.thecvf.com/content/CVPR2021/html/Tang_Look_Closer_To_Segment_Better_Boundary_Patch_Refinement_for_Instance_CVPR_2021_paper.html" TargetMode="External"/><Relationship Id="rId99" Type="http://schemas.openxmlformats.org/officeDocument/2006/relationships/hyperlink" Target="https://openaccess.thecvf.com/content/CVPR2022/html/Ke_Mask_Transfiner_for_High-Quality_Instance_Segmentation_CVPR_2022_paper.html" TargetMode="External"/><Relationship Id="rId106" Type="http://schemas.openxmlformats.org/officeDocument/2006/relationships/hyperlink" Target="https://openaccess.thecvf.com/content/CVPR2022/html/Liu_Adaptive_Early-Learning_Correction_for_Segmentation_From_Noisy_Annotations_CVPR_2022_paper.html" TargetMode="External"/><Relationship Id="rId149" Type="http://schemas.openxmlformats.org/officeDocument/2006/relationships/hyperlink" Target="https://openaccess.thecvf.com/content/ICCV2021/html/Ye_Learning_With_Noisy_Labels_for_Robust_Point_Cloud_Segmentation_ICCV_2021_paper.html" TargetMode="External"/><Relationship Id="rId141" Type="http://schemas.openxmlformats.org/officeDocument/2006/relationships/hyperlink" Target="https://openaccess.thecvf.com/content_CVPR_2019/html/Tanno_Learning_From_Noisy_Labels_by_Regularized_Estimation_of_Annotator_Confusion_CVPR_2019_paper.html" TargetMode="External"/><Relationship Id="rId76" Type="http://schemas.openxmlformats.org/officeDocument/2006/relationships/hyperlink" Target="https://openaccess.thecvf.com/content_CVPR_2020/html/Cheng_CascadePSP_Toward_Class-Agnostic_and_Very_High-Resolution_Segmentation_via_Global_and_CVPR_2020_paper.html" TargetMode="External"/><Relationship Id="rId101" Type="http://schemas.openxmlformats.org/officeDocument/2006/relationships/hyperlink" Target="https://openaccess.thecvf.com/content_CVPR_2020/html/Kirillov_PointRend_Image_Segmentation_As_Rendering_CVPR_2020_paper.html" TargetMode="External"/><Relationship Id="rId122" Type="http://schemas.openxmlformats.org/officeDocument/2006/relationships/hyperlink" Target="https://openaccess.thecvf.com/content_cvpr_2017/html/Patrini_Making_Deep_Neural_CVPR_2017_paper.html" TargetMode="External"/><Relationship Id="rId157" Type="http://schemas.openxmlformats.org/officeDocument/2006/relationships/hyperlink" Target="https://openaccess.thecvf.com/content_iccv_2015/html/Zheng_Conditional_Random_Fields_ICCV_2015_paper.html" TargetMode="External"/><Relationship Id="rId147" Type="http://schemas.openxmlformats.org/officeDocument/2006/relationships/hyperlink" Target="https://openreview.net/forum?id=Qc_OopMEBnC" TargetMode="External"/><Relationship Id="rId143" Type="http://schemas.openxmlformats.org/officeDocument/2006/relationships/hyperlink" Target="https://papers.neurips.cc/paper_files/paper/2023/hash/fc0cc55dca3d791c4a0bb2d8ddeefe4f-Abstract-Conference.html" TargetMode="External"/><Relationship Id="rId131" Type="http://schemas.openxmlformats.org/officeDocument/2006/relationships/hyperlink" Target="https://proceedings.mlr.press/v315/silbernagel26a.html" TargetMode="External"/><Relationship Id="rId66" Type="http://schemas.openxmlformats.org/officeDocument/2006/relationships/hyperlink" Target="https://proceedings.mlr.press/v97/batson19a.html" TargetMode="External"/><Relationship Id="rId93" Type="http://schemas.openxmlformats.org/officeDocument/2006/relationships/hyperlink" Target="https://proceedings.neurips.cc/paper/2019/hash/2d95666e2649fcfc6e3af75e09f5adb9-Abstract.html" TargetMode="External"/><Relationship Id="rId89" Type="http://schemas.openxmlformats.org/officeDocument/2006/relationships/hyperlink" Target="https://proceedings.neurips.cc/paper_files/paper/2018/hash/a19744e268754fb0148b017647355b7b-Abstract.html" TargetMode="External"/><Relationship Id="rId60" Type="http://schemas.openxmlformats.org/officeDocument/2006/relationships/hyperlink" Target="https://www.10xgenomics.com/datasets/visium-hd-cytassist-gene-expression-libraries-of-human-crc-v4" TargetMode="External"/><Relationship Id="rId151" Type="http://schemas.openxmlformats.org/officeDocument/2006/relationships/hyperlink" Target="https://www.ecva.net/papers/eccv_2020/papers_ECCV/papers/123570477.pdf" TargetMode="External"/><Relationship Id="rId97" Type="http://schemas.openxmlformats.org/officeDocument/2006/relationships/hyperlink" Target="https://www.isprs.org/resources/datasets/benchmarks/UrbanSemLab/semantic-labeling.aspx" TargetMode="Externa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135" Type="http://schemas.openxmlformats.org/officeDocument/2006/relationships/hyperlink" Target="https://doi.org/10.1007/978-3-662-05088-0" TargetMode="External"/><Relationship Id="rId83" Type="http://schemas.openxmlformats.org/officeDocument/2006/relationships/hyperlink" Target="https://doi.org/10.1007/s10994-006-6226-1" TargetMode="External"/><Relationship Id="rId153" Type="http://schemas.openxmlformats.org/officeDocument/2006/relationships/hyperlink" Target="https://doi.org/10.1016/j.patcog.2023.109400" TargetMode="External"/><Relationship Id="rId72" Type="http://schemas.openxmlformats.org/officeDocument/2006/relationships/hyperlink" Target="https://doi.org/10.1016/j.patrec.2008.04.005" TargetMode="External"/><Relationship Id="rId108" Type="http://schemas.openxmlformats.org/officeDocument/2006/relationships/hyperlink" Target="https://doi.org/10.1038/s41467-023-36796-3" TargetMode="External"/><Relationship Id="rId155" Type="http://schemas.openxmlformats.org/officeDocument/2006/relationships/hyperlink" Target="https://doi.org/10.1038/s41587-021-00935-2" TargetMode="External"/><Relationship Id="rId133" Type="http://schemas.openxmlformats.org/officeDocument/2006/relationships/hyperlink" Target="https://doi.org/10.1038/s41588-024-01664-3" TargetMode="External"/><Relationship Id="rId91" Type="http://schemas.openxmlformats.org/officeDocument/2006/relationships/hyperlink" Target="https://doi.org/10.1038/s41592-021-01255-8" TargetMode="External"/><Relationship Id="rId110" Type="http://schemas.openxmlformats.org/officeDocument/2006/relationships/hyperlink" Target="https://doi.org/10.1038/s41593-020-00787-0" TargetMode="External"/><Relationship Id="rId62" Type="http://schemas.openxmlformats.org/officeDocument/2006/relationships/hyperlink" Target="https://doi.org/10.1101/2025.05.28.656544" TargetMode="External"/><Relationship Id="rId70" Type="http://schemas.openxmlformats.org/officeDocument/2006/relationships/hyperlink" Target="https://doi.org/10.1109/34.969114" TargetMode="External"/><Relationship Id="rId114" Type="http://schemas.openxmlformats.org/officeDocument/2006/relationships/hyperlink" Target="https://doi.org/10.1109/69.908985" TargetMode="External"/><Relationship Id="rId120" Type="http://schemas.openxmlformats.org/officeDocument/2006/relationships/hyperlink" Target="https://doi.org/10.1109/CVPR.2012.6248092" TargetMode="External"/><Relationship Id="rId64" Type="http://schemas.openxmlformats.org/officeDocument/2006/relationships/hyperlink" Target="https://doi.org/10.1109/CVPR.2016.170" TargetMode="External"/><Relationship Id="rId145" Type="http://schemas.openxmlformats.org/officeDocument/2006/relationships/hyperlink" Target="https://doi.org/10.1109/TMI.2004.828354" TargetMode="External"/><Relationship Id="rId81" Type="http://schemas.openxmlformats.org/officeDocument/2006/relationships/hyperlink" Target="https://doi.org/10.1109/TPAMI.1984.4767596" TargetMode="External"/><Relationship Id="rId85" Type="http://schemas.openxmlformats.org/officeDocument/2006/relationships/hyperlink" Target="https://doi.org/10.1109/TPAMI.2006.233" TargetMode="External"/><Relationship Id="rId112" Type="http://schemas.openxmlformats.org/officeDocument/2006/relationships/hyperlink" Target="https://doi.org/10.1126/science.aau5324" TargetMode="External"/><Relationship Id="rId125" Type="http://schemas.openxmlformats.org/officeDocument/2006/relationships/hyperlink" Target="https://doi.org/10.1145/1015706.1015720" TargetMode="External"/><Relationship Id="rId118" Type="http://schemas.openxmlformats.org/officeDocument/2006/relationships/hyperlink" Target="https://doi.org/10.1186/s12864-022-08601-w" TargetMode="External"/><Relationship Id="rId104" Type="http://schemas.openxmlformats.org/officeDocument/2006/relationships/hyperlink" Target="https://doi.org/10.1186/s13059-022-02734-7" TargetMode="External"/><Relationship Id="rId116" Type="http://schemas.openxmlformats.org/officeDocument/2006/relationships/hyperlink" Target="https://doi.org/10.1613/jair.1.12125" TargetMode="External"/><Relationship Id="rId78" Type="http://schemas.openxmlformats.org/officeDocument/2006/relationships/hyperlink" Target="https://doi.org/10.2307/2346806" TargetMode="External"/><Relationship Id="rId87" Type="http://schemas.openxmlformats.org/officeDocument/2006/relationships/hyperlink" Target="https://github.com/JinmiaoChenLab/GraphST" TargetMode="External"/><Relationship Id="rId137" Type="http://schemas.openxmlformats.org/officeDocument/2006/relationships/hyperlink" Target="https://github.com/jianhuupenn/SpaGCN" TargetMode="External"/><Relationship Id="rId95" Type="http://schemas.openxmlformats.org/officeDocument/2006/relationships/hyperlink" Target="https://huggingface.co/datasets/hotosm/vhr-building-segmentation" TargetMode="External"/><Relationship Id="rId74" Type="http://schemas.openxmlformats.org/officeDocument/2006/relationships/hyperlink" Target="https://openaccess.thecvf.com/content/CVPR2021/html/Cheng_Boundary_IoU_Improving_Object-Centric_Image_Segmentation_Evaluation_CVPR_2021_paper.html" TargetMode="External"/><Relationship Id="rId129" Type="http://schemas.openxmlformats.org/officeDocument/2006/relationships/hyperlink" Target="https://openaccess.thecvf.com/content/CVPR2021/html/Shit_clDice_-_A_Novel_Topology-Preserving_Loss_Function_for_Tubular_Structure_CVPR_2021_paper.html" TargetMode="External"/><Relationship Id="rId139" Type="http://schemas.openxmlformats.org/officeDocument/2006/relationships/hyperlink" Target="https://openaccess.thecvf.com/content/CVPR2021/html/Tang_Look_Closer_To_Segment_Better_Boundary_Patch_Refinement_for_Instance_CVPR_2021_paper.html" TargetMode="External"/><Relationship Id="rId99" Type="http://schemas.openxmlformats.org/officeDocument/2006/relationships/hyperlink" Target="https://openaccess.thecvf.com/content/CVPR2022/html/Ke_Mask_Transfiner_for_High-Quality_Instance_Segmentation_CVPR_2022_paper.html" TargetMode="External"/><Relationship Id="rId106" Type="http://schemas.openxmlformats.org/officeDocument/2006/relationships/hyperlink" Target="https://openaccess.thecvf.com/content/CVPR2022/html/Liu_Adaptive_Early-Learning_Correction_for_Segmentation_From_Noisy_Annotations_CVPR_2022_paper.html" TargetMode="External"/><Relationship Id="rId149" Type="http://schemas.openxmlformats.org/officeDocument/2006/relationships/hyperlink" Target="https://openaccess.thecvf.com/content/ICCV2021/html/Ye_Learning_With_Noisy_Labels_for_Robust_Point_Cloud_Segmentation_ICCV_2021_paper.html" TargetMode="External"/><Relationship Id="rId141" Type="http://schemas.openxmlformats.org/officeDocument/2006/relationships/hyperlink" Target="https://openaccess.thecvf.com/content_CVPR_2019/html/Tanno_Learning_From_Noisy_Labels_by_Regularized_Estimation_of_Annotator_Confusion_CVPR_2019_paper.html" TargetMode="External"/><Relationship Id="rId76" Type="http://schemas.openxmlformats.org/officeDocument/2006/relationships/hyperlink" Target="https://openaccess.thecvf.com/content_CVPR_2020/html/Cheng_CascadePSP_Toward_Class-Agnostic_and_Very_High-Resolution_Segmentation_via_Global_and_CVPR_2020_paper.html" TargetMode="External"/><Relationship Id="rId101" Type="http://schemas.openxmlformats.org/officeDocument/2006/relationships/hyperlink" Target="https://openaccess.thecvf.com/content_CVPR_2020/html/Kirillov_PointRend_Image_Segmentation_As_Rendering_CVPR_2020_paper.html" TargetMode="External"/><Relationship Id="rId122" Type="http://schemas.openxmlformats.org/officeDocument/2006/relationships/hyperlink" Target="https://openaccess.thecvf.com/content_cvpr_2017/html/Patrini_Making_Deep_Neural_CVPR_2017_paper.html" TargetMode="External"/><Relationship Id="rId157" Type="http://schemas.openxmlformats.org/officeDocument/2006/relationships/hyperlink" Target="https://openaccess.thecvf.com/content_iccv_2015/html/Zheng_Conditional_Random_Fields_ICCV_2015_paper.html" TargetMode="External"/><Relationship Id="rId147" Type="http://schemas.openxmlformats.org/officeDocument/2006/relationships/hyperlink" Target="https://openreview.net/forum?id=Qc_OopMEBnC" TargetMode="External"/><Relationship Id="rId143" Type="http://schemas.openxmlformats.org/officeDocument/2006/relationships/hyperlink" Target="https://papers.neurips.cc/paper_files/paper/2023/hash/fc0cc55dca3d791c4a0bb2d8ddeefe4f-Abstract-Conference.html" TargetMode="External"/><Relationship Id="rId131" Type="http://schemas.openxmlformats.org/officeDocument/2006/relationships/hyperlink" Target="https://proceedings.mlr.press/v315/silbernagel26a.html" TargetMode="External"/><Relationship Id="rId66" Type="http://schemas.openxmlformats.org/officeDocument/2006/relationships/hyperlink" Target="https://proceedings.mlr.press/v97/batson19a.html" TargetMode="External"/><Relationship Id="rId93" Type="http://schemas.openxmlformats.org/officeDocument/2006/relationships/hyperlink" Target="https://proceedings.neurips.cc/paper/2019/hash/2d95666e2649fcfc6e3af75e09f5adb9-Abstract.html" TargetMode="External"/><Relationship Id="rId89" Type="http://schemas.openxmlformats.org/officeDocument/2006/relationships/hyperlink" Target="https://proceedings.neurips.cc/paper_files/paper/2018/hash/a19744e268754fb0148b017647355b7b-Abstract.html" TargetMode="External"/><Relationship Id="rId60" Type="http://schemas.openxmlformats.org/officeDocument/2006/relationships/hyperlink" Target="https://www.10xgenomics.com/datasets/visium-hd-cytassist-gene-expression-libraries-of-human-crc-v4" TargetMode="External"/><Relationship Id="rId151" Type="http://schemas.openxmlformats.org/officeDocument/2006/relationships/hyperlink" Target="https://www.ecva.net/papers/eccv_2020/papers_ECCV/papers/123570477.pdf" TargetMode="External"/><Relationship Id="rId97" Type="http://schemas.openxmlformats.org/officeDocument/2006/relationships/hyperlink" Target="https://www.isprs.org/resources/datasets/benchmarks/UrbanSemLab/semantic-labeling.asp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FiberMargin: Two-Sided Path Enclosures for Multiclass Spatial Label Repair</dc:title>
  <dc:creator>Moussa Kassim; Martin Ocharo; Dalia Ahmed; Dupe Ojo; Alessia Vignoli; Leonardo Tenori; Dinesh Gupta; Silvano Piazza; Stefano Cacciatore</dc:creator>
  <cp:keywords>categorical masks; spatial labels; FiberMargin; selective prediction</cp:keywords>
  <dcterms:created xsi:type="dcterms:W3CDTF">2026-08-27T08:20:01Z</dcterms:created>
  <dcterms:modified xsi:type="dcterms:W3CDTF">2026-08-27T08:20:01Z</dcterms:modified>
  <dc:subject>Multiclass spatial label repair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jmlr/fibermargin.bib</vt:lpwstr>
  </property>
  <property fmtid="{D5CDD505-2E9C-101B-9397-08002B2CF9AE}" pid="3" name="link-citations">
    <vt:lpwstr>True</vt:lpwstr>
  </property>
</Properties>
</file>