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Material: FiberMargin</w:t>
      </w:r>
    </w:p>
    <w:p>
      <w:pPr>
        <w:pStyle w:val="Author"/>
        <w:keepNext/>
        <w:tabs>
          <w:tab w:pos="9648" w:val="right"/>
        </w:tabs>
        <w:spacing w:after="80" w:line="252" w:lineRule="auto"/>
        <w:jc w:val="left"/>
      </w:pPr>
      <w:r>
        <w:rPr>
          <w:rFonts w:ascii="Calibri" w:hAnsi="Calibri"/>
          <w:b/>
          <w:color w:val="172233"/>
          <w:sz w:val="21"/>
        </w:rPr>
        <w:t>Moussa Kassim</w:t>
      </w:r>
      <w:r>
        <w:rPr>
          <w:rFonts w:ascii="Calibri" w:hAnsi="Calibri"/>
          <w:color w:val="172233"/>
          <w:sz w:val="16"/>
          <w:vertAlign w:val="superscript"/>
        </w:rPr>
        <w:t>1,2</w:t>
      </w:r>
      <w:r>
        <w:tab/>
      </w:r>
      <w:r>
        <w:rPr>
          <w:rFonts w:ascii="Calibri" w:hAnsi="Calibri"/>
          <w:caps/>
          <w:color w:val="172233"/>
          <w:sz w:val="17"/>
        </w:rPr>
        <w:t>Moussa.Kassim@icgeb.org</w:t>
        <w:br/>
      </w:r>
      <w:r>
        <w:rPr>
          <w:rFonts w:ascii="Calibri" w:hAnsi="Calibri"/>
          <w:b/>
          <w:color w:val="172233"/>
          <w:sz w:val="21"/>
        </w:rPr>
        <w:t>Martin Ocharo</w:t>
      </w:r>
      <w:r>
        <w:rPr>
          <w:rFonts w:ascii="Calibri" w:hAnsi="Calibri"/>
          <w:color w:val="172233"/>
          <w:sz w:val="16"/>
          <w:vertAlign w:val="superscript"/>
        </w:rPr>
        <w:t>1,2</w:t>
      </w:r>
      <w:r>
        <w:tab/>
      </w:r>
      <w:r>
        <w:rPr>
          <w:rFonts w:ascii="Calibri" w:hAnsi="Calibri"/>
          <w:caps/>
          <w:color w:val="172233"/>
          <w:sz w:val="17"/>
        </w:rPr>
        <w:t>Martin.Ocharo@icgeb.org</w:t>
        <w:br/>
      </w:r>
      <w:r>
        <w:rPr>
          <w:rFonts w:ascii="Calibri" w:hAnsi="Calibri"/>
          <w:b/>
          <w:color w:val="172233"/>
          <w:sz w:val="21"/>
        </w:rPr>
        <w:t>Dalia Ahmed</w:t>
      </w:r>
      <w:r>
        <w:rPr>
          <w:rFonts w:ascii="Calibri" w:hAnsi="Calibri"/>
          <w:color w:val="172233"/>
          <w:sz w:val="16"/>
          <w:vertAlign w:val="superscript"/>
        </w:rPr>
        <w:t>1</w:t>
      </w:r>
      <w:r>
        <w:tab/>
      </w:r>
      <w:r>
        <w:rPr>
          <w:rFonts w:ascii="Calibri" w:hAnsi="Calibri"/>
          <w:caps/>
          <w:color w:val="172233"/>
          <w:sz w:val="17"/>
        </w:rPr>
        <w:t>Dalia.Ahmed@icgeb.org</w:t>
        <w:br/>
      </w:r>
      <w:r>
        <w:rPr>
          <w:rFonts w:ascii="Calibri" w:hAnsi="Calibri"/>
          <w:b/>
          <w:color w:val="172233"/>
          <w:sz w:val="21"/>
        </w:rPr>
        <w:t>Dupe Ojo</w:t>
      </w:r>
      <w:r>
        <w:rPr>
          <w:rFonts w:ascii="Calibri" w:hAnsi="Calibri"/>
          <w:color w:val="172233"/>
          <w:sz w:val="16"/>
          <w:vertAlign w:val="superscript"/>
        </w:rPr>
        <w:t>1</w:t>
      </w:r>
      <w:r>
        <w:tab/>
      </w:r>
      <w:r>
        <w:rPr>
          <w:rFonts w:ascii="Calibri" w:hAnsi="Calibri"/>
          <w:caps/>
          <w:color w:val="172233"/>
          <w:sz w:val="17"/>
        </w:rPr>
        <w:t>dupe.ojo@icgeb.org</w:t>
        <w:br/>
      </w:r>
      <w:r>
        <w:rPr>
          <w:rFonts w:ascii="Calibri" w:hAnsi="Calibri"/>
          <w:b/>
          <w:color w:val="172233"/>
          <w:sz w:val="21"/>
        </w:rPr>
        <w:t>Alessia Vignoli</w:t>
      </w:r>
      <w:r>
        <w:rPr>
          <w:rFonts w:ascii="Calibri" w:hAnsi="Calibri"/>
          <w:color w:val="172233"/>
          <w:sz w:val="16"/>
          <w:vertAlign w:val="superscript"/>
        </w:rPr>
        <w:t>3,4</w:t>
      </w:r>
      <w:r>
        <w:tab/>
      </w:r>
      <w:r>
        <w:rPr>
          <w:rFonts w:ascii="Calibri" w:hAnsi="Calibri"/>
          <w:caps/>
          <w:color w:val="172233"/>
          <w:sz w:val="17"/>
        </w:rPr>
        <w:t>vignoli@cerm.unifi.it</w:t>
        <w:br/>
      </w:r>
      <w:r>
        <w:rPr>
          <w:rFonts w:ascii="Calibri" w:hAnsi="Calibri"/>
          <w:b/>
          <w:color w:val="172233"/>
          <w:sz w:val="21"/>
        </w:rPr>
        <w:t>Leonardo Tenori</w:t>
      </w:r>
      <w:r>
        <w:rPr>
          <w:rFonts w:ascii="Calibri" w:hAnsi="Calibri"/>
          <w:color w:val="172233"/>
          <w:sz w:val="16"/>
          <w:vertAlign w:val="superscript"/>
        </w:rPr>
        <w:t>3,4</w:t>
      </w:r>
      <w:r>
        <w:tab/>
      </w:r>
      <w:r>
        <w:rPr>
          <w:rFonts w:ascii="Calibri" w:hAnsi="Calibri"/>
          <w:caps/>
          <w:color w:val="172233"/>
          <w:sz w:val="17"/>
        </w:rPr>
        <w:t>tenori@cerm.unifi.it</w:t>
        <w:br/>
      </w:r>
      <w:r>
        <w:rPr>
          <w:rFonts w:ascii="Calibri" w:hAnsi="Calibri"/>
          <w:b/>
          <w:color w:val="172233"/>
          <w:sz w:val="21"/>
        </w:rPr>
        <w:t>Dinesh Gupta</w:t>
      </w:r>
      <w:r>
        <w:rPr>
          <w:rFonts w:ascii="Calibri" w:hAnsi="Calibri"/>
          <w:color w:val="172233"/>
          <w:sz w:val="16"/>
          <w:vertAlign w:val="superscript"/>
        </w:rPr>
        <w:t>20</w:t>
      </w:r>
      <w:r>
        <w:tab/>
      </w:r>
      <w:r>
        <w:rPr>
          <w:rFonts w:ascii="Calibri" w:hAnsi="Calibri"/>
          <w:caps/>
          <w:color w:val="172233"/>
          <w:sz w:val="17"/>
        </w:rPr>
        <w:t>dinesh.gupta@icgeb.org</w:t>
        <w:br/>
      </w:r>
      <w:r>
        <w:rPr>
          <w:rFonts w:ascii="Calibri" w:hAnsi="Calibri"/>
          <w:b/>
          <w:color w:val="172233"/>
          <w:sz w:val="21"/>
        </w:rPr>
        <w:t>Silvano Piazza</w:t>
      </w:r>
      <w:r>
        <w:rPr>
          <w:rFonts w:ascii="Calibri" w:hAnsi="Calibri"/>
          <w:color w:val="172233"/>
          <w:sz w:val="16"/>
          <w:vertAlign w:val="superscript"/>
        </w:rPr>
        <w:t>21,22</w:t>
      </w:r>
      <w:r>
        <w:tab/>
      </w:r>
      <w:r>
        <w:rPr>
          <w:rFonts w:ascii="Calibri" w:hAnsi="Calibri"/>
          <w:caps/>
          <w:color w:val="172233"/>
          <w:sz w:val="17"/>
        </w:rPr>
        <w:t>piazza@icgeb.org</w:t>
        <w:br/>
      </w:r>
      <w:r>
        <w:rPr>
          <w:rFonts w:ascii="Calibri" w:hAnsi="Calibri"/>
          <w:b/>
          <w:color w:val="172233"/>
          <w:sz w:val="21"/>
        </w:rPr>
        <w:t>Stefano Cacciatore</w:t>
      </w:r>
      <w:r>
        <w:rPr>
          <w:rFonts w:ascii="Calibri" w:hAnsi="Calibri"/>
          <w:color w:val="172233"/>
          <w:sz w:val="16"/>
          <w:vertAlign w:val="superscript"/>
        </w:rPr>
        <w:t>1,2</w:t>
      </w:r>
      <w:r>
        <w:tab/>
      </w:r>
      <w:r>
        <w:rPr>
          <w:rFonts w:ascii="Calibri" w:hAnsi="Calibri"/>
          <w:caps/>
          <w:color w:val="172233"/>
          <w:sz w:val="17"/>
        </w:rPr>
        <w:t>stefano.cacciatore@icgeb.org</w:t>
      </w:r>
    </w:p>
    <w:p>
      <w:pPr>
        <w:pStyle w:val="BodyText"/>
        <w:keepNext/>
        <w:spacing w:after="280" w:line="252" w:lineRule="auto"/>
        <w:jc w:val="left"/>
      </w:pPr>
      <w:r/>
      <w:r>
        <w:rPr>
          <w:rFonts w:ascii="Calibri" w:hAnsi="Calibri"/>
          <w:color w:val="172233"/>
          <w:sz w:val="16"/>
          <w:vertAlign w:val="superscript"/>
        </w:rPr>
        <w:t>1</w:t>
      </w:r>
      <w:r>
        <w:rPr>
          <w:rFonts w:ascii="Calibri" w:hAnsi="Calibri"/>
          <w:i/>
          <w:color w:val="172233"/>
          <w:sz w:val="18"/>
        </w:rPr>
        <w:t>Bioinformatics Unit, International Centre for Genetic Engineering and Biotechnology (ICGEB), Cape Town 7925, South Africa</w:t>
        <w:br/>
      </w:r>
      <w:r>
        <w:rPr>
          <w:rFonts w:ascii="Calibri" w:hAnsi="Calibri"/>
          <w:color w:val="172233"/>
          <w:sz w:val="16"/>
          <w:vertAlign w:val="superscript"/>
        </w:rPr>
        <w:t>2</w:t>
      </w:r>
      <w:r>
        <w:rPr>
          <w:rFonts w:ascii="Calibri" w:hAnsi="Calibri"/>
          <w:i/>
          <w:color w:val="172233"/>
          <w:sz w:val="18"/>
        </w:rPr>
        <w:t>Department of Integrative Biomedical Sciences, Institute of Infectious Disease &amp; Molecular Medicine (IDM), University of Cape Town, Cape Town 7925, South Africa</w:t>
        <w:br/>
      </w:r>
      <w:r>
        <w:rPr>
          <w:rFonts w:ascii="Calibri" w:hAnsi="Calibri"/>
          <w:color w:val="172233"/>
          <w:sz w:val="16"/>
          <w:vertAlign w:val="superscript"/>
        </w:rPr>
        <w:t>3</w:t>
      </w:r>
      <w:r>
        <w:rPr>
          <w:rFonts w:ascii="Calibri" w:hAnsi="Calibri"/>
          <w:i/>
          <w:color w:val="172233"/>
          <w:sz w:val="18"/>
        </w:rPr>
        <w:t>Department of Chemistry "Ugo Schiff", University of Florence, Sesto Fiorentino, Italy</w:t>
        <w:br/>
      </w:r>
      <w:r>
        <w:rPr>
          <w:rFonts w:ascii="Calibri" w:hAnsi="Calibri"/>
          <w:color w:val="172233"/>
          <w:sz w:val="16"/>
          <w:vertAlign w:val="superscript"/>
        </w:rPr>
        <w:t>4</w:t>
      </w:r>
      <w:r>
        <w:rPr>
          <w:rFonts w:ascii="Calibri" w:hAnsi="Calibri"/>
          <w:i/>
          <w:color w:val="172233"/>
          <w:sz w:val="18"/>
        </w:rPr>
        <w:t>Magnetic Resonance Center (CERM), University of Florence, Sesto Fiorentino, Italy</w:t>
        <w:br/>
      </w:r>
      <w:r>
        <w:rPr>
          <w:rFonts w:ascii="Calibri" w:hAnsi="Calibri"/>
          <w:color w:val="172233"/>
          <w:sz w:val="16"/>
          <w:vertAlign w:val="superscript"/>
        </w:rPr>
        <w:t>20</w:t>
      </w:r>
      <w:r>
        <w:rPr>
          <w:rFonts w:ascii="Calibri" w:hAnsi="Calibri"/>
          <w:i/>
          <w:color w:val="172233"/>
          <w:sz w:val="18"/>
        </w:rPr>
        <w:t>Translational Bioinformatics Group, International Centre for Genetic Engineering and Biotechnology (ICGEB), New Delhi, India</w:t>
        <w:br/>
      </w:r>
      <w:r>
        <w:rPr>
          <w:rFonts w:ascii="Calibri" w:hAnsi="Calibri"/>
          <w:color w:val="172233"/>
          <w:sz w:val="16"/>
          <w:vertAlign w:val="superscript"/>
        </w:rPr>
        <w:t>21</w:t>
      </w:r>
      <w:r>
        <w:rPr>
          <w:rFonts w:ascii="Calibri" w:hAnsi="Calibri"/>
          <w:i/>
          <w:color w:val="172233"/>
          <w:sz w:val="18"/>
        </w:rPr>
        <w:t>Computational Biology Group, International Centre for Genetic Engineering and Biotechnology (ICGEB), Trieste, Italy</w:t>
        <w:br/>
      </w:r>
      <w:r>
        <w:rPr>
          <w:rFonts w:ascii="Calibri" w:hAnsi="Calibri"/>
          <w:color w:val="172233"/>
          <w:sz w:val="16"/>
          <w:vertAlign w:val="superscript"/>
        </w:rPr>
        <w:t>22</w:t>
      </w:r>
      <w:r>
        <w:rPr>
          <w:rFonts w:ascii="Calibri" w:hAnsi="Calibri"/>
          <w:i/>
          <w:color w:val="172233"/>
          <w:sz w:val="18"/>
        </w:rPr>
        <w:t>Bioinformatics Facility, Department of Cellular, Computational and Integrative Biology - CIBIO, University of Trento, Trento, Italy</w:t>
      </w:r>
    </w:p>
    <w:bookmarkStart w:id="22" w:name="exact-operator-specification"/>
    <w:p>
      <w:pPr>
        <w:pStyle w:val="Heading1"/>
      </w:pPr>
      <w:r>
        <w:t>S1  Exact operator specification</w:t>
      </w:r>
    </w:p>
    <w:p>
      <w:pPr>
        <w:pStyle w:val="FirstParagraph"/>
      </w:pPr>
      <w:r>
        <w:t xml:space="preserve">This supplement specifies the single production implementation used in the</w:t>
      </w:r>
      <w:r>
        <w:t xml:space="preserve"> </w:t>
      </w:r>
      <w:r>
        <w:t xml:space="preserve">predefined evaluations. The public R function is</w:t>
      </w:r>
      <w:r>
        <w:t xml:space="preserve"> </w:t>
      </w:r>
      <w:r>
        <w:rPr>
          <w:rStyle w:val="VerbatimChar"/>
        </w:rPr>
        <w:t xml:space="preserve">refine_spatial_labels(xy, labels, samples = NULL, workers = NULL)</w:t>
      </w:r>
      <w:r>
        <w:t xml:space="preserve">. It accepts</w:t>
      </w:r>
      <w:r>
        <w:t xml:space="preserve"> </w:t>
      </w:r>
      <w:r>
        <w:t xml:space="preserve">two or three coordinates, one observed categorical field, and optional specimen</w:t>
      </w:r>
      <w:r>
        <w:t xml:space="preserve"> </w:t>
      </w:r>
      <w:r>
        <w:t xml:space="preserve">membership.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is one total native CPU budget and changes execution only;</w:t>
      </w:r>
      <w:r>
        <w:t xml:space="preserve"> </w:t>
      </w:r>
      <w:r>
        <w:t xml:space="preserve">it is not multiplied by the number of specimens.</w:t>
      </w:r>
    </w:p>
    <w:p>
      <w:pPr>
        <w:pStyle w:val="BodyText"/>
      </w:pPr>
      <w:r>
        <w:t xml:space="preserve">Every specimen is processed independently, with a local class encoding. The C++ core first chooses the best</w:t>
      </w:r>
      <w:r>
        <w:t xml:space="preserve"> </w:t>
      </w:r>
      <w:r>
        <w:t xml:space="preserve">candidate class from a rival-versus-observed contrast and changes a label only</w:t>
      </w:r>
      <w:r>
        <w:t xml:space="preserve"> </w:t>
      </w:r>
      <w:r>
        <w:t xml:space="preserve">when that contrast clears its candidate-specific barrier. Exact class-evidence</w:t>
      </w:r>
      <w:r>
        <w:t xml:space="preserve"> </w:t>
      </w:r>
      <w:r>
        <w:t xml:space="preserve">ties retain the observed label.</w:t>
      </w:r>
    </w:p>
    <w:p>
      <w:pPr>
        <w:pStyle w:val="BodyText"/>
      </w:pPr>
      <w:r>
        <w:t xml:space="preserve">For each specimen, zero-range coordinate axes are removed first. Every remaining</w:t>
      </w:r>
      <w:r>
        <w:t xml:space="preserve"> </w:t>
      </w:r>
      <w:r>
        <w:t xml:space="preserve">axis is mapped from its empirical first and ninety-ninth percentiles to the unit</w:t>
      </w:r>
      <w:r>
        <w:t xml:space="preserve"> </w:t>
      </w:r>
      <w:r>
        <w:t xml:space="preserve">interval and then clipped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</m:t>
            </m:r>
            <m:r>
              <m:rPr>
                <m:sty m:val="p"/>
              </m:rPr>
              <m:t>,</m:t>
            </m:r>
            <m:r>
              <m:t>1.1</m:t>
            </m:r>
          </m:e>
        </m:d>
      </m:oMath>
      <w:r>
        <w:t xml:space="preserve">. At least two varying axes must remain.</w:t>
      </w:r>
      <w:r>
        <w:t xml:space="preserve"> </w:t>
      </w:r>
      <w:r>
        <w:t xml:space="preserve">Consequently, constant-</w:t>
      </w:r>
      <m:oMath>
        <m:r>
          <m:t>z</m:t>
        </m:r>
      </m:oMath>
      <w:r>
        <w:t xml:space="preserve"> </w:t>
      </w:r>
      <w:r>
        <w:t xml:space="preserve">input invokes exactly the 2D operator, whereas</w:t>
      </w:r>
      <w:r>
        <w:t xml:space="preserve"> </w:t>
      </w:r>
      <w:r>
        <w:t xml:space="preserve">genuinely three-dimensional input uses all three coordinates. The multiclass</w:t>
      </w:r>
      <w:r>
        <w:t xml:space="preserve"> </w:t>
      </w:r>
      <w:r>
        <w:t xml:space="preserve">implementation is fixed as follows.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Component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Fixed specification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Path atlas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9 rotations in 2D; 12 rotations in 3D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Path index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16-bit Hilbert code after rotation and viewwise unit-box scaling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Reference step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Median positive Euclidean step along a path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Local path gap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Geometric mean of adjacent path steps at an interior location; the available step at an endpoint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Transport action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Query isolation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Calibri" w:hAnsi="Calibri"/>
                <w:sz w:val="16"/>
              </w:rPr>
              <w:t xml:space="preserve">; used only in the acceptance barrier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Source evidence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One unit for the observed class at every source location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Transport range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One fixed range,</w:t>
            </w:r>
            <w:r>
              <w:rPr>
                <w:rFonts w:ascii="Calibri" w:hAnsi="Calibri"/>
                <w:sz w:val="16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Path field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L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R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/>
                <w:sz w:val="16"/>
              </w:rPr>
              <w:t xml:space="preserve">, normalized over classes within each path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Atlas evidence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Mean rival-versus-observed path contrast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Atlas disagreement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{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m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Class adjustment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rad>
            </m:oMath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Acceptance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A distinct candidate is accepted when its margin is at least its barrier</w:t>
            </w:r>
          </w:p>
        </w:tc>
      </w:tr>
    </w:tbl>
    <w:p>
      <w:pPr>
        <w:pStyle w:val="BodyText"/>
      </w:pPr>
      <w:r>
        <w:t xml:space="preserve">At an interior path location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let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Δ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Δ</m:t>
                </m:r>
              </m:e>
              <m:sub>
                <m:r>
                  <m:t>a</m:t>
                </m:r>
                <m:r>
                  <m:t>t</m:t>
                </m:r>
              </m:sub>
            </m:sSub>
          </m:e>
        </m:rad>
      </m:oMath>
      <w:r>
        <w:t xml:space="preserve">; at an endpoint use the available</w:t>
      </w:r>
      <w:r>
        <w:t xml:space="preserve"> </w:t>
      </w:r>
      <w:r>
        <w:t xml:space="preserve">step. The action and isolation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  <w: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  <m:r>
              <m:t>j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}</m:t>
        </m:r>
      </m:oMath>
      <w:r>
        <w:t xml:space="preserve">. With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</m:sub>
          <m:sup>
            <m:r>
              <m:rPr>
                <m:sty m:val="p"/>
              </m:rPr>
              <m:t>+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−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the implemented sums of directed actions, the forward and reverse</w:t>
      </w:r>
      <w:r>
        <w:t xml:space="preserve"> </w:t>
      </w:r>
      <w:r>
        <w:t xml:space="preserve">states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sSub>
                <m:e>
                  <m:r>
                    <m:rPr>
                      <m:sty m:val="p"/>
                    </m:rPr>
                    <m:t>≺</m:t>
                  </m:r>
                </m:e>
                <m:sub>
                  <m:r>
                    <m:t>a</m:t>
                  </m:r>
                </m:sub>
              </m:s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p>
              </m:sSup>
            </m:e>
          </m:nary>
          <m:sSub>
            <m:e>
              <m:r>
                <m:t>z</m:t>
              </m:r>
            </m:e>
            <m:sub>
              <m:r>
                <m:t>a</m:t>
              </m:r>
              <m:r>
                <m:t>j</m:t>
              </m:r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sSub>
                <m:e>
                  <m:r>
                    <m:rPr>
                      <m:sty m:val="p"/>
                    </m:rPr>
                    <m:t>≻</m:t>
                  </m:r>
                </m:e>
                <m:sub>
                  <m:r>
                    <m:t>a</m:t>
                  </m:r>
                </m:sub>
              </m:s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p>
              </m:sSup>
            </m:e>
          </m:nary>
          <m:sSub>
            <m:e>
              <m:r>
                <m:t>z</m:t>
              </m:r>
            </m:e>
            <m:sub>
              <m:r>
                <m:t>a</m:t>
              </m:r>
              <m:r>
                <m:t>j</m:t>
              </m:r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strict path inequalities encode leave-self-out evidence: the observed label</w:t>
      </w:r>
      <w:r>
        <w:t xml:space="preserve"> </w:t>
      </w:r>
      <w:r>
        <w:t xml:space="preserve">at a query is inserted only after its directional state has been read. The</w:t>
      </w:r>
      <w:r>
        <w:t xml:space="preserve"> </w:t>
      </w:r>
      <w:r>
        <w:t xml:space="preserve">two-sided field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a</m:t>
                          </m:r>
                          <m:r>
                            <m:t>i</m:t>
                          </m:r>
                          <m:r>
                            <m:t>c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a</m:t>
                          </m:r>
                          <m:r>
                            <m:t>i</m:t>
                          </m:r>
                          <m:r>
                            <m:t>c</m:t>
                          </m:r>
                        </m:sub>
                      </m:sSub>
                    </m:e>
                  </m:ra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  <m:r>
                        <m:t>r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bookmarkStart w:id="20" w:name="two-sided-amplitude-characterization"/>
    <w:p>
      <w:pPr>
        <w:pStyle w:val="Heading2"/>
      </w:pPr>
      <w:r>
        <w:t>S1.1  Two-sided amplitude characterization</w:t>
      </w:r>
    </w:p>
    <w:p>
      <w:pPr>
        <w:pStyle w:val="FirstParagraph"/>
      </w:pPr>
      <w:r>
        <w:t xml:space="preserve">The square-root exponent is fixed within a deliberately narrow field class.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and suppose a two-sided field is</w:t>
      </w:r>
      <w:r>
        <w:t xml:space="preserve"> </w:t>
      </w:r>
      <w:r>
        <w:t xml:space="preserve">constructed by adding directional amplitudes before squaring: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construction must retain one-sided evidence exactly, namely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, then necessarily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u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L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R</m:t>
                      </m:r>
                    </m:e>
                  </m:ra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conclusion follows immediately by setting the other directional state to</w:t>
      </w:r>
      <w:r>
        <w:t xml:space="preserve"> </w:t>
      </w:r>
      <w:r>
        <w:t xml:space="preserve">zero; nonnegativity selects the positive root. Thus the square-root rule is not</w:t>
      </w:r>
      <w:r>
        <w:t xml:space="preserve"> </w:t>
      </w:r>
      <w:r>
        <w:t xml:space="preserve">an arbitrary barrier power within this amplitude-addition construction. This</w:t>
      </w:r>
      <w:r>
        <w:t xml:space="preserve"> </w:t>
      </w:r>
      <w:r>
        <w:t xml:space="preserve">characterization applies to the unnormalized field only. It neither derives nor</w:t>
      </w:r>
      <w:r>
        <w:t xml:space="preserve"> </w:t>
      </w:r>
      <w:r>
        <w:t xml:space="preserve">justifies the separate numerical clipping, per-path normalization, atlas size,</w:t>
      </w:r>
      <w:r>
        <w:t xml:space="preserve"> </w:t>
      </w:r>
      <w:r>
        <w:t xml:space="preserve">rotations, or transport range, which remain fixed implementation choices and</w:t>
      </w:r>
      <w:r>
        <w:t xml:space="preserve"> </w:t>
      </w:r>
      <w:r>
        <w:t xml:space="preserve">are audited separately.</w:t>
      </w:r>
    </w:p>
    <w:p>
      <w:pPr>
        <w:pStyle w:val="BodyText"/>
      </w:pPr>
      <w:r>
        <w:t xml:space="preserve">The path contrast is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a</m:t>
            </m:r>
            <m:r>
              <m:t>i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sub>
        </m:sSub>
      </m:oMath>
      <w:r>
        <w:t xml:space="preserve">, its atlas mean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</m:e>
        </m:nary>
      </m:oMath>
      <w:r>
        <w:t xml:space="preserve">, and the implemented chart-ensemble</w:t>
      </w:r>
      <w:r>
        <w:t xml:space="preserve"> </w:t>
      </w:r>
      <w:r>
        <w:t xml:space="preserve">chart-disagreement scale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sSup>
            <m:e>
              <m:d>
                <m:dPr>
                  <m:begChr m:val="{"/>
                  <m:endChr m:val="}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a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t>i</m:t>
                                  </m:r>
                                  <m:r>
                                    <m:t>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empirical population standard deviation of the deterministic chart</w:t>
      </w:r>
      <w:r>
        <w:t xml:space="preserve"> </w:t>
      </w:r>
      <w:r>
        <w:t xml:space="preserve">contrasts divided by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; it is descriptive and is not interpreted as a</w:t>
      </w:r>
      <w:r>
        <w:t xml:space="preserve"> </w:t>
      </w:r>
      <w:r>
        <w:t xml:space="preserve">calibrated confidence interval.</w:t>
      </w:r>
    </w:p>
    <w:p>
      <w:pPr>
        <w:pStyle w:val="BodyText"/>
      </w:pPr>
      <w:r>
        <w:t xml:space="preserve">For observed class count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median positive class count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the acceptance barrier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median</m:t>
              </m:r>
            </m:e>
            <m:sub>
              <m:r>
                <m:t>a</m:t>
              </m:r>
            </m:sub>
          </m:sSub>
          <m:sSub>
            <m:e>
              <m:r>
                <m:t>ω</m:t>
              </m:r>
            </m:e>
            <m:sub>
              <m:r>
                <m:t>a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transport uses plain geometric path length and unit class evidence. Local</w:t>
      </w:r>
      <w:r>
        <w:t xml:space="preserve"> </w:t>
      </w:r>
      <w:r>
        <w:t xml:space="preserve">isolation protects a query only when its supporting path gaps are larger than</w:t>
      </w:r>
      <w:r>
        <w:t xml:space="preserve"> </w:t>
      </w:r>
      <w:r>
        <w:t xml:space="preserve">typical. Neither term is a probability, confidence score, or learned density</w:t>
      </w:r>
      <w:r>
        <w:t xml:space="preserve"> </w:t>
      </w:r>
      <w:r>
        <w:t xml:space="preserve">model. Returned</w:t>
      </w:r>
      <w:r>
        <w:t xml:space="preserve"> </w:t>
      </w:r>
      <w:r>
        <w:t xml:space="preserve">diagnostics are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repair_margin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atlas_dispersion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.</w:t>
      </w:r>
      <w:r>
        <w:t xml:space="preserve"> </w:t>
      </w:r>
      <w:r>
        <w:t xml:space="preserve">The factor also carries per-specimen</w:t>
      </w:r>
      <w:r>
        <w:t xml:space="preserve"> </w:t>
      </w:r>
      <w:r>
        <w:rPr>
          <w:rStyle w:val="VerbatimChar"/>
        </w:rPr>
        <w:t xml:space="preserve">dimensions_used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changed_fraction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classes_before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classes_after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removed_classes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sample_sizes</w:t>
      </w:r>
      <w:r>
        <w:t xml:space="preserve">, plus the total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budget. No class-count constraint is</w:t>
      </w:r>
      <w:r>
        <w:t xml:space="preserve"> </w:t>
      </w:r>
      <w:r>
        <w:t xml:space="preserve">applied. A specimen with fewer than two varying axes is rejected because no</w:t>
      </w:r>
      <w:r>
        <w:t xml:space="preserve"> </w:t>
      </w:r>
      <w:r>
        <w:t xml:space="preserve">supported 2D or 3D spatial operator can be constructed.</w:t>
      </w:r>
    </w:p>
    <w:bookmarkEnd w:id="20"/>
    <w:bookmarkStart w:id="21" w:name="binary-specialization"/>
    <w:p>
      <w:pPr>
        <w:pStyle w:val="Heading2"/>
      </w:pPr>
      <w:r>
        <w:t>S1.2  Binary specialization</w:t>
      </w:r>
    </w:p>
    <w:p>
      <w:pPr>
        <w:pStyle w:val="FirstParagraph"/>
      </w:pPr>
      <w:r>
        <w:t xml:space="preserve">For two observed classes, a specimen with fewer than 20 locations, or fewer</w:t>
      </w:r>
      <w:r>
        <w:t xml:space="preserve"> </w:t>
      </w:r>
      <w:r>
        <w:t xml:space="preserve">than two observed classes, is retained unchanged. Otherwise the code obtains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r>
                  <m:t>d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nearest other locations and counts their two labels.</w:t>
      </w:r>
      <w:r>
        <w:t xml:space="preserve"> </w:t>
      </w:r>
      <w:r>
        <w:t xml:space="preserve">The strict ballot majority is the candidate; ties retain the observed label.</w:t>
      </w:r>
      <w:r>
        <w:t xml:space="preserve"> </w:t>
      </w:r>
      <w:r>
        <w:t xml:space="preserve">For a distinct candidate, the evidence is its vote count minus the observed</w:t>
      </w:r>
      <w:r>
        <w:t xml:space="preserve"> </w:t>
      </w:r>
      <w:r>
        <w:t xml:space="preserve">vote count and the barrier is one. The binary branch returns</w:t>
      </w:r>
      <w:r>
        <w:t xml:space="preserve"> </w:t>
      </w:r>
      <w:r>
        <w:rPr>
          <w:rStyle w:val="VerbatimChar"/>
        </w:rPr>
        <w:t xml:space="preserve">isolation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atlas_dispersion = 0</w:t>
      </w:r>
      <w:r>
        <w:t xml:space="preserve">. It is a fixed specialization of the same public</w:t>
      </w:r>
      <w:r>
        <w:t xml:space="preserve"> </w:t>
      </w:r>
      <w:r>
        <w:t xml:space="preserve">candidate-first decision, not a user-selectable second method. Because there is</w:t>
      </w:r>
      <w:r>
        <w:t xml:space="preserve"> </w:t>
      </w:r>
      <w:r>
        <w:t xml:space="preserve">exactly one rival, the signed local count difference exhausts the local candidate</w:t>
      </w:r>
      <w:r>
        <w:t xml:space="preserve"> </w:t>
      </w:r>
      <w:r>
        <w:t xml:space="preserve">comparison; multiclass path normalization is not needed to choose among several</w:t>
      </w:r>
      <w:r>
        <w:t xml:space="preserve"> </w:t>
      </w:r>
      <w:r>
        <w:t xml:space="preserve">rival classes.</w:t>
      </w:r>
    </w:p>
    <w:bookmarkEnd w:id="21"/>
    <w:bookmarkEnd w:id="22"/>
    <w:bookmarkStart w:id="23" w:name="comparator-information-contract"/>
    <w:p>
      <w:pPr>
        <w:pStyle w:val="Heading1"/>
      </w:pPr>
      <w:r>
        <w:t>S2  Comparator information contract</w:t>
      </w:r>
    </w:p>
    <w:p>
      <w:pPr>
        <w:pStyle w:val="FirstParagraph"/>
      </w:pPr>
      <w:r>
        <w:t xml:space="preserve">Every method in the predefined matrices receives coordinates, one observed</w:t>
      </w:r>
      <w:r>
        <w:t xml:space="preserve"> </w:t>
      </w:r>
      <w:r>
        <w:t xml:space="preserve">categorical field, and specimen membership only. No method receives a reference</w:t>
      </w:r>
      <w:r>
        <w:t xml:space="preserve"> </w:t>
      </w:r>
      <w:r>
        <w:t xml:space="preserve">annotation, expression matrix, image, feature vector, confidence map, or trusted</w:t>
      </w:r>
      <w:r>
        <w:t xml:space="preserve"> </w:t>
      </w:r>
      <w:r>
        <w:t xml:space="preserve">seed at repair time.</w:t>
      </w:r>
    </w:p>
    <w:p>
      <w:pPr>
        <w:pStyle w:val="BodyText"/>
      </w:pPr>
      <w:r>
        <w:t xml:space="preserve">The primary comparison is Pareto non-domination in the triplet of accuracy,</w:t>
      </w:r>
      <w:r>
        <w:t xml:space="preserve"> </w:t>
      </w:r>
      <w:r>
        <w:t xml:space="preserve">ARI, and correction damage. A method dominates another only if it has at least</w:t>
      </w:r>
      <w:r>
        <w:t xml:space="preserve"> </w:t>
      </w:r>
      <w:r>
        <w:t xml:space="preserve">as high accuracy and ARI and no greater damage, with one strict inequality. This</w:t>
      </w:r>
      <w:r>
        <w:t xml:space="preserve"> </w:t>
      </w:r>
      <w:r>
        <w:t xml:space="preserve">predeclared relation is used to describe operating points rather than to create</w:t>
      </w:r>
      <w:r>
        <w:t xml:space="preserve"> </w:t>
      </w:r>
      <w:r>
        <w:t xml:space="preserve">a post-hoc scalar rank. All other reported scores are retained as diagnostics of</w:t>
      </w:r>
      <w:r>
        <w:t xml:space="preserve"> </w:t>
      </w:r>
      <w:r>
        <w:t xml:space="preserve">the resulting trade-offs.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Fixed benchmark specification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Multiclass: 9/12 Hilbert charts, range 5, two-sided enclosure; binary:</w:t>
            </w:r>
            <w:r>
              <w:rPr>
                <w:rFonts w:ascii="Calibri" w:hAnsi="Calibri"/>
                <w:sz w:val="16"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/>
                <w:sz w:val="16"/>
              </w:rPr>
              <w:t xml:space="preserve">-nearest ballot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8 neighbours; unary 5; 3 cycles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16 neighbours; fixed unary and beta; 8 iterations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24 neighbours; retention 0.20; 12 iterations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6, 14, and 30 neighbours; retention 0.20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8 iterations; fixed consensus and preservation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Fixed 6-neighbour post-hoc correction rule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Fixed 50-neighbour post-hoc correction rule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One-pass 8-neighbour mode</w:t>
            </w:r>
          </w:p>
        </w:tc>
      </w:tr>
    </w:tbl>
    <w:p>
      <w:pPr>
        <w:pStyle w:val="BodyText"/>
      </w:pPr>
      <w:r>
        <w:t xml:space="preserve">SpaGCN and GraphST are evaluated as fixed post-hoc controls, not as their</w:t>
      </w:r>
      <w:r>
        <w:t xml:space="preserve"> </w:t>
      </w:r>
      <w:r>
        <w:t xml:space="preserve">feature-guided domain-discovery workflows</w:t>
      </w:r>
      <w:r>
        <w:t xml:space="preserve"> </w:t>
      </w:r>
      <w:r>
        <w:t xml:space="preserve">(Hu et al. 2021; Long et al. 2023)</w:t>
      </w:r>
      <w:r>
        <w:t xml:space="preserve">.</w:t>
      </w:r>
    </w:p>
    <w:p>
      <w:pPr>
        <w:pStyle w:val="BodyText"/>
      </w:pPr>
      <w:r>
        <w:t xml:space="preserve">The four configurable controls were calibrated once on 24 non-overlapping</w:t>
      </w:r>
      <w:r>
        <w:t xml:space="preserve"> </w:t>
      </w:r>
      <w:r>
        <w:t xml:space="preserve">2D/3D development fields. Candidate grids contained 18 alpha-expansion, 27</w:t>
      </w:r>
      <w:r>
        <w:t xml:space="preserve"> </w:t>
      </w:r>
      <w:r>
        <w:t xml:space="preserve">coordinate-CRF, 18 harmonic, and three multiscale settings. Within each family,</w:t>
      </w:r>
      <w:r>
        <w:t xml:space="preserve"> </w:t>
      </w:r>
      <w:r>
        <w:t xml:space="preserve">the retained setting maximized mean accuracy subject to the same absolute</w:t>
      </w:r>
      <w:r>
        <w:t xml:space="preserve"> </w:t>
      </w:r>
      <w:r>
        <w:t xml:space="preserve">damage cap of 0.05, with ARI breaking ties. The selected settings are exactly</w:t>
      </w:r>
      <w:r>
        <w:t xml:space="preserve"> </w:t>
      </w:r>
      <w:r>
        <w:t xml:space="preserve">those in the table above. The archived calibration summary, all 1,584</w:t>
      </w:r>
      <w:r>
        <w:t xml:space="preserve"> </w:t>
      </w:r>
      <w:r>
        <w:t xml:space="preserve">case-setting rows, and manifest make the choice auditable; neither FiberMargin’s</w:t>
      </w:r>
      <w:r>
        <w:t xml:space="preserve"> </w:t>
      </w:r>
      <w:r>
        <w:t xml:space="preserve">damage nor any reported evaluation panel defines the cap.</w:t>
      </w:r>
    </w:p>
    <w:bookmarkEnd w:id="23"/>
    <w:bookmarkStart w:id="24" w:name="matched-enclosure-controls"/>
    <w:p>
      <w:pPr>
        <w:pStyle w:val="Heading1"/>
      </w:pPr>
      <w:r>
        <w:t>S3  Matched enclosure controls</w:t>
      </w:r>
    </w:p>
    <w:p>
      <w:pPr>
        <w:pStyle w:val="FirstParagraph"/>
      </w:pPr>
      <w:r>
        <w:t xml:space="preserve">The enclosure field is the only quantity changed in this audit. All paths,</w:t>
      </w:r>
      <w:r>
        <w:t xml:space="preserve"> </w:t>
      </w:r>
      <w:r>
        <w:t xml:space="preserve">geometric actions, query isolation, class adjustment, and acceptance terms are</w:t>
      </w:r>
      <w:r>
        <w:t xml:space="preserve"> </w:t>
      </w:r>
      <w:r>
        <w:t xml:space="preserve">held fixed. The matched additive control removes only the square-root cross</w:t>
      </w:r>
      <w:r>
        <w:t xml:space="preserve"> </w:t>
      </w:r>
      <w:r>
        <w:t xml:space="preserve">term after the directional recurrences have computed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+</m:t>
          </m:r>
          <m:r>
            <m:t>2</m:t>
          </m:r>
          <m:rad>
            <m:radPr>
              <m:degHide m:val="on"/>
            </m:radPr>
            <m:deg/>
            <m:e>
              <m:r>
                <m:t>L</m:t>
              </m:r>
              <m:r>
                <m:t>R</m:t>
              </m:r>
            </m:e>
          </m:rad>
          <m:r>
            <m:t> </m:t>
          </m:r>
          <m:r>
            <m:rPr>
              <m:nor/>
              <m:sty m:val="p"/>
            </m:rPr>
            <m:t>versus</m:t>
          </m:r>
          <m:r>
            <m:t> </m:t>
          </m:r>
          <m:r>
            <m:t>L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comparison uses all 60 CRC and 45 MERFISH predefined conditions under the final</w:t>
      </w:r>
      <w:r>
        <w:t xml:space="preserve"> </w:t>
      </w:r>
      <w:r>
        <w:t xml:space="preserve">chart-disagreement admission rule.</w:t>
      </w:r>
      <w:r>
        <w:t xml:space="preserve"> </w:t>
      </w:r>
      <w:r>
        <w:t xml:space="preserve">Repeated corruptions from a common reference annotation are descriptive units,</w:t>
      </w:r>
      <w:r>
        <w:t xml:space="preserve"> </w:t>
      </w:r>
      <w:r>
        <w:t xml:space="preserve">not independent biological specimens. Table S1 records the source-matched</w:t>
      </w:r>
      <w:r>
        <w:t xml:space="preserve"> </w:t>
      </w:r>
      <w:r>
        <w:t xml:space="preserve">retrospective mechanism comparison.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Dataset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Units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Square-root Acc.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Additive Acc.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Square-root 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Additive 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Square-root damage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Additive damage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60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0.85890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0.85881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0.78062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0.78054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0.04777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0.04808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45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0.89053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0.88925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0.80044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0.79873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0.03670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0.03784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S1.</w:t>
      </w:r>
      <w:r>
        <w:t xml:space="preserve"> </w:t>
      </w:r>
      <w:r>
        <w:t xml:space="preserve">Source-matched mechanism comparison of the two-sided</w:t>
      </w:r>
      <w:r>
        <w:t xml:space="preserve"> </w:t>
      </w:r>
      <w:r>
        <w:t xml:space="preserve">enclosure field. Higher is better except for damage. The additive field</w:t>
      </w:r>
      <w:r>
        <w:t xml:space="preserve"> </w:t>
      </w:r>
      <w:r>
        <w:t xml:space="preserve">is near-tied on CRC but has lower primary scores and higher damage on both</w:t>
      </w:r>
      <w:r>
        <w:t xml:space="preserve"> </w:t>
      </w:r>
      <w:r>
        <w:t xml:space="preserve">panels. The complete mechanism and evaluation ledgers record every fixed field</w:t>
      </w:r>
      <w:r>
        <w:t xml:space="preserve"> </w:t>
      </w:r>
      <w:r>
        <w:t xml:space="preserve">replacement and secondary outcome. Both panels are multiclass; the binary</w:t>
      </w:r>
      <w:r>
        <w:t xml:space="preserve"> </w:t>
      </w:r>
      <w:r>
        <w:t xml:space="preserve">specialization is not evaluated.</w:t>
      </w:r>
    </w:p>
    <w:bookmarkEnd w:id="24"/>
    <w:bookmarkStart w:id="27" w:name="fixed-atlas-and-range-sensitivity-audit"/>
    <w:p>
      <w:pPr>
        <w:pStyle w:val="Heading1"/>
      </w:pPr>
      <w:r>
        <w:t>S4  Fixed atlas-and-range sensitivity audit</w:t>
      </w:r>
    </w:p>
    <w:p>
      <w:pPr>
        <w:pStyle w:val="FirstParagraph"/>
      </w:pPr>
      <w:r>
        <w:t xml:space="preserve">A development audit changes one geometric constant at a time while retaining</w:t>
      </w:r>
      <w:r>
        <w:t xml:space="preserve"> </w:t>
      </w:r>
      <w:r>
        <w:t xml:space="preserve">the two-sided field and admission rule. It compares nested 7/9, 9/12, 11/15,</w:t>
      </w:r>
      <w:r>
        <w:t xml:space="preserve"> </w:t>
      </w:r>
      <w:r>
        <w:t xml:space="preserve">and 13/18 path atlases at range 5, a longer range, and a</w:t>
      </w:r>
      <w:r>
        <w:t xml:space="preserve"> </w:t>
      </w:r>
      <w:r>
        <w:t xml:space="preserve">dimension-dependent range. The panel contains 50 predefined real-coordinate</w:t>
      </w:r>
      <w:r>
        <w:t xml:space="preserve"> </w:t>
      </w:r>
      <w:r>
        <w:t xml:space="preserve">corruptions and six geometry-diverse simulations. The 9/12 atlas is the</w:t>
      </w:r>
      <w:r>
        <w:t xml:space="preserve"> </w:t>
      </w:r>
      <w:r>
        <w:t xml:space="preserve">smallest expansion that improves the real-panel accuracy and ARI averages. The</w:t>
      </w:r>
      <w:r>
        <w:t xml:space="preserve"> </w:t>
      </w:r>
      <w:r>
        <w:t xml:space="preserve">11/15 and 13/18 atlases improve those averages further, but progressively</w:t>
      </w:r>
      <w:r>
        <w:t xml:space="preserve"> </w:t>
      </w:r>
      <w:r>
        <w:t xml:space="preserve">increase damage; on the 20-case CRC development subset they also reduce</w:t>
      </w:r>
      <w:r>
        <w:t xml:space="preserve"> </w:t>
      </w:r>
      <w:r>
        <w:t xml:space="preserve">sparse-region accuracy by 0.0263 and 0.0378 relative to 7/9.</w:t>
      </w:r>
      <w:r>
        <w:t xml:space="preserve"> </w:t>
      </w:r>
      <w:r>
        <w:t xml:space="preserve">Because the 50 real-coordinate fields are subsets of the final study panels,</w:t>
      </w:r>
      <w:r>
        <w:t xml:space="preserve"> </w:t>
      </w:r>
      <w:r>
        <w:t xml:space="preserve">this is a configuration audit rather than an independently held-out comparison.</w:t>
      </w:r>
    </w:p>
    <w:p>
      <w:pPr>
        <w:pStyle w:val="BodyText"/>
      </w:pPr>
      <w:r>
        <w:t xml:space="preserve">The 9/12 atlas was then confirmed on all 150 real-coordinate fields, 708</w:t>
      </w:r>
      <w:r>
        <w:t xml:space="preserve"> </w:t>
      </w:r>
      <w:r>
        <w:t xml:space="preserve">complete simulations, and 108 unseen geometries. It improves accuracy and ARI</w:t>
      </w:r>
      <w:r>
        <w:t xml:space="preserve"> </w:t>
      </w:r>
      <w:r>
        <w:t xml:space="preserve">on every real-coordinate dataset and both broad simulation ledgers. The</w:t>
      </w:r>
      <w:r>
        <w:t xml:space="preserve"> </w:t>
      </w:r>
      <w:r>
        <w:t xml:space="preserve">released setting therefore uses 9/12 paths with range 5. This is a fixed</w:t>
      </w:r>
      <w:r>
        <w:t xml:space="preserve"> </w:t>
      </w:r>
      <w:r>
        <w:t xml:space="preserve">cross-panel operating point, not a theorem-determined optimum.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Panel or dataset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9/12 accuracy change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9/12 ARI change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9/12 damage change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Development real panel, 50 fields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+0.00085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+0.00154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+0.00136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 confirmation, 45 fields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+0.00199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+0.00294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+0.00011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 confirmation, 60 fields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+0.00015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+0.00035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+0.00205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 confirmation, 45 fields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+0.00061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+0.00156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+0.00141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Complete simulation, 708 fields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+0.00095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+0.00193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+0.00106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Unseen geometry, 108 fields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+0.00161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+0.00262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+0.00063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S1A.</w:t>
      </w:r>
      <w:r>
        <w:t xml:space="preserve"> </w:t>
      </w:r>
      <w:r>
        <w:t xml:space="preserve">Source-matched 9/12-atlas changes relative to the 7/9 atlas.</w:t>
      </w:r>
      <w:r>
        <w:t xml:space="preserve"> </w:t>
      </w:r>
      <w:r>
        <w:t xml:space="preserve">Positive accuracy and ARI changes are improvements; positive damage is worse.</w:t>
      </w:r>
      <w:r>
        <w:t xml:space="preserve"> </w:t>
      </w:r>
      <w:r>
        <w:t xml:space="preserve">The full case-level ledgers also report boundary, sparse-region, worst-class,</w:t>
      </w:r>
      <w:r>
        <w:t xml:space="preserve"> </w:t>
      </w:r>
      <w:r>
        <w:t xml:space="preserve">and correction outcomes. This is an audit of the multiclass enclosure atlas;</w:t>
      </w:r>
      <w:r>
        <w:t xml:space="preserve"> </w:t>
      </w:r>
      <w:r>
        <w:t xml:space="preserve">the binary specialization has no path atlas.</w:t>
      </w:r>
    </w:p>
    <w:p>
      <w:pPr>
        <w:pStyle w:val="BodyText"/>
      </w:pPr>
      <w:r>
        <w:t xml:space="preserve">The remaining internal quantities have distinct roles. The 16-bit Hilbert</w:t>
      </w:r>
      <w:r>
        <w:t xml:space="preserve"> </w:t>
      </w:r>
      <w:r>
        <w:t xml:space="preserve">code is a numerical representation rather than a fitted statistical parameter:</w:t>
      </w:r>
      <w:r>
        <w:t xml:space="preserve"> </w:t>
      </w:r>
      <w:r>
        <w:t xml:space="preserve">after unit-box scaling, one quantization cell has coordinate width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16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Rotations are generated deterministically by the low-discrepancy</w:t>
      </w:r>
      <w:r>
        <w:t xml:space="preserve"> </w:t>
      </w:r>
      <w:r>
        <w:t xml:space="preserve">irrational schedules in the source. The barrier has no fitted multiplier: its</w:t>
      </w:r>
      <w:r>
        <w:t xml:space="preserve"> </w:t>
      </w:r>
      <w:r>
        <w:t xml:space="preserve">units are the chart contrast dispersion times the local-gap factor, divided by</w:t>
      </w:r>
      <w:r>
        <w:t xml:space="preserve"> </w:t>
      </w:r>
      <w:r>
        <w:t xml:space="preserve">the square-root class-amplitude adjustment. Robust 1st–99th percentile</w:t>
      </w:r>
      <w:r>
        <w:t xml:space="preserve"> </w:t>
      </w:r>
      <w:r>
        <w:t xml:space="preserve">normalization, the chart count, and the central range remain pragmatic fixed</w:t>
      </w:r>
      <w:r>
        <w:t xml:space="preserve"> </w:t>
      </w:r>
      <w:r>
        <w:t xml:space="preserve">defaults, with their complete fixed-configuration sensitivity records included</w:t>
      </w:r>
      <w:r>
        <w:t xml:space="preserve"> </w:t>
      </w:r>
      <w:r>
        <w:t xml:space="preserve">here.</w:t>
      </w:r>
    </w:p>
    <w:bookmarkStart w:id="25" w:name="chart-interior-and-limitation-map-audit"/>
    <w:p>
      <w:pPr>
        <w:pStyle w:val="Heading2"/>
      </w:pPr>
      <w:r>
        <w:t>S4.1  Chart-interior and limitation-map audit</w:t>
      </w:r>
    </w:p>
    <w:p>
      <w:pPr>
        <w:pStyle w:val="FirstParagraph"/>
      </w:pPr>
      <w:r>
        <w:t xml:space="preserve">This independent 48-field audit asks whether the explicit local premise of</w:t>
      </w:r>
      <w:r>
        <w:t xml:space="preserve"> </w:t>
      </w:r>
      <w:r>
        <w:t xml:space="preserve">Theorem S2 is informative in irregular spatial fields and where released</w:t>
      </w:r>
      <w:r>
        <w:t xml:space="preserve"> </w:t>
      </w:r>
      <w:r>
        <w:t xml:space="preserve">FiberMargin gains or loses against its direct controls. It is not a source</w:t>
      </w:r>
      <w:r>
        <w:t xml:space="preserve"> </w:t>
      </w:r>
      <w:r>
        <w:t xml:space="preserve">selection study. The saved panel contains 24 two-dimensional and 24</w:t>
      </w:r>
      <w:r>
        <w:t xml:space="preserve"> </w:t>
      </w:r>
      <w:r>
        <w:t xml:space="preserve">three-dimensional five-class fields. The 2D fields use tubular-network or</w:t>
      </w:r>
      <w:r>
        <w:t xml:space="preserve"> </w:t>
      </w:r>
      <w:r>
        <w:t xml:space="preserve">braided-channel geometry, uniform or extreme sampling, random, boundary, or</w:t>
      </w:r>
      <w:r>
        <w:t xml:space="preserve"> </w:t>
      </w:r>
      <w:r>
        <w:t xml:space="preserve">patch corruption, and 10% or 30% corruption. The 3D fields use folded layers or</w:t>
      </w:r>
      <w:r>
        <w:t xml:space="preserve"> </w:t>
      </w:r>
      <w:r>
        <w:t xml:space="preserve">branching tubes, uniform or class-imbalanced sampling, random, boundary, or</w:t>
      </w:r>
      <w:r>
        <w:t xml:space="preserve"> </w:t>
      </w:r>
      <w:r>
        <w:t xml:space="preserve">regional corruption, and the same rates. Each 2D field has 3,000 locations and</w:t>
      </w:r>
      <w:r>
        <w:t xml:space="preserve"> </w:t>
      </w:r>
      <w:r>
        <w:t xml:space="preserve">each 3D field 4,000; the 48 seeds, inputs, and design table are saved in the</w:t>
      </w:r>
      <w:r>
        <w:t xml:space="preserve"> </w:t>
      </w:r>
      <w:r>
        <w:t xml:space="preserve">result archive.</w:t>
      </w:r>
    </w:p>
    <w:p>
      <w:pPr>
        <w:pStyle w:val="BodyText"/>
      </w:pPr>
      <w:r>
        <w:t xml:space="preserve">A benchmark-only C++ diagnostic reproduces the released robust normalization,</w:t>
      </w:r>
      <w:r>
        <w:t xml:space="preserve"> </w:t>
      </w:r>
      <w:r>
        <w:t xml:space="preserve">rotations, 16-bit Hilbert code, tie order, and 9/12-path atlas. After repair, it</w:t>
      </w:r>
      <w:r>
        <w:t xml:space="preserve"> </w:t>
      </w:r>
      <w:r>
        <w:t xml:space="preserve">uses the reference field only to count consecutive same-reference-class</w:t>
      </w:r>
      <w:r>
        <w:t xml:space="preserve"> </w:t>
      </w:r>
      <w:r>
        <w:t xml:space="preserve">locations immediately on both sides of each query in every chart. The all-chart</w:t>
      </w:r>
      <w:r>
        <w:t xml:space="preserve"> </w:t>
      </w:r>
      <w:r>
        <w:t xml:space="preserve">run length is the minimum of these two-sided runs. Consequently, the exact</w:t>
      </w:r>
      <w:r>
        <w:t xml:space="preserve"> </w:t>
      </w:r>
      <m:oMath>
        <m:r>
          <m:t>q</m:t>
        </m:r>
      </m:oMath>
      <w:r>
        <w:t xml:space="preserve">-chart-interior condition in Theorem S2 holds if and only if that recorded</w:t>
      </w:r>
      <w:r>
        <w:t xml:space="preserve"> </w:t>
      </w:r>
      <w:r>
        <w:t xml:space="preserve">length is at least</w:t>
      </w:r>
      <w:r>
        <w:t xml:space="preserve"> </w:t>
      </w:r>
      <m:oMath>
        <m:r>
          <m:t>q</m:t>
        </m:r>
      </m:oMath>
      <w:r>
        <w:t xml:space="preserve">. No diagnostic quantity enters repair. Table S1B gives</w:t>
      </w:r>
      <w:r>
        <w:t xml:space="preserve"> </w:t>
      </w:r>
      <w:r>
        <w:t xml:space="preserve">the resulting reference-based strata.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m:oMath>
              <m:r>
                <m:t>q</m:t>
              </m:r>
            </m:oMath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All-chart prevalence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Accuracy, inside/outside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Correction recall, inside/outside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Damage, inside/outside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0.5240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0.9390 / 0.7992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0.5481 / 0.4358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0.00078 / 0.06050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0.4057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0.9450 / 0.8223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0.6000 / 0.4483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0.00044 / 0.04854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0.3366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0.9475 / 0.8335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0.5917 / 0.4542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0.00044 / 0.04348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0.2889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0.9502 / 0.8398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0.6127 / 0.4574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0.00035 / 0.04059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S1B.</w:t>
      </w:r>
      <w:r>
        <w:t xml:space="preserve"> </w:t>
      </w:r>
      <w:r>
        <w:t xml:space="preserve">Exact reference-based chart-interior strata in the fresh 48-field</w:t>
      </w:r>
      <w:r>
        <w:t xml:space="preserve"> </w:t>
      </w:r>
      <w:r>
        <w:t xml:space="preserve">audit. Values are means over saved fields. The condition has no repair-time use.</w:t>
      </w:r>
      <w:r>
        <w:t xml:space="preserve"> </w:t>
      </w:r>
      <w:r>
        <w:t xml:space="preserve">Locations deeper in all released paths have higher conditional recovery and much</w:t>
      </w:r>
      <w:r>
        <w:t xml:space="preserve"> </w:t>
      </w:r>
      <w:r>
        <w:t xml:space="preserve">lower conditional damage, an empirical association coherent with the theorem’s</w:t>
      </w:r>
      <w:r>
        <w:t xml:space="preserve"> </w:t>
      </w:r>
      <w:r>
        <w:t xml:space="preserve">local premise. It is not a verification of its independent-noise assumptions,</w:t>
      </w:r>
      <w:r>
        <w:t xml:space="preserve"> </w:t>
      </w:r>
      <w:r>
        <w:t xml:space="preserve">which do not describe the structured corruption mechanisms in this panel. All</w:t>
      </w:r>
      <w:r>
        <w:t xml:space="preserve"> </w:t>
      </w:r>
      <w:r>
        <w:t xml:space="preserve">fields are multiclass and use the enclosure mechanism.</w:t>
      </w:r>
    </w:p>
    <w:p>
      <w:pPr>
        <w:pStyle w:val="BodyText"/>
      </w:pPr>
      <w:r>
        <w:t xml:space="preserve">The same fields compare released FiberMargin with alpha-expansion Potts,</w:t>
      </w:r>
      <w:r>
        <w:t xml:space="preserve"> </w:t>
      </w:r>
      <w:r>
        <w:t xml:space="preserve">coordinate CRF, self-anchored harmonic propagation, and multiscale mode. All</w:t>
      </w:r>
      <w:r>
        <w:t xml:space="preserve"> </w:t>
      </w:r>
      <w:r>
        <w:t xml:space="preserve">five methods receive the same coordinates and observed categorical field. A</w:t>
      </w:r>
      <w:r>
        <w:t xml:space="preserve"> </w:t>
      </w:r>
      <w:r>
        <w:t xml:space="preserve">positive difference favors FiberMargin except for damage, where a negative value</w:t>
      </w:r>
      <w:r>
        <w:t xml:space="preserve"> </w:t>
      </w:r>
      <w:r>
        <w:t xml:space="preserve">is preferable. Table S1C summarizes the paired method comparisons.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Direct control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 difference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 difference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Correction recall difference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 difference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 win fraction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+0.00606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+0.01140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+0.07634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+0.01190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0.604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+0.04587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+0.07206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+0.28655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+0.02470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0.750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+0.01525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+0.05078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+0.05260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-0.00181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0.792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+0.00772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+0.00974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+0.04237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+0.00397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0.604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S1C.</w:t>
      </w:r>
      <w:r>
        <w:t xml:space="preserve"> </w:t>
      </w:r>
      <w:r>
        <w:t xml:space="preserve">Paired mean FiberMargin-minus-control outcomes on the fresh</w:t>
      </w:r>
      <w:r>
        <w:t xml:space="preserve"> </w:t>
      </w:r>
      <w:r>
        <w:t xml:space="preserve">48-field audit. The win fraction is the fraction of fields with higher</w:t>
      </w:r>
      <w:r>
        <w:t xml:space="preserve"> </w:t>
      </w:r>
      <w:r>
        <w:t xml:space="preserve">FiberMargin accuracy. The CRF comparison illustrates an operating-point tradeoff:</w:t>
      </w:r>
      <w:r>
        <w:t xml:space="preserve"> </w:t>
      </w:r>
      <w:r>
        <w:t xml:space="preserve">FiberMargin gains accuracy and correction recall while causing more damage. All</w:t>
      </w:r>
      <w:r>
        <w:t xml:space="preserve"> </w:t>
      </w:r>
      <w:r>
        <w:t xml:space="preserve">FiberMargin results use the multiclass enclosure mechanism.</w:t>
      </w:r>
    </w:p>
    <w:p>
      <w:pPr>
        <w:pStyle w:val="BodyText"/>
      </w:pPr>
      <w:r>
        <w:t xml:space="preserve">Against the post-hoc best of the four direct controls, FiberMargin leads in</w:t>
      </w:r>
      <w:r>
        <w:t xml:space="preserve"> </w:t>
      </w:r>
      <w:r>
        <w:t xml:space="preserve">18/48 fields (37.5%), with mean accuracy difference</w:t>
      </w:r>
      <w:r>
        <w:t xml:space="preserve"> </w:t>
      </w:r>
      <m:oMath>
        <m:r>
          <m:rPr>
            <m:sty m:val="p"/>
          </m:rPr>
          <m:t>−</m:t>
        </m:r>
        <m:r>
          <m:t>0.00362</m:t>
        </m:r>
      </m:oMath>
      <w:r>
        <w:t xml:space="preserve">. The factor map</w:t>
      </w:r>
      <w:r>
        <w:t xml:space="preserve"> </w:t>
      </w:r>
      <w:r>
        <w:t xml:space="preserve">therefore reports a limitation as well as positive regimes: the mean difference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0.01308</m:t>
        </m:r>
      </m:oMath>
      <w:r>
        <w:t xml:space="preserve"> </w:t>
      </w:r>
      <w:r>
        <w:t xml:space="preserve">for 10% 2D patch corruption and +0.00950 for 30% 3D random</w:t>
      </w:r>
      <w:r>
        <w:t xml:space="preserve"> </w:t>
      </w:r>
      <w:r>
        <w:t xml:space="preserve">corruption. The observed</w:t>
      </w:r>
      <w:r>
        <w:t xml:space="preserve"> </w:t>
      </w:r>
      <w:r>
        <w:t xml:space="preserve">agreement and local-density descriptors are recorded for every field, but no</w:t>
      </w:r>
      <w:r>
        <w:t xml:space="preserve"> </w:t>
      </w:r>
      <w:r>
        <w:t xml:space="preserve">threshold, learned selector, pre-repair applicability score, or new package</w:t>
      </w:r>
      <w:r>
        <w:t xml:space="preserve"> </w:t>
      </w:r>
      <w:r>
        <w:t xml:space="preserve">input is introduced.</w:t>
      </w:r>
    </w:p>
    <w:bookmarkEnd w:id="25"/>
    <w:bookmarkStart w:id="26" w:name="geometric-bridge-audit"/>
    <w:p>
      <w:pPr>
        <w:pStyle w:val="Heading2"/>
      </w:pPr>
      <w:r>
        <w:t>S4.2  Geometric bridge audit</w:t>
      </w:r>
    </w:p>
    <w:p>
      <w:pPr>
        <w:pStyle w:val="FirstParagraph"/>
      </w:pPr>
      <w:r>
        <w:t xml:space="preserve">The same predefined fields support a second benchmark-only diagnostic for Lemma 1.</w:t>
      </w:r>
      <w:r>
        <w:t xml:space="preserve"> </w:t>
      </w:r>
      <w:r>
        <w:t xml:space="preserve">For each query and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, it reconstructs the released robust</w:t>
      </w:r>
      <w:r>
        <w:t xml:space="preserve"> </w:t>
      </w:r>
      <w:r>
        <w:t xml:space="preserve">normalization, rotations, code values, stable tie ordering, and chart spans.</w:t>
      </w:r>
      <w:r>
        <w:t xml:space="preserve"> </w:t>
      </w:r>
      <w:r>
        <w:t xml:space="preserve">It then computes the finite Hilbert-block radius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t>q</m:t>
            </m:r>
          </m:sub>
        </m:sSub>
      </m:oMath>
      <w:r>
        <w:t xml:space="preserve"> </w:t>
      </w:r>
      <w:r>
        <w:t xml:space="preserve">from the proof and</w:t>
      </w:r>
      <w:r>
        <w:t xml:space="preserve"> </w:t>
      </w:r>
      <w:r>
        <w:t xml:space="preserve">the exact maximum Euclidean distance to every required atlas witness. Reference</w:t>
      </w:r>
      <w:r>
        <w:t xml:space="preserve"> </w:t>
      </w:r>
      <w:r>
        <w:t xml:space="preserve">labels are read only after the released repair call to measure nearest</w:t>
      </w:r>
      <w:r>
        <w:t xml:space="preserve"> </w:t>
      </w:r>
      <w:r>
        <w:t xml:space="preserve">different-class separation. Neither quantity is returned by the package or used</w:t>
      </w:r>
      <w:r>
        <w:t xml:space="preserve"> </w:t>
      </w:r>
      <w:r>
        <w:t xml:space="preserve">to choose a method.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m:oMath>
              <m:r>
                <m:t>q</m:t>
              </m:r>
            </m:oMath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Exact interior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Code-gap certificate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Precision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Interior coverage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Direct-witness certificate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Finite queries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Max direct/bound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0.5518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0.0881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1.0000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0.1421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0.4425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167254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0.8557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0.4307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1.0000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0.0804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0.3219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166524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0.8576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S1D.</w:t>
      </w:r>
      <w:r>
        <w:t xml:space="preserve"> </w:t>
      </w:r>
      <w:r>
        <w:t xml:space="preserve">Deterministic Euclidean-to-chart bridge audit. The code-gap</w:t>
      </w:r>
      <w:r>
        <w:t xml:space="preserve"> </w:t>
      </w:r>
      <w:r>
        <w:t xml:space="preserve">certificate requires reference separation greater than the conservative radius</w:t>
      </w:r>
      <w:r>
        <w:t xml:space="preserve"> </w:t>
      </w:r>
      <w:r>
        <w:t xml:space="preserve">in Lemma 1. Precision is the fraction of certificate locations satisfying the</w:t>
      </w:r>
      <w:r>
        <w:t xml:space="preserve"> </w:t>
      </w:r>
      <w:r>
        <w:t xml:space="preserve">exact all-chart predicate; coverage is the fraction of exact interiors carrying</w:t>
      </w:r>
      <w:r>
        <w:t xml:space="preserve"> </w:t>
      </w:r>
      <w:r>
        <w:t xml:space="preserve">the certificate.</w:t>
      </w:r>
      <w:r>
        <w:t xml:space="preserve"> </w:t>
      </w:r>
      <w:r>
        <w:rPr>
          <w:rStyle w:val="VerbatimChar"/>
        </w:rPr>
        <w:t xml:space="preserve">Max direct/bound</w:t>
      </w:r>
      <w:r>
        <w:t xml:space="preserve"> </w:t>
      </w:r>
      <w:r>
        <w:t xml:space="preserve">is the mean across fields of the</w:t>
      </w:r>
      <w:r>
        <w:t xml:space="preserve"> </w:t>
      </w:r>
      <w:r>
        <w:t xml:space="preserve">within-field maximum exact witness-radius divided by its finite Hilbert-block</w:t>
      </w:r>
      <w:r>
        <w:t xml:space="preserve"> </w:t>
      </w:r>
      <w:r>
        <w:t xml:space="preserve">bound. Every finite bound contains every required</w:t>
      </w:r>
      <w:r>
        <w:t xml:space="preserve"> </w:t>
      </w:r>
      <w:r>
        <w:t xml:space="preserve">witness and every certificate is an exact interior. The certificate is</w:t>
      </w:r>
      <w:r>
        <w:t xml:space="preserve"> </w:t>
      </w:r>
      <w:r>
        <w:t xml:space="preserve">intentionally conservative: it proves a usable sufficient condition, not a</w:t>
      </w:r>
      <w:r>
        <w:t xml:space="preserve"> </w:t>
      </w:r>
      <w:r>
        <w:t xml:space="preserve">complete characterization of chart interior. This audit concerns the multiclass</w:t>
      </w:r>
      <w:r>
        <w:t xml:space="preserve"> </w:t>
      </w:r>
      <w:r>
        <w:t xml:space="preserve">enclosure mechanism, which constructs the chart atlas.</w:t>
      </w:r>
    </w:p>
    <w:p>
      <w:pPr>
        <w:pStyle w:val="BodyText"/>
      </w:pPr>
      <w:r>
        <w:t xml:space="preserve">Within the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certificate, correction recall is 0.6734 and damage is</w:t>
      </w:r>
      <w:r>
        <w:t xml:space="preserve"> </w:t>
      </w:r>
      <w:r>
        <w:t xml:space="preserve">0.00042, compared with 0.4550 and 0.03017 outside it.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the corresponding</w:t>
      </w:r>
      <w:r>
        <w:t xml:space="preserve"> </w:t>
      </w:r>
      <w:r>
        <w:t xml:space="preserve">values are 0.7274 and zero, compared with 0.4575 and 0.02883 outside. These</w:t>
      </w:r>
      <w:r>
        <w:t xml:space="preserve"> </w:t>
      </w:r>
      <w:r>
        <w:t xml:space="preserve">reference-only strata show that the geometric sufficient condition is</w:t>
      </w:r>
      <w:r>
        <w:t xml:space="preserve"> </w:t>
      </w:r>
      <w:r>
        <w:t xml:space="preserve">non-vacuous, but they are not a method-selection result.</w:t>
      </w:r>
    </w:p>
    <w:bookmarkEnd w:id="26"/>
    <w:bookmarkEnd w:id="27"/>
    <w:bookmarkStart w:id="28" w:name="fixed-component-audit"/>
    <w:p>
      <w:pPr>
        <w:pStyle w:val="Heading1"/>
      </w:pPr>
      <w:r>
        <w:t>S5  Fixed-component audit</w:t>
      </w:r>
    </w:p>
    <w:p>
      <w:pPr>
        <w:pStyle w:val="FirstParagraph"/>
      </w:pPr>
      <w:r>
        <w:t xml:space="preserve">Each row below removes one protective term, or doubles the chart-disagreement</w:t>
      </w:r>
      <w:r>
        <w:t xml:space="preserve"> </w:t>
      </w:r>
      <w:r>
        <w:t xml:space="preserve">barrier, while holding the path atlas, range, and stored inputs fixed. Deltas are</w:t>
      </w:r>
      <w:r>
        <w:t xml:space="preserve"> </w:t>
      </w:r>
      <w:r>
        <w:t xml:space="preserve">relative to FiberMargin; positive damage is worse. The final operator is a</w:t>
      </w:r>
      <w:r>
        <w:t xml:space="preserve"> </w:t>
      </w:r>
      <w:r>
        <w:t xml:space="preserve">cross-panel compromise: removing class adjustment, query isolation, or the</w:t>
      </w:r>
      <w:r>
        <w:t xml:space="preserve"> </w:t>
      </w:r>
      <w:r>
        <w:t xml:space="preserve">default chart-disagreement admission rule can improve a primary score in one panel, but each</w:t>
      </w:r>
      <w:r>
        <w:t xml:space="preserve"> </w:t>
      </w:r>
      <w:r>
        <w:t xml:space="preserve">removal either damages CRC accuracy or weakens sparse-region protection while</w:t>
      </w:r>
      <w:r>
        <w:t xml:space="preserve"> </w:t>
      </w:r>
      <w:r>
        <w:t xml:space="preserve">raising damage.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Dataset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Operator change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 change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 change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Sparse accuracy change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 change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Class adjustment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-0.0059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-0.0086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-0.0712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+0.0222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Query isolation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-0.0010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-0.0009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-0.0274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+0.0050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Doubled admission barrier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+0.0002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+0.1269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-0.0201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Class adjustment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-0.0011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+0.0017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Query isolation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-0.0003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-0.0004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-0.0029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+0.0026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Doubled admission barrier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-0.0029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+0.0102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-0.0130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S2.</w:t>
      </w:r>
      <w:r>
        <w:t xml:space="preserve"> </w:t>
      </w:r>
      <w:r>
        <w:t xml:space="preserve">Component ablations across predefined real-coordinate corruptions.</w:t>
      </w:r>
      <w:r>
        <w:t xml:space="preserve"> </w:t>
      </w:r>
      <w:r>
        <w:t xml:space="preserve">The complete case-level ledger records all secondary outcomes and the literal</w:t>
      </w:r>
      <w:r>
        <w:t xml:space="preserve"> </w:t>
      </w:r>
      <w:r>
        <w:t xml:space="preserve">operator changes. Table S2 makes the cross-panel trade-off explicit. CRC and</w:t>
      </w:r>
      <w:r>
        <w:t xml:space="preserve"> </w:t>
      </w:r>
      <w:r>
        <w:t xml:space="preserve">MERFISH are multiclass and therefore use the enclosure mechanism.</w:t>
      </w:r>
    </w:p>
    <w:bookmarkEnd w:id="28"/>
    <w:bookmarkStart w:id="29" w:name="fixed-atlas-size-audit"/>
    <w:p>
      <w:pPr>
        <w:pStyle w:val="Heading1"/>
      </w:pPr>
      <w:r>
        <w:t>S6  Fixed atlas-size audit</w:t>
      </w:r>
    </w:p>
    <w:p>
      <w:pPr>
        <w:pStyle w:val="FirstParagraph"/>
      </w:pPr>
      <w:r>
        <w:t xml:space="preserve">The production atlas uses nine 2D and twelve 3D paths. The following audit</w:t>
      </w:r>
      <w:r>
        <w:t xml:space="preserve"> </w:t>
      </w:r>
      <w:r>
        <w:t xml:space="preserve">recompiles only those constants while leaving the field, barrier, stored inputs,</w:t>
      </w:r>
      <w:r>
        <w:t xml:space="preserve"> </w:t>
      </w:r>
      <w:r>
        <w:t xml:space="preserve">and score code unchanged. The 1/1 variant is a simple reference-path control:</w:t>
      </w:r>
      <w:r>
        <w:t xml:space="preserve"> </w:t>
      </w:r>
      <w:r>
        <w:t xml:space="preserve">it retains one Hilbert traversal, two-sided transport, and the same acceptance</w:t>
      </w:r>
      <w:r>
        <w:t xml:space="preserve"> </w:t>
      </w:r>
      <w:r>
        <w:t xml:space="preserve">rule, but removes chart ensembling. Timings are therefore comparable within this</w:t>
      </w:r>
      <w:r>
        <w:t xml:space="preserve"> </w:t>
      </w:r>
      <w:r>
        <w:t xml:space="preserve">literal source-variant harness, but not with times measured by a different</w:t>
      </w:r>
      <w:r>
        <w:t xml:space="preserve"> </w:t>
      </w:r>
      <w:r>
        <w:t xml:space="preserve">benchmark driver. Because it uses the same panels as the reported matrix, it is</w:t>
      </w:r>
      <w:r>
        <w:t xml:space="preserve"> </w:t>
      </w:r>
      <w:r>
        <w:t xml:space="preserve">a sensitivity analysis rather than independent selection evidence. The 9/12</w:t>
      </w:r>
      <w:r>
        <w:t xml:space="preserve"> </w:t>
      </w:r>
      <w:r>
        <w:t xml:space="preserve">setting is the released operating point: one path has much poorer primary and</w:t>
      </w:r>
      <w:r>
        <w:t xml:space="preserve"> </w:t>
      </w:r>
      <w:r>
        <w:t xml:space="preserve">damage outcomes, 7/9 is close but lower in accuracy and ARI, and the 5/6 atlas</w:t>
      </w:r>
      <w:r>
        <w:t xml:space="preserve"> </w:t>
      </w:r>
      <w:r>
        <w:t xml:space="preserve">trades lower runtime for lower primary scores.</w:t>
      </w:r>
    </w:p>
    <w:p>
      <w:pPr>
        <w:pStyle w:val="BodyText"/>
      </w:pPr>
      <w:r>
        <w:t xml:space="preserve">Table S3 reports the fixed atlas-size audit.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Dataset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Atlas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1/1 path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0.8242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0.7297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0.11684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9/12 paths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0.8589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0.7806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0.04777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7/9 paths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0.8587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0.7803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0.04573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5/6 paths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0.8582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0.7793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0.04387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1/1 path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0.8517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0.7315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0.09521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9/12 paths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0.8905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0.8004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0.03670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7/9 paths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0.8899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0.7989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0.03530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5/6 paths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0.8872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0.7939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0.03559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Fixed atlas-size audit on the same 60 CRC and 45 MERFISH</w:t>
      </w:r>
      <w:r>
        <w:t xml:space="preserve"> </w:t>
      </w:r>
      <w:r>
        <w:t xml:space="preserve">corruptions per literal variant. The 1/1 row is the simple one-Hilbert-path</w:t>
      </w:r>
      <w:r>
        <w:t xml:space="preserve"> </w:t>
      </w:r>
      <w:r>
        <w:t xml:space="preserve">control. Accuracy and ARI are higher-is-better; damage is lower-is-better.</w:t>
      </w:r>
      <w:r>
        <w:t xml:space="preserve"> </w:t>
      </w:r>
      <w:r>
        <w:t xml:space="preserve">Runtime is reported in the common-harness timing table rather</w:t>
      </w:r>
      <w:r>
        <w:t xml:space="preserve"> </w:t>
      </w:r>
      <w:r>
        <w:t xml:space="preserve">than this parallel source-variant audit. This audit concerns only the multiclass</w:t>
      </w:r>
      <w:r>
        <w:t xml:space="preserve"> </w:t>
      </w:r>
      <w:r>
        <w:t xml:space="preserve">enclosure mechanism; the binary specialization has no atlas-size setting.</w:t>
      </w:r>
    </w:p>
    <w:bookmarkEnd w:id="29"/>
    <w:bookmarkStart w:id="30" w:name="binary-interior-recovery-guarantee"/>
    <w:p>
      <w:pPr>
        <w:pStyle w:val="Heading1"/>
      </w:pPr>
      <w:r>
        <w:t>S7  Binary interior recovery guarantee</w:t>
      </w:r>
    </w:p>
    <w:p>
      <w:pPr>
        <w:pStyle w:val="FirstParagraph"/>
      </w:pPr>
      <w:r>
        <w:t xml:space="preserve">This proof concerns the implemented binary ballot. Work in the robustly</w:t>
      </w:r>
      <w:r>
        <w:t xml:space="preserve"> </w:t>
      </w:r>
      <w:r>
        <w:t xml:space="preserve">normalized coordinate domain. Fix a query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a specimen of size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whose</w:t>
      </w:r>
      <w:r>
        <w:t xml:space="preserve"> </w:t>
      </w:r>
      <w:r>
        <w:t xml:space="preserve">reference label is</w:t>
      </w:r>
      <w:r>
        <w:t xml:space="preserve"> </w:t>
      </w:r>
      <m:oMath>
        <m:r>
          <m:t>t</m:t>
        </m:r>
      </m:oMath>
      <w:r>
        <w:t xml:space="preserve">, and suppose a Euclidean ball</w:t>
      </w:r>
      <w:r>
        <w:t xml:space="preserve"> </w:t>
      </w:r>
      <m:oMath>
        <m:r>
          <m:rPr>
            <m:sty m:val="p"/>
            <m:scr m:val="script"/>
          </m:rPr>
          <m:t>B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lies</w:t>
      </w:r>
      <w:r>
        <w:t xml:space="preserve"> </w:t>
      </w:r>
      <w:r>
        <w:t xml:space="preserve">inside the true-</w:t>
      </w:r>
      <m:oMath>
        <m:r>
          <m:t>t</m:t>
        </m:r>
      </m:oMath>
      <w:r>
        <w:t xml:space="preserve"> </w:t>
      </w:r>
      <w:r>
        <w:t xml:space="preserve">region. If conditional coordinate density in the ball is at</w:t>
      </w:r>
      <w:r>
        <w:t xml:space="preserve"> </w:t>
      </w:r>
      <w:r>
        <w:t xml:space="preserve">least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be the unit</w:t>
      </w:r>
      <w:r>
        <w:t xml:space="preserve"> </w:t>
      </w:r>
      <m:oMath>
        <m:r>
          <m:t>d</m:t>
        </m:r>
      </m:oMath>
      <w:r>
        <w:t xml:space="preserve">-ball volume,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r>
                  <m:t>d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sup>
            </m:sSup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sSub>
            <m:e>
              <m:r>
                <m:t>v</m:t>
              </m:r>
            </m:e>
            <m:sub>
              <m:r>
                <m:t>d</m:t>
              </m:r>
            </m:sub>
          </m:sSub>
          <m:sSup>
            <m:e>
              <m: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≥</m:t>
          </m:r>
          <m:r>
            <m:t>2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 conditional independent locations and independent flips of true-</w:t>
      </w:r>
      <m:oMath>
        <m:r>
          <m:t>t</m:t>
        </m:r>
      </m:oMath>
      <w:r>
        <w:t xml:space="preserve"> </w:t>
      </w:r>
      <w:r>
        <w:t xml:space="preserve">neighbour labels with probability at most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Theorem S1 (binary interior recovery).</w:t>
      </w:r>
      <w:r>
        <w:t xml:space="preserve"> </w:t>
      </w:r>
      <w:r>
        <w:t xml:space="preserve">Under these conditions, the binary</w:t>
      </w:r>
      <w:r>
        <w:t xml:space="preserve"> </w:t>
      </w:r>
      <w:r>
        <w:t xml:space="preserve">branch returns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probability at least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count the other locations in the ball. Since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Z</m:t>
        </m:r>
        <m:r>
          <m:rPr>
            <m:sty m:val="p"/>
          </m:rPr>
          <m:t>≥</m:t>
        </m:r>
        <m:r>
          <m:t>μ</m:t>
        </m:r>
      </m:oMath>
      <w:r>
        <w:t xml:space="preserve">, a multiplicative Chernoff bound gives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&lt;</m:t>
            </m:r>
            <m:r>
              <m:t>k</m:t>
            </m:r>
          </m:e>
        </m:d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 On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t>k</m:t>
        </m:r>
      </m:oMath>
      <w:r>
        <w:t xml:space="preserve">,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neighbours lie in the</w:t>
      </w:r>
      <w:r>
        <w:t xml:space="preserve"> </w:t>
      </w:r>
      <w:r>
        <w:t xml:space="preserve">ball and have reference class</w:t>
      </w:r>
      <w:r>
        <w:t xml:space="preserve"> </w:t>
      </w:r>
      <m:oMath>
        <m:r>
          <m:t>t</m:t>
        </m:r>
      </m:oMath>
      <w:r>
        <w:t xml:space="preserve">.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count their observed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labels.</w:t>
      </w:r>
      <w:r>
        <w:t xml:space="preserve"> </w:t>
      </w:r>
      <w:r>
        <w:t xml:space="preserve">Hoeffding’s inequality gives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≤</m:t>
            </m:r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t xml:space="preserve">. Outside those events,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strict</w:t>
      </w:r>
      <w:r>
        <w:t xml:space="preserve"> </w:t>
      </w:r>
      <w:r>
        <w:t xml:space="preserve">ballot majority.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already has label</w:t>
      </w:r>
      <w:r>
        <w:t xml:space="preserve"> </w:t>
      </w:r>
      <m:oMath>
        <m:r>
          <m:t>t</m:t>
        </m:r>
      </m:oMath>
      <w:r>
        <w:t xml:space="preserve">, it is retained; otherwise its</w:t>
      </w:r>
      <w:r>
        <w:t xml:space="preserve"> </w:t>
      </w:r>
      <w:r>
        <w:t xml:space="preserve">positive integer vote margin clears the implemented unit barrier. A union bound</w:t>
      </w:r>
      <w:r>
        <w:t xml:space="preserve"> </w:t>
      </w:r>
      <w:r>
        <w:t xml:space="preserve">proves (S7).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result is local to a true-region interior. It makes no claim at a boundary,</w:t>
      </w:r>
      <w:r>
        <w:t xml:space="preserve"> </w:t>
      </w:r>
      <w:r>
        <w:t xml:space="preserve">in a density void, or after a class has disappeared from the observed field.</w:t>
      </w:r>
    </w:p>
    <w:bookmarkEnd w:id="30"/>
    <w:bookmarkStart w:id="31" w:name="euclidean-to-chart-bridge"/>
    <w:p>
      <w:pPr>
        <w:pStyle w:val="Heading1"/>
      </w:pPr>
      <w:r>
        <w:t>S8  Euclidean-to-chart bridge</w:t>
      </w:r>
    </w:p>
    <w:p>
      <w:pPr>
        <w:pStyle w:val="FirstParagraph"/>
      </w:pPr>
      <w:r>
        <w:t xml:space="preserve">The multiclass theorem requires same-reference-class witnesses immediately on</w:t>
      </w:r>
      <w:r>
        <w:t xml:space="preserve"> </w:t>
      </w:r>
      <w:r>
        <w:t xml:space="preserve">both sides of every released path. This section gives a deterministic geometric</w:t>
      </w:r>
      <w:r>
        <w:t xml:space="preserve"> </w:t>
      </w:r>
      <w:r>
        <w:t xml:space="preserve">sufficient condition for that witness event. It uses the same robustly</w:t>
      </w:r>
      <w:r>
        <w:t xml:space="preserve"> </w:t>
      </w:r>
      <w:r>
        <w:t xml:space="preserve">normalized coordinate system as the production implementation, not raw</w:t>
      </w:r>
      <w:r>
        <w:t xml:space="preserve"> </w:t>
      </w:r>
      <w:r>
        <w:t xml:space="preserve">measurement units.</w:t>
      </w:r>
    </w:p>
    <w:p>
      <w:pPr>
        <w:pStyle w:val="BodyText"/>
      </w:pPr>
      <w:r>
        <w:t xml:space="preserve">Fix a chart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i</m:t>
            </m:r>
          </m:sub>
        </m:sSub>
      </m:oMath>
      <w:r>
        <w:t xml:space="preserve"> </w:t>
      </w:r>
      <w:r>
        <w:t xml:space="preserve">for its rotated, viewwise unit-box-scaled</w:t>
      </w:r>
      <w:r>
        <w:t xml:space="preserve"> </w:t>
      </w:r>
      <w:r>
        <w:t xml:space="preserve">coordinate of query</w:t>
      </w:r>
      <w:r>
        <w:t xml:space="preserve"> </w:t>
      </w:r>
      <m:oMath>
        <m:r>
          <m:t>i</m:t>
        </m:r>
      </m:oMath>
      <w:r>
        <w:t xml:space="preserve">. Let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a</m:t>
            </m:r>
            <m:r>
              <m:t>m</m:t>
            </m:r>
          </m:sub>
        </m:sSub>
      </m:oMath>
      <w:r>
        <w:t xml:space="preserve"> </w:t>
      </w:r>
      <w:r>
        <w:t xml:space="preserve">be the 16-bit Hilbert</w:t>
      </w:r>
      <w:r>
        <w:t xml:space="preserve"> </w:t>
      </w:r>
      <w:r>
        <w:t xml:space="preserve">codes in the implementation’s stable sort order, and let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be the</w:t>
      </w:r>
      <w:r>
        <w:t xml:space="preserve"> </w:t>
      </w:r>
      <w:r>
        <w:t xml:space="preserve">position of</w:t>
      </w:r>
      <w:r>
        <w:t xml:space="preserve"> </w:t>
      </w:r>
      <m:oMath>
        <m:r>
          <m:t>i</m:t>
        </m:r>
      </m:oMath>
      <w:r>
        <w:t xml:space="preserve">. Let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largest coordinate span before this viewwise</w:t>
      </w:r>
      <w:r>
        <w:t xml:space="preserve"> </w:t>
      </w:r>
      <w:r>
        <w:t xml:space="preserve">rescaling. For a requested run length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sources on both sides,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a</m:t>
              </m:r>
              <m:r>
                <m:t>i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c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r>
                <m:t>q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i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r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:</m:t>
          </m:r>
          <m:sSup>
            <m:e>
              <m:r>
                <m:t>2</m:t>
              </m:r>
            </m:e>
            <m:sup>
              <m:r>
                <m:t>d</m:t>
              </m:r>
              <m:r>
                <m:t>r</m:t>
              </m:r>
            </m:sup>
          </m:sSup>
          <m:r>
            <m:rPr>
              <m:sty m:val="p"/>
            </m:rPr>
            <m:t>≥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i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i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d>
            <m:dPr>
              <m:begChr m:val="{"/>
              <m:endChr m:val="}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t> 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a</m:t>
                          </m:r>
                          <m:r>
                            <m:t>i</m:t>
                          </m:r>
                          <m:r>
                            <m:t>q</m:t>
                          </m:r>
                        </m:sub>
                      </m:sSub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16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a path lacks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sources in either direction, set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code-gap radius depends only on coordinates, chart geometry, and stable</w:t>
      </w:r>
      <w:r>
        <w:t xml:space="preserve"> </w:t>
      </w:r>
      <w:r>
        <w:t xml:space="preserve">input order; it has no reference-label or repair-time role.</w:t>
      </w:r>
    </w:p>
    <w:p>
      <w:pPr>
        <w:pStyle w:val="BodyText"/>
      </w:pPr>
      <w:r>
        <w:rPr>
          <w:b/>
          <w:bCs/>
        </w:rPr>
        <w:t xml:space="preserve">Lemma S2A (Euclidean-to-chart bridge).</w:t>
      </w:r>
      <w:r>
        <w:t xml:space="preserve"> </w:t>
      </w:r>
      <w:r>
        <w:t xml:space="preserve">Let the true region for class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contain</w:t>
      </w:r>
      <w:r>
        <w:t xml:space="preserve"> </w:t>
      </w:r>
      <m:oMath>
        <m:r>
          <m:rPr>
            <m:sty m:val="p"/>
            <m:scr m:val="script"/>
          </m:rPr>
          <m:t>B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ρ</m:t>
                </m:r>
              </m:e>
              <m:sub>
                <m:r>
                  <m:t>i</m:t>
                </m:r>
                <m:r>
                  <m:t>q</m:t>
                </m:r>
              </m:sub>
            </m:sSub>
          </m:e>
        </m:d>
      </m:oMath>
      <w:r>
        <w:t xml:space="preserve"> </w:t>
      </w:r>
      <w:r>
        <w:t xml:space="preserve">in the robust coordinate system. Then the</w:t>
      </w:r>
      <w:r>
        <w:t xml:space="preserve"> </w:t>
      </w:r>
      <w:r>
        <w:t xml:space="preserve">first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released path sources in each direction of every chart have reference</w:t>
      </w:r>
      <w:r>
        <w:t xml:space="preserve"> </w:t>
      </w:r>
      <w:r>
        <w:t xml:space="preserve">class</w:t>
      </w:r>
      <w:r>
        <w:t xml:space="preserve"> </w:t>
      </w:r>
      <m:oMath>
        <m:r>
          <m:t>t</m:t>
        </m:r>
      </m:oMath>
      <w:r>
        <w:t xml:space="preserve">. Hence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</m:oMath>
      <w:r>
        <w:t xml:space="preserve">-chart-interior.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The finite 16-bit code is the standard recursive Hilbert traversal</w:t>
      </w:r>
      <w:r>
        <w:t xml:space="preserve"> </w:t>
      </w:r>
      <w:r>
        <w:t xml:space="preserve">implemented through the Skilling transform</w:t>
      </w:r>
      <w:r>
        <w:t xml:space="preserve"> </w:t>
      </w:r>
      <w:r>
        <w:t xml:space="preserve">(Skilling 2004)</w:t>
      </w:r>
      <w:r>
        <w:t xml:space="preserve">. A consecutive code</w:t>
      </w:r>
      <w:r>
        <w:t xml:space="preserve"> </w:t>
      </w:r>
      <w:r>
        <w:t xml:space="preserve">interval of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i</m:t>
            </m:r>
            <m:r>
              <m:t>q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d</m:t>
            </m:r>
            <m:sSub>
              <m:e>
                <m:r>
                  <m:t>r</m:t>
                </m:r>
              </m:e>
              <m:sub>
                <m:r>
                  <m:t>a</m:t>
                </m:r>
                <m:r>
                  <m:t>i</m:t>
                </m:r>
                <m:r>
                  <m:t>q</m:t>
                </m:r>
              </m:sub>
            </m:sSub>
          </m:sup>
        </m:sSup>
      </m:oMath>
      <w:r>
        <w:t xml:space="preserve"> </w:t>
      </w:r>
      <w:r>
        <w:t xml:space="preserve">cells intersects at most two aligned</w:t>
      </w:r>
      <w:r>
        <w:t xml:space="preserve"> </w:t>
      </w:r>
      <w:r>
        <w:t xml:space="preserve">level-</w:t>
      </w:r>
      <m:oMath>
        <m:sSub>
          <m:e>
            <m:r>
              <m:t>r</m:t>
            </m:r>
          </m:e>
          <m:sub>
            <m:r>
              <m:t>a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t xml:space="preserve">Hilbert blocks. Consecutive blocks in that traversal share a</w:t>
      </w:r>
      <w:r>
        <w:t xml:space="preserve"> </w:t>
      </w:r>
      <w:r>
        <w:t xml:space="preserve">face. Each block has side at most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r</m:t>
                </m:r>
              </m:e>
              <m:sub>
                <m:r>
                  <m:t>a</m:t>
                </m:r>
                <m:r>
                  <m:t>i</m:t>
                </m:r>
                <m:r>
                  <m:t>q</m:t>
                </m:r>
              </m:sub>
            </m:sSub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16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in unit-chart coordinates. The union of two</w:t>
      </w:r>
      <w:r>
        <w:t xml:space="preserve"> </w:t>
      </w:r>
      <w:r>
        <w:t xml:space="preserve">face-adjacent</w:t>
      </w:r>
      <w:r>
        <w:t xml:space="preserve"> </w:t>
      </w:r>
      <m:oMath>
        <m:r>
          <m:t>d</m:t>
        </m:r>
      </m:oMath>
      <w:r>
        <w:t xml:space="preserve">-cubes of side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Euclidean diameter</w:t>
      </w:r>
      <w:r>
        <w:t xml:space="preserve"> </w:t>
      </w:r>
      <m:oMath>
        <m:r>
          <m:t>h</m:t>
        </m:r>
        <m:rad>
          <m:radPr>
            <m:degHide m:val="on"/>
          </m:radPr>
          <m:deg/>
          <m:e>
            <m:r>
              <m:t>d</m:t>
            </m:r>
            <m:r>
              <m:rPr>
                <m:sty m:val="p"/>
              </m:rPr>
              <m:t>+</m:t>
            </m:r>
            <m:r>
              <m:t>3</m:t>
            </m:r>
          </m:e>
        </m:rad>
      </m:oMath>
      <w:r>
        <w:t xml:space="preserve">. Thus every one of the</w:t>
      </w:r>
      <w:r>
        <w:t xml:space="preserve"> </w:t>
      </w:r>
      <m:oMath>
        <m:r>
          <m:t>2</m:t>
        </m:r>
        <m:r>
          <m:t>q</m:t>
        </m:r>
      </m:oMath>
      <w:r>
        <w:t xml:space="preserve"> </w:t>
      </w:r>
      <w:r>
        <w:t xml:space="preserve">required sources in chart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lies</w:t>
      </w:r>
      <w:r>
        <w:t xml:space="preserve"> </w:t>
      </w:r>
      <w:r>
        <w:t xml:space="preserve">within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</m:sub>
          </m:sSub>
          <m:rad>
            <m:radPr>
              <m:degHide m:val="on"/>
            </m:radPr>
            <m:deg/>
            <m:e>
              <m:r>
                <m:t>d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rad>
          <m:r>
            <m:t> 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  <m:r>
                        <m:t>q</m:t>
                      </m:r>
                    </m:sub>
                  </m:sSub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16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 the inverse rotation preserves Euclidean norm and the inverse</w:t>
      </w:r>
      <w:r>
        <w:t xml:space="preserve"> </w:t>
      </w:r>
      <w:r>
        <w:t xml:space="preserve">coordinate-wise rescaling has operator norm at most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. Taking the maximum</w:t>
      </w:r>
      <w:r>
        <w:t xml:space="preserve"> </w:t>
      </w:r>
      <w:r>
        <w:t xml:space="preserve">over charts gives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t>q</m:t>
            </m:r>
          </m:sub>
        </m:sSub>
      </m:oMath>
      <w:r>
        <w:t xml:space="preserve">. The assumed ball containment therefore gives</w:t>
      </w:r>
      <w:r>
        <w:t xml:space="preserve"> </w:t>
      </w:r>
      <w:r>
        <w:t xml:space="preserve">reference class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every required source, exactly the chart-interior</w:t>
      </w:r>
      <w:r>
        <w:t xml:space="preserve"> </w:t>
      </w:r>
      <w:r>
        <w:t xml:space="preserve">predicate.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lemma removes no other multiclass assumption. In particular, action bounds,</w:t>
      </w:r>
      <w:r>
        <w:t xml:space="preserve"> </w:t>
      </w:r>
      <w:r>
        <w:t xml:space="preserve">independent source-label noise, class balance, and the acceptance inequality</w:t>
      </w:r>
      <w:r>
        <w:t xml:space="preserve"> </w:t>
      </w:r>
      <w:r>
        <w:t xml:space="preserve">remain necessary for Theorem S2. It is a geometric bridge to the witness event,</w:t>
      </w:r>
      <w:r>
        <w:t xml:space="preserve"> </w:t>
      </w:r>
      <w:r>
        <w:t xml:space="preserve">not a claim that a Euclidean ball makes the complete recovery theorem hold.</w:t>
      </w:r>
    </w:p>
    <w:bookmarkEnd w:id="31"/>
    <w:bookmarkStart w:id="32" w:name="X5172b94002565b0a9d02b20bf8f5a933ec89b19"/>
    <w:p>
      <w:pPr>
        <w:pStyle w:val="Heading1"/>
      </w:pPr>
      <w:r>
        <w:t>S9  Multiclass chart-interior recovery guarantee</w:t>
      </w:r>
    </w:p>
    <w:p>
      <w:pPr>
        <w:pStyle w:val="FirstParagraph"/>
      </w:pPr>
      <w:r>
        <w:t xml:space="preserve">This result concerns the implemented multiclass recurrence. Work within one</w:t>
      </w:r>
      <w:r>
        <w:t xml:space="preserve"> </w:t>
      </w:r>
      <w:r>
        <w:t xml:space="preserve">specimen and fix a query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reference class</w:t>
      </w:r>
      <w:r>
        <w:t xml:space="preserve"> </w:t>
      </w:r>
      <m:oMath>
        <m:r>
          <m:t>t</m:t>
        </m:r>
      </m:oMath>
      <w:r>
        <w:t xml:space="preserve">. In chart</w:t>
      </w:r>
      <w:r>
        <w:t xml:space="preserve"> </w:t>
      </w:r>
      <m:oMath>
        <m:r>
          <m:t>a</m:t>
        </m:r>
      </m:oMath>
      <w:r>
        <w:t xml:space="preserve">, enumerate</w:t>
      </w:r>
      <w:r>
        <w:t xml:space="preserve"> </w:t>
      </w:r>
      <w:r>
        <w:t xml:space="preserve">the source locations before and after the query as</w:t>
      </w:r>
      <w:r>
        <w:t xml:space="preserve"> </w:t>
      </w:r>
      <m:oMath>
        <m:sSubSup>
          <m:e>
            <m:r>
              <m:t>j</m:t>
            </m:r>
          </m:e>
          <m:sub>
            <m:r>
              <m:t>a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j</m:t>
            </m:r>
          </m:e>
          <m:sub>
            <m:r>
              <m:t>a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, with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and write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for their exact accumulated implemented</w:t>
      </w:r>
      <w:r>
        <w:t xml:space="preserve"> </w:t>
      </w:r>
      <w:r>
        <w:t xml:space="preserve">path actions. The query is</w:t>
      </w:r>
      <w:r>
        <w:t xml:space="preserve"> </w:t>
      </w:r>
      <m:oMath>
        <m:r>
          <m:t>q</m:t>
        </m:r>
      </m:oMath>
      <w:r>
        <w:rPr>
          <w:i/>
          <w:iCs/>
        </w:rPr>
        <w:t xml:space="preserve">-chart-interior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sSubSup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sSubSup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t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an explicit region-and-boundary condition. It requires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sampled</w:t>
      </w:r>
      <w:r>
        <w:t xml:space="preserve"> </w:t>
      </w:r>
      <w:r>
        <w:t xml:space="preserve">same-class witnesses on both sides of every chart, rather than an assumption on</w:t>
      </w:r>
      <w:r>
        <w:t xml:space="preserve"> </w:t>
      </w:r>
      <w:r>
        <w:t xml:space="preserve">the candidate returned by FiberMargin. Assume that, for constants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all source actions obey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±</m:t>
            </m:r>
          </m:sup>
        </m:sSubSup>
        <m:r>
          <m:rPr>
            <m:sty m:val="p"/>
          </m:rPr>
          <m:t>≥</m:t>
        </m:r>
        <m:r>
          <m:rPr>
            <m:sty m:val="p"/>
          </m:rPr>
          <m:t>ℓ</m:t>
        </m:r>
        <m:r>
          <m:t>a</m:t>
        </m:r>
      </m:oMath>
      <w:r>
        <w:t xml:space="preserve">, while the chart-interior sources obey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±</m:t>
            </m:r>
          </m:sup>
        </m:sSubSup>
        <m:r>
          <m:rPr>
            <m:sty m:val="p"/>
          </m:rPr>
          <m:t>≤</m:t>
        </m:r>
        <m:r>
          <m:rPr>
            <m:sty m:val="p"/>
          </m:rPr>
          <m:t>ℓ</m:t>
        </m:r>
        <m:r>
          <m:t>b</m:t>
        </m:r>
      </m:oMath>
      <w:r>
        <w:t xml:space="preserve">. The first condition controls the total remote</w:t>
      </w:r>
      <w:r>
        <w:t xml:space="preserve"> </w:t>
      </w:r>
      <w:r>
        <w:t xml:space="preserve">mass; the second is a local sampling-density condition. Conditional on the</w:t>
      </w:r>
      <w:r>
        <w:t xml:space="preserve"> </w:t>
      </w:r>
      <w:r>
        <w:t xml:space="preserve">reference field, assume the observed source labels are independent and, for</w:t>
      </w:r>
      <w:r>
        <w:t xml:space="preserve"> </w:t>
      </w:r>
      <w:r>
        <w:t xml:space="preserve">every chart-interior source and rival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the fixed central range used by the implementation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ℓ</m:t>
                  </m:r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ℓ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ℓ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ℓ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p</m:t>
              </m:r>
            </m:e>
          </m:d>
          <m:sSub>
            <m:e>
              <m:r>
                <m:t>W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4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γ</m:t>
          </m:r>
          <m:r>
            <m:rPr>
              <m:sty m:val="p"/>
            </m:rPr>
            <m:t>/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guaranteed same-class support,</w:t>
      </w:r>
      <w:r>
        <w:t xml:space="preserve"> </w:t>
      </w:r>
      <m:oMath>
        <m:sSub>
          <m:e>
            <m:r>
              <m:t>T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 worst-case remote</w:t>
      </w:r>
      <w:r>
        <w:t xml:space="preserve"> </w:t>
      </w:r>
      <w:r>
        <w:t xml:space="preserve">rival mass,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bounds either complete directional state. Let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Ω</m:t>
        </m:r>
      </m:oMath>
      <w:r>
        <w:t xml:space="preserve"> </w:t>
      </w:r>
      <w:r>
        <w:t xml:space="preserve">be the implemented local-gap factor 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suppose</w:t>
      </w:r>
      <w:r>
        <w:t xml:space="preserve"> </w:t>
      </w:r>
      <w:r>
        <w:t xml:space="preserve">the observed class adjustment of the true candidate obeys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The deterministic acceptance condition is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2</m:t>
              </m:r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Theorem S2 (multiclass chart-interior recovery).</w:t>
      </w:r>
      <w:r>
        <w:t xml:space="preserve"> </w:t>
      </w:r>
      <w:r>
        <w:t xml:space="preserve">Under (S8)–(S11), the</w:t>
      </w:r>
      <w:r>
        <w:t xml:space="preserve"> </w:t>
      </w:r>
      <w:r>
        <w:t xml:space="preserve">implemented multiclass branch returns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probability at least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exp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statement covers both retention of an observed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correction when the</w:t>
      </w:r>
      <w:r>
        <w:t xml:space="preserve"> </w:t>
      </w:r>
      <w:r>
        <w:t xml:space="preserve">observed query class differs from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Fix one chart, one direction, and one rival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t</m:t>
        </m:r>
      </m:oMath>
      <w:r>
        <w:t xml:space="preserve">. For the</w:t>
      </w:r>
      <w:r>
        <w:t xml:space="preserve"> </w:t>
      </w:r>
      <w:r>
        <w:t xml:space="preserve">first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sources, let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Sup>
              <m:e>
                <m:r>
                  <m:t>D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ℓ</m:t>
                </m:r>
              </m:sub>
              <m:sup>
                <m:r>
                  <m:rPr>
                    <m:sty m:val="p"/>
                  </m:rPr>
                  <m:t>±</m:t>
                </m:r>
              </m:sup>
            </m:sSubSup>
            <m:r>
              <m:rPr>
                <m:sty m:val="p"/>
              </m:rPr>
              <m:t>/</m:t>
            </m:r>
            <m:r>
              <m:t>λ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Sup>
              <m:e>
                <m:r>
                  <m:t>j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ℓ</m:t>
                </m:r>
              </m:sub>
              <m:sup>
                <m:r>
                  <m:rPr>
                    <m:sty m:val="p"/>
                  </m:rPr>
                  <m:t>±</m:t>
                </m:r>
              </m:sup>
            </m:sSubSup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b"/>
          </m:rPr>
          <m:t>1</m:t>
        </m:r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Sup>
              <m:e>
                <m:r>
                  <m:t>j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ℓ</m:t>
                </m:r>
              </m:sub>
              <m:sup>
                <m:r>
                  <m:rPr>
                    <m:sty m:val="p"/>
                  </m:rPr>
                  <m:t>±</m:t>
                </m:r>
              </m:sup>
            </m:sSubSup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}</m:t>
        </m:r>
      </m:oMath>
      <w:r>
        <w:t xml:space="preserve">. By (S8)–(S9),</w:t>
      </w:r>
      <w:r>
        <w:t xml:space="preserve"> </w:t>
      </w:r>
      <m:oMath>
        <m:r>
          <m:rPr>
            <m:sty m:val="p"/>
            <m:scr m:val="double-struck"/>
          </m:rPr>
          <m:t>E</m:t>
        </m:r>
        <m:sSub>
          <m:e>
            <m:r>
              <m:t>Z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2</m:t>
        </m:r>
        <m:r>
          <m:t>p</m:t>
        </m:r>
      </m:oMath>
      <w:r>
        <w:t xml:space="preserve">; by the action bounds,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q</m:t>
            </m:r>
          </m:sup>
          <m:e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</m:e>
        </m:nary>
        <m:r>
          <m:rPr>
            <m:sty m:val="p"/>
          </m:rPr>
          <m:t>≥</m:t>
        </m:r>
        <m:sSub>
          <m:e>
            <m:r>
              <m:t>W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q</m:t>
            </m:r>
          </m:sup>
          <m:e>
            <m:sSubSup>
              <m:e>
                <m:r>
                  <m:t>w</m:t>
                </m:r>
              </m:e>
              <m:sub>
                <m:r>
                  <m:rPr>
                    <m:sty m:val="p"/>
                  </m:rPr>
                  <m:t>ℓ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 Weighted Hoeffding therefore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{"/>
              <m:endChr m:val="}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e>
              </m:nary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r>
                <m:rPr>
                  <m:sty m:val="p"/>
                </m:rPr>
                <m:t>&lt;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p</m:t>
                  </m:r>
                </m:e>
              </m:d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ϵ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exp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contribution of all remaining sources to the true-minus-rival directional</w:t>
      </w:r>
      <w:r>
        <w:t xml:space="preserve"> </w:t>
      </w:r>
      <w:r>
        <w:t xml:space="preserve">state is at least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 Hence outside the event in (S13), each directional</w:t>
      </w:r>
      <w:r>
        <w:t xml:space="preserve"> </w:t>
      </w:r>
      <w:r>
        <w:t xml:space="preserve">state satisfies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γ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γ</m:t>
        </m:r>
      </m:oMath>
      <w:r>
        <w:t xml:space="preserve">. Because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</m:e>
              </m:d>
            </m:e>
          </m:rad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r>
                <m:t>u</m:t>
              </m:r>
              <m:r>
                <m:t>v</m:t>
              </m:r>
            </m:e>
          </m:rad>
          <m:r>
            <m:rPr>
              <m:sty m:val="p"/>
            </m:rPr>
            <m:t>+</m:t>
          </m:r>
          <m:r>
            <m:t>γ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exact implemented enclosure field obeys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4</m:t>
        </m:r>
        <m:r>
          <m:t>γ</m:t>
        </m:r>
      </m:oMath>
      <w:r>
        <w:t xml:space="preserve">. Also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t>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and each directional total is at most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, so its</w:t>
      </w:r>
      <w:r>
        <w:t xml:space="preserve"> </w:t>
      </w:r>
      <w:r>
        <w:t xml:space="preserve">normalizer is at most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 Thus every chart has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4</m:t>
        </m:r>
        <m:r>
          <m:t>γ</m:t>
        </m:r>
        <m:r>
          <m:rPr>
            <m:sty m:val="p"/>
          </m:rPr>
          <m:t>/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 A union bound over two directions,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charts,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rivals gives (S12).</w:t>
      </w:r>
    </w:p>
    <w:p>
      <w:pPr>
        <w:pStyle w:val="BodyText"/>
      </w:pPr>
      <w:r>
        <w:t xml:space="preserve">If the observed query class is</w:t>
      </w:r>
      <w:r>
        <w:t xml:space="preserve"> </w:t>
      </w:r>
      <m:oMath>
        <m:r>
          <m:t>t</m:t>
        </m:r>
      </m:oMath>
      <w:r>
        <w:t xml:space="preserve">, it is already the unique candidate and is</w:t>
      </w:r>
      <w:r>
        <w:t xml:space="preserve"> </w:t>
      </w:r>
      <w:r>
        <w:t xml:space="preserve">retained. Otherwise, every chart contrast for candidate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lies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Popoviciu’s variance bound and the exact definition in Equation (7)</w:t>
      </w:r>
      <w:r>
        <w:t xml:space="preserve"> </w:t>
      </w:r>
      <w:r>
        <w:t xml:space="preserve">give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d>
      </m:oMath>
      <w:r>
        <w:t xml:space="preserve">. Therefore the implemented barrier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2</m:t>
              </m:r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candidate-first rule in Equation (D) consequently returns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theorem is deliberately local. Chart interior is a testable path-level</w:t>
      </w:r>
      <w:r>
        <w:t xml:space="preserve"> </w:t>
      </w:r>
      <w:r>
        <w:t xml:space="preserve">form of boundary distance and sampling density; it is not claimed to follow</w:t>
      </w:r>
      <w:r>
        <w:t xml:space="preserve"> </w:t>
      </w:r>
      <w:r>
        <w:t xml:space="preserve">automatically from Hilbert ordering on every geometry.</w:t>
      </w:r>
    </w:p>
    <w:bookmarkEnd w:id="32"/>
    <w:bookmarkStart w:id="33" w:name="multiclass-enclosure-stability"/>
    <w:p>
      <w:pPr>
        <w:pStyle w:val="Heading1"/>
      </w:pPr>
      <w:r>
        <w:t>S10  Multiclass enclosure stability</w:t>
      </w:r>
    </w:p>
    <w:p>
      <w:pPr>
        <w:pStyle w:val="FirstParagraph"/>
      </w:pPr>
      <w:r>
        <w:t xml:space="preserve">This result concerns two complete observed fields on fixed coordinates and</w:t>
      </w:r>
      <w:r>
        <w:t xml:space="preserve"> </w:t>
      </w:r>
      <w:r>
        <w:t xml:space="preserve">specimen membership. It is a finite-input stability statement, not a</w:t>
      </w:r>
      <w:r>
        <w:t xml:space="preserve"> </w:t>
      </w:r>
      <w:r>
        <w:t xml:space="preserve">consistency result or a latent-label generative model. Let the two fields agree</w:t>
      </w:r>
      <w:r>
        <w:t xml:space="preserve"> </w:t>
      </w:r>
      <w:r>
        <w:t xml:space="preserve">at query</w:t>
      </w:r>
      <w:r>
        <w:t xml:space="preserve"> </w:t>
      </w:r>
      <m:oMath>
        <m:r>
          <m:t>i</m:t>
        </m:r>
      </m:oMath>
      <w:r>
        <w:t xml:space="preserve">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their changed locations.</w:t>
      </w:r>
    </w:p>
    <w:p>
      <w:pPr>
        <w:pStyle w:val="BodyText"/>
      </w:pPr>
      <w:r>
        <w:t xml:space="preserve">For each chart and class, write</w:t>
      </w:r>
      <w:r>
        <w:t xml:space="preserve"> </w:t>
      </w:r>
      <m:oMath>
        <m:sSubSup>
          <m:e>
            <m:r>
              <m:t>ε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L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ε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R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</m:e>
        </m:d>
      </m:oMath>
      <w:r>
        <w:t xml:space="preserve">. With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the maximum of the</w:t>
      </w:r>
      <w:r>
        <w:t xml:space="preserve"> </w:t>
      </w:r>
      <w:r>
        <w:t xml:space="preserve">four directional states, the square-root inequality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ε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rad>
            <m:radPr>
              <m:degHide m:val="on"/>
            </m:radPr>
            <m:deg/>
            <m:e>
              <m:sSub>
                <m:e>
                  <m:r>
                    <m:t>M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c</m:t>
                  </m:r>
                </m:sub>
              </m:sSub>
            </m:e>
          </m:rad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ra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H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κ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</m:sSub>
      </m:oMath>
      <w:r>
        <w:t xml:space="preserve">. The directional differences are</w:t>
      </w:r>
      <w:r>
        <w:t xml:space="preserve"> </w:t>
      </w:r>
      <w:r>
        <w:t xml:space="preserve">bounded directly by the affected sources, for example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  <m:sSub>
                      <m:e>
                        <m:r>
                          <m:rPr>
                            <m:sty m:val="p"/>
                          </m:rPr>
                          <m:t>≺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i</m:t>
                    </m:r>
                  </m:e>
                </m:m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</m:e>
                </m:mr>
              </m:m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p>
              </m:sSup>
            </m:e>
          </m:nary>
          <m:d>
            <m:dPr>
              <m:begChr m:val="|"/>
              <m:endChr m:val="|"/>
              <m:sepChr m:val=""/>
              <m:grow/>
            </m:dPr>
            <m:e>
              <m:r>
                <m:t>z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a</m:t>
                  </m:r>
                  <m:r>
                    <m:t>j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t>j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symmetric reverse bound. Let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a</m:t>
                </m:r>
                <m:r>
                  <m:t>i</m:t>
                </m:r>
                <m:r>
                  <m:t>c</m:t>
                </m:r>
              </m:sub>
            </m:sSub>
          </m:e>
        </m:nary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a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a</m:t>
                </m:r>
                <m:r>
                  <m:t>i</m:t>
                </m:r>
              </m:sub>
            </m:sSub>
          </m:e>
        </m:d>
      </m:oMath>
      <w:r>
        <w:t xml:space="preserve">, and</w:t>
      </w:r>
      <w:r>
        <w:t xml:space="preserve"> </w:t>
      </w:r>
      <m:oMath>
        <m:sSub>
          <m:e>
            <m:r>
              <m:t>κ</m:t>
            </m:r>
          </m:e>
          <m:sub>
            <m:r>
              <m:t>a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</m:sub>
        </m:sSub>
        <m:sSub>
          <m:e>
            <m:r>
              <m:t>κ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</m:sSub>
      </m:oMath>
      <w:r>
        <w:t xml:space="preserve">. Since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T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a</m:t>
                </m:r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a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r>
          <m:t>C</m:t>
        </m:r>
        <m:sSub>
          <m:e>
            <m:r>
              <m:t>κ</m:t>
            </m:r>
          </m:e>
          <m:sub>
            <m:r>
              <m:t>a</m:t>
            </m:r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p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κ</m:t>
                  </m:r>
                </m:e>
                <m:sub>
                  <m:r>
                    <m:t>a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a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Consequently,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A</m:t>
              </m:r>
            </m:sup>
            <m:e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b>
                    <m:e>
                      <m:r>
                        <m:t>κ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we have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</m:sub>
        </m:sSub>
        <m:d>
          <m:dPr>
            <m:begChr m:val="|"/>
            <m:endChr m:val="|"/>
            <m:sepChr m:val=""/>
            <m:grow/>
          </m:dPr>
          <m:e>
            <m:r>
              <m:t>m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i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c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. The chart dispersion is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P</m:t>
        </m:r>
        <m:sSub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a</m:t>
                    </m:r>
                    <m:r>
                      <m:t>i</m:t>
                    </m:r>
                    <m:r>
                      <m:t>c</m:t>
                    </m:r>
                  </m:sub>
                </m:sSub>
              </m:e>
            </m:d>
          </m:e>
          <m:sub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, so the reverse triangle inequality gives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sSub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sSub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i</m:t>
                              </m:r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i</m:t>
                              </m:r>
                              <m:r>
                                <m:t>c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A</m:t>
                      </m:r>
                    </m:sup>
                  </m:sSubSup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isolation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coordinate-derived and unchanged under this</w:t>
      </w:r>
      <w:r>
        <w:t xml:space="preserve"> </w:t>
      </w:r>
      <w:r>
        <w:t xml:space="preserve">comparison. The exact barrier is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i</m:t>
            </m:r>
          </m:sub>
        </m:sSub>
        <m:sSub>
          <m:e>
            <m:r>
              <m:t>s</m:t>
            </m:r>
          </m:e>
          <m:sub>
            <m:r>
              <m:t>i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t>c</m:t>
            </m:r>
          </m:sub>
        </m:sSub>
      </m:oMath>
      <w:r>
        <w:t xml:space="preserve">, hence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B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≤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s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  <m:sub>
                          <m:r>
                            <m:t>i</m:t>
                          </m:r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  <m:r>
                            <m:t>c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δ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Theorem S3 (finite-input enclosure stability).</w:t>
      </w:r>
      <w:r>
        <w:t xml:space="preserve"> </w:t>
      </w:r>
      <w:r>
        <w:t xml:space="preserve">If the unperturbed best</w:t>
      </w:r>
      <w:r>
        <w:t xml:space="preserve"> </w:t>
      </w:r>
      <w:r>
        <w:t xml:space="preserve">candidate has a margin gap greater than</w:t>
      </w:r>
      <w:r>
        <w:t xml:space="preserve"> </w:t>
      </w:r>
      <m:oMath>
        <m:r>
          <m:t>2</m:t>
        </m:r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, it is unchanged. If its</w:t>
      </w:r>
      <w:r>
        <w:t xml:space="preserve"> </w:t>
      </w:r>
      <w:r>
        <w:t xml:space="preserve">candidate-versus-barrier clearance exceeds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ζ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ζ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</m:sub>
        </m:sSub>
        <m:d>
          <m:dPr>
            <m:begChr m:val="|"/>
            <m:endChr m:val="|"/>
            <m:sepChr m:val=""/>
            <m:grow/>
          </m:dPr>
          <m:e>
            <m:r>
              <m:t>B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i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c</m:t>
                </m:r>
              </m:sub>
            </m:sSub>
          </m:e>
        </m:d>
      </m:oMath>
      <w:r>
        <w:t xml:space="preserve">, the retain/change decision is unchanged.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Equation (S17) bounds each directional state; (S16) bounds the</w:t>
      </w:r>
      <w:r>
        <w:t xml:space="preserve"> </w:t>
      </w:r>
      <w:r>
        <w:t xml:space="preserve">enclosure field; and (S18) bounds its normalized class fraction. The two</w:t>
      </w:r>
      <w:r>
        <w:t xml:space="preserve"> </w:t>
      </w:r>
      <w:r>
        <w:t xml:space="preserve">contrasts in a rival-versus-observed difference give (S19). Equation (S20)</w:t>
      </w:r>
      <w:r>
        <w:t xml:space="preserve"> </w:t>
      </w:r>
      <w:r>
        <w:t xml:space="preserve">and the exact barrier form give (S21). A margin gap larger than</w:t>
      </w:r>
      <w:r>
        <w:t xml:space="preserve"> </w:t>
      </w:r>
      <m:oMath>
        <m:r>
          <m:t>2</m:t>
        </m:r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preserves the candidate, while a clearance larger than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ζ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preserves the sign of its acceptance difference.</w:t>
      </w:r>
      <w:r>
        <w:t xml:space="preserve"> </w:t>
      </w:r>
      <m:oMath>
        <m:r>
          <m:rPr>
            <m:sty m:val="p"/>
          </m:rPr>
          <m:t>▫</m:t>
        </m:r>
      </m:oMath>
    </w:p>
    <w:bookmarkEnd w:id="33"/>
    <w:bookmarkStart w:id="34" w:name="predefined-real-coordinate-evaluation"/>
    <w:p>
      <w:pPr>
        <w:pStyle w:val="Heading1"/>
      </w:pPr>
      <w:r>
        <w:t>S11  Predefined real-coordinate evaluation</w:t>
      </w:r>
    </w:p>
    <w:p>
      <w:pPr>
        <w:pStyle w:val="FirstParagraph"/>
      </w:pPr>
      <w:r>
        <w:t xml:space="preserve">DLPFC uses 45 interface-band corruptions across 12 Visium sections from three</w:t>
      </w:r>
      <w:r>
        <w:t xml:space="preserve"> </w:t>
      </w:r>
      <w:r>
        <w:t xml:space="preserve">donors, with 47,329 spots and seven cortical-layer labels. CRC uses five error</w:t>
      </w:r>
      <w:r>
        <w:t xml:space="preserve"> </w:t>
      </w:r>
      <w:r>
        <w:t xml:space="preserve">rates (5%, 10%, 15%, 25%, and 40%), four mechanisms (random, boundary, patch,</w:t>
      </w:r>
      <w:r>
        <w:t xml:space="preserve"> </w:t>
      </w:r>
      <w:r>
        <w:t xml:space="preserve">and regional), and three deterministic replicates, for 60 fields over 194,541</w:t>
      </w:r>
      <w:r>
        <w:t xml:space="preserve"> </w:t>
      </w:r>
      <w:r>
        <w:t xml:space="preserve">locations. MERFISH uses 45 fixed corruptions across five consecutive</w:t>
      </w:r>
      <w:r>
        <w:t xml:space="preserve"> </w:t>
      </w:r>
      <w:r>
        <w:t xml:space="preserve">hypothalamic planes. Boundary locations have a different reference class among</w:t>
      </w:r>
      <w:r>
        <w:t xml:space="preserve"> </w:t>
      </w:r>
      <w:r>
        <w:t xml:space="preserve">their eight nearest within-specimen neighbours; sparse locations are the least</w:t>
      </w:r>
      <w:r>
        <w:t xml:space="preserve"> </w:t>
      </w:r>
      <w:r>
        <w:t xml:space="preserve">prevalent reference class in an evaluation unit.</w:t>
      </w:r>
    </w:p>
    <w:p>
      <w:pPr>
        <w:pStyle w:val="BodyText"/>
      </w:pPr>
      <w:r>
        <w:t xml:space="preserve">Table S4 contains the complete native operating-point matrix on the</w:t>
      </w:r>
      <w:r>
        <w:t xml:space="preserve"> </w:t>
      </w:r>
      <w:r>
        <w:t xml:space="preserve">same stored fields. Accuracy and ARI are primary; correction recall and damage</w:t>
      </w:r>
      <w:r>
        <w:t xml:space="preserve"> </w:t>
      </w:r>
      <w:r>
        <w:t xml:space="preserve">describe the edit trade-off. Common-harness timing is reported separately in</w:t>
      </w:r>
      <w:r>
        <w:t xml:space="preserve"> </w:t>
      </w:r>
      <w:r>
        <w:t xml:space="preserve">Table S8 rather than mixing fresh and retained timing runs.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Dataset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Correction recall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Initial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0.8100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0.6956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0.8220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0.6387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0.0386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0.8709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0.7913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0.4100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0.0099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0.8272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0.7259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0.1529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0.8689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0.7894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0.3960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0.0049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0.8785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0.8029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0.4942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0.0155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0.8112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0.5067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0.0164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0.8569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0.7696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0.3702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0.0126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0.8846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0.8058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0.7316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0.0742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DLPFC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0.8566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0.7650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0.6661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0.0909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Initial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0.8100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0.7085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0.8589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0.4444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0.0478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0.7815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0.4049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0.0381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0.8100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0.7085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0.8497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0.7682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0.3442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0.0324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0.8604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0.7827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0.4105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0.0336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0.8503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0.7690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0.4097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0.0434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0.8490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0.7661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0.3113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0.0175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0.8081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0.7141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0.5412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0.1321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CRC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0.8532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0.7707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0.5895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0.0860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Initial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0.8100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0.6502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0.8905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0.8004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0.6172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0.0367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0.8843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0.7888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0.5093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0.0188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0.8263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0.6837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0.1542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0.0002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0.8817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0.4698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0.0105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0.8823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0.7856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0.5355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0.0223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0.7712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0.5043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0.0232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0.8634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0.7485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0.4206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0.0155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0.7798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0.6821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0.0778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MERFISH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0.8695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0.7596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0.6644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0.0719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S4.</w:t>
      </w:r>
      <w:r>
        <w:t xml:space="preserve"> </w:t>
      </w:r>
      <w:r>
        <w:t xml:space="preserve">Complete DLPFC, CRC, and MERFISH operating-point matrix. Higher</w:t>
      </w:r>
      <w:r>
        <w:t xml:space="preserve"> </w:t>
      </w:r>
      <w:r>
        <w:t xml:space="preserve">is better except for damage. The 45 DLPFC, 60 CRC, and 45 MERFISH corruptions</w:t>
      </w:r>
      <w:r>
        <w:t xml:space="preserve"> </w:t>
      </w:r>
      <w:r>
        <w:t xml:space="preserve">are not independent biological samples.</w:t>
      </w:r>
    </w:p>
    <w:bookmarkEnd w:id="34"/>
    <w:bookmarkStart w:id="35" w:name="broad-coordinate-only-simulation-ledgers"/>
    <w:p>
      <w:pPr>
        <w:pStyle w:val="Heading1"/>
      </w:pPr>
      <w:r>
        <w:t>S12  Broad coordinate-only simulation ledgers</w:t>
      </w:r>
    </w:p>
    <w:p>
      <w:pPr>
        <w:pStyle w:val="FirstParagraph"/>
      </w:pPr>
      <w:r>
        <w:t xml:space="preserve">The complete simulation ledger crosses dimensions, geometry families, density</w:t>
      </w:r>
      <w:r>
        <w:t xml:space="preserve"> </w:t>
      </w:r>
      <w:r>
        <w:t xml:space="preserve">profiles, corruption mechanisms, rates, and specimen counts. The unseen-</w:t>
      </w:r>
      <w:r>
        <w:t xml:space="preserve"> </w:t>
      </w:r>
      <w:r>
        <w:t xml:space="preserve">geometry ledger contains six additional families that are absent from the</w:t>
      </w:r>
      <w:r>
        <w:t xml:space="preserve"> </w:t>
      </w:r>
      <w:r>
        <w:t xml:space="preserve">complete panel. Both use prespecified deterministic inputs, and all methods</w:t>
      </w:r>
      <w:r>
        <w:t xml:space="preserve"> </w:t>
      </w:r>
      <w:r>
        <w:t xml:space="preserve">receive the same coordinates and corrupted categorical labels. Table S4A</w:t>
      </w:r>
      <w:r>
        <w:t xml:space="preserve"> </w:t>
      </w:r>
      <w:r>
        <w:t xml:space="preserve">reports the primary aggregate comparison; complete secondary outcomes and</w:t>
      </w:r>
      <w:r>
        <w:t xml:space="preserve"> </w:t>
      </w:r>
      <w:r>
        <w:t xml:space="preserve">per-field rows are retained in the result archive.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Panel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Units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FiberMargin 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Best control 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FiberMargin 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Best control ARI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Complete simulation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708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0.8302 (Harmonic)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0.6574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0.6328 (Multiscale)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Unseen geometry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108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0.8645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0.8536 (Harmonic)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0.7194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0.6869 (Multiscale)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S4A.</w:t>
      </w:r>
      <w:r>
        <w:t xml:space="preserve"> </w:t>
      </w:r>
      <w:r>
        <w:t xml:space="preserve">Aggregate primary scores on the broad coordinate-only</w:t>
      </w:r>
      <w:r>
        <w:t xml:space="preserve"> </w:t>
      </w:r>
      <w:r>
        <w:t xml:space="preserve">simulation ledgers. Higher is better. Units are generated fields, not</w:t>
      </w:r>
      <w:r>
        <w:t xml:space="preserve"> </w:t>
      </w:r>
      <w:r>
        <w:t xml:space="preserve">independent biological samples.</w:t>
      </w:r>
    </w:p>
    <w:p>
      <w:pPr>
        <w:pStyle w:val="BodyText"/>
      </w:pPr>
      <w:r>
        <w:t xml:space="preserve">Main Figure 2 places these two ledgers beside the dedicated variable-density</w:t>
      </w:r>
      <w:r>
        <w:t xml:space="preserve"> </w:t>
      </w:r>
      <w:r>
        <w:t xml:space="preserve">3D panel and shows the full fixed control roster. Table S4B reports descriptive</w:t>
      </w:r>
      <w:r>
        <w:t xml:space="preserve"> </w:t>
      </w:r>
      <w:r>
        <w:t xml:space="preserve">paired cluster-bootstrap intervals against the strongest aggregate control for</w:t>
      </w:r>
      <w:r>
        <w:t xml:space="preserve"> </w:t>
      </w:r>
      <w:r>
        <w:t xml:space="preserve">each metric and panel. That control is selected after the full roster is</w:t>
      </w:r>
      <w:r>
        <w:t xml:space="preserve"> </w:t>
      </w:r>
      <w:r>
        <w:t xml:space="preserve">displayed, so the intervals are not selection-adjusted. Geometry family is the resampling cluster for the</w:t>
      </w:r>
      <w:r>
        <w:t xml:space="preserve"> </w:t>
      </w:r>
      <w:r>
        <w:t xml:space="preserve">complete and unseen panels; geometry-by-acquisition is the cluster for the</w:t>
      </w:r>
      <w:r>
        <w:t xml:space="preserve"> </w:t>
      </w:r>
      <w:r>
        <w:t xml:space="preserve">variable-density panel. The comparator is the strongest fixed control mean for</w:t>
      </w:r>
      <w:r>
        <w:t xml:space="preserve"> </w:t>
      </w:r>
      <w:r>
        <w:t xml:space="preserve">the stated metric, selected descriptively after the full roster was displayed.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Panel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 difference (95% interval)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 difference (95% interval)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 difference (95% interval)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Complete simulation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+0.0112 (+0.0076, +0.0146)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+0.0251 (+0.0135, +0.0360)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+0.0249 (+0.0123, +0.0405)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Unseen geometry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+0.0108 (+0.0078, +0.0147)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+0.0324 (+0.0155, +0.0458)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+0.0218 (+0.0081, +0.0358)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Variable-density 3D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+0.0085 (-0.0066, +0.0188)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-0.0010 (-0.0478, +0.0324)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+0.0323 (+0.0174, +0.0542)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S4B.</w:t>
      </w:r>
      <w:r>
        <w:t xml:space="preserve"> </w:t>
      </w:r>
      <w:r>
        <w:t xml:space="preserve">Descriptive FiberMargin-minus-strongest-control paired differences</w:t>
      </w:r>
      <w:r>
        <w:t xml:space="preserve"> </w:t>
      </w:r>
      <w:r>
        <w:t xml:space="preserve">with 10,000 cluster-bootstrap resamples. Harmonic propagation is the accuracy</w:t>
      </w:r>
      <w:r>
        <w:t xml:space="preserve"> </w:t>
      </w:r>
      <w:r>
        <w:t xml:space="preserve">comparator for the complete and unseen panels; multiscale mode is the ARI</w:t>
      </w:r>
      <w:r>
        <w:t xml:space="preserve"> </w:t>
      </w:r>
      <w:r>
        <w:t xml:space="preserve">comparator and both primary-score comparators in the variable-density panel.</w:t>
      </w:r>
      <w:r>
        <w:t xml:space="preserve"> </w:t>
      </w:r>
      <w:r>
        <w:t xml:space="preserve">Coordinate CRF is the lowest-damage comparator. Positive differences favor</w:t>
      </w:r>
      <w:r>
        <w:t xml:space="preserve"> </w:t>
      </w:r>
      <w:r>
        <w:t xml:space="preserve">FiberMargin for Accuracy and ARI but are worse for Damage. The intervals are not</w:t>
      </w:r>
      <w:r>
        <w:t xml:space="preserve"> </w:t>
      </w:r>
      <w:r>
        <w:t xml:space="preserve">adjusted for selecting the strongest displayed control and describe variation</w:t>
      </w:r>
      <w:r>
        <w:t xml:space="preserve"> </w:t>
      </w:r>
      <w:r>
        <w:t xml:space="preserve">across generated geometry clusters, not population-level biological uncertainty.</w:t>
      </w:r>
    </w:p>
    <w:bookmarkEnd w:id="35"/>
    <w:bookmarkStart w:id="44" w:name="procedural-categorical-mask-evaluation"/>
    <w:p>
      <w:pPr>
        <w:pStyle w:val="Heading1"/>
      </w:pPr>
      <w:r>
        <w:t>S13  Procedural categorical-mask evaluation</w:t>
      </w:r>
    </w:p>
    <w:p>
      <w:pPr>
        <w:pStyle w:val="FirstParagraph"/>
      </w:pPr>
      <w:r>
        <w:t xml:space="preserve">The following separate simulation matrix evaluates geometric mask repair rather</w:t>
      </w:r>
      <w:r>
        <w:t xml:space="preserve"> </w:t>
      </w:r>
      <w:r>
        <w:t xml:space="preserve">than real-coordinate recovery. It contains 108 deterministic 96 by 96 masks:</w:t>
      </w:r>
      <w:r>
        <w:t xml:space="preserve"> </w:t>
      </w:r>
      <w:r>
        <w:t xml:space="preserve">six families (nested regions, jagged layers, thin networks, disconnected</w:t>
      </w:r>
      <w:r>
        <w:t xml:space="preserve"> </w:t>
      </w:r>
      <w:r>
        <w:t xml:space="preserve">islands, touching regions, and perforated rings), three geometry seeds, three</w:t>
      </w:r>
      <w:r>
        <w:t xml:space="preserve"> </w:t>
      </w:r>
      <w:r>
        <w:t xml:space="preserve">corruption mechanisms (impulse, boundary, and patch), and two corruption rates</w:t>
      </w:r>
      <w:r>
        <w:t xml:space="preserve"> </w:t>
      </w:r>
      <w:r>
        <w:t xml:space="preserve">(15% and 30%). Every method receives only the corrupted categorical mask and</w:t>
      </w:r>
      <w:r>
        <w:t xml:space="preserve"> </w:t>
      </w:r>
      <w:r>
        <w:t xml:space="preserve">its pixel coordinates; reference masks are used only for scoring. Each</w:t>
      </w:r>
      <w:r>
        <w:t xml:space="preserve"> </w:t>
      </w:r>
      <w:r>
        <w:t xml:space="preserve">corruption preserves at least one observed exemplar of every class.</w:t>
      </w:r>
    </w:p>
    <w:p>
      <w:pPr>
        <w:pStyle w:val="BodyText"/>
      </w:pPr>
      <w:r>
        <w:t xml:space="preserve">For grid masks, a boundary location has a different reference class in its</w:t>
      </w:r>
      <w:r>
        <w:t xml:space="preserve"> </w:t>
      </w:r>
      <w:r>
        <w:t xml:space="preserve">four-connected neighbourhood. Mean boundary IoU averages, over reference</w:t>
      </w:r>
      <w:r>
        <w:t xml:space="preserve"> </w:t>
      </w:r>
      <w:r>
        <w:t xml:space="preserve">classes, the IoU of the one-pixel inner boundary bands in the reference and</w:t>
      </w:r>
      <w:r>
        <w:t xml:space="preserve"> </w:t>
      </w:r>
      <w:r>
        <w:t xml:space="preserve">repaired masks. Rare-class IoU is the IoU of the least prevalent reference</w:t>
      </w:r>
      <w:r>
        <w:t xml:space="preserve"> </w:t>
      </w:r>
      <w:r>
        <w:t xml:space="preserve">class in the case. The matrix is a controlled geometric stress test, not an</w:t>
      </w:r>
      <w:r>
        <w:t xml:space="preserve"> </w:t>
      </w:r>
      <w:r>
        <w:t xml:space="preserve">independent biological or upstream-prediction study.</w:t>
      </w:r>
    </w:p>
    <w:p>
      <w:pPr>
        <w:pStyle w:val="BodyText"/>
      </w:pPr>
      <w:r>
        <w:t xml:space="preserve">Supplementary Figure 1 shows all eleven methods. FiberMargin has the highest</w:t>
      </w:r>
      <w:r>
        <w:t xml:space="preserve"> </w:t>
      </w:r>
      <w:r>
        <w:t xml:space="preserve">accuracy, ARI, mean IoU, boundary IoU, and rare-class IoU. The 8-NN modal</w:t>
      </w:r>
      <w:r>
        <w:t xml:space="preserve"> </w:t>
      </w:r>
      <w:r>
        <w:t xml:space="preserve">filter has higher correction recall, while multiscale mode and alpha-expansion</w:t>
      </w:r>
      <w:r>
        <w:t xml:space="preserve"> </w:t>
      </w:r>
      <w:r>
        <w:t xml:space="preserve">have lower damage. Table S5 gives the complete aggregate matrix, so these</w:t>
      </w:r>
      <w:r>
        <w:t xml:space="preserve"> </w:t>
      </w:r>
      <w:r>
        <w:t xml:space="preserve">distinct operating points are visible rather than collapsed into a single rank.</w:t>
      </w:r>
    </w:p>
    <w:bookmarkStart w:id="39" w:name="fig:procedural-mask-metrics"/>
    <w:p>
      <w:pPr>
        <w:pStyle w:val="CaptionedFigure"/>
        <w:jc w:val="center"/>
      </w:pPr>
      <w:r>
        <w:drawing>
          <wp:inline>
            <wp:extent cx="5067300" cy="3020890"/>
            <wp:effectExtent b="0" l="0" r="0" t="0"/>
            <wp:docPr descr="Procedural categorical-mask performance across 108 deterministic cases. Higher is better for accuracy, mean IoU, boundary IoU, rare-class IoU, and correction recall; lower is better for damage. Every point uses only the corrupted categorical field and grid coordinates." title="" id="37" name="Picture"/>
            <a:graphic>
              <a:graphicData uri="http://schemas.openxmlformats.org/drawingml/2006/picture">
                <pic:pic>
                  <pic:nvPicPr>
                    <pic:cNvPr descr="figures/fibermargin_procedural_mask_metric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2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Procedural categorical-mask performance across 108 deterministic cases. Higher is better for accuracy, mean IoU, boundary IoU, rare-class IoU, and correction recall; lower is better for damage. Every point uses only the corrupted categorical field and grid coordinates.</w:t>
      </w:r>
    </w:p>
    <w:bookmarkEnd w:id="39"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Mean IoU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Boundary IoU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Rare IoU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0.9113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0.7743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0.4263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0.6594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0.7392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0.0056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0.9043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0.7478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0.3954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0.6015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0.7210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0.9023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0.7406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0.3991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0.5763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0.7218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0.0231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48-NN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0.9070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0.7153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0.3610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0.5101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0.0153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0.9059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0.7087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0.3387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0.4942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0.6964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0.0163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0.8997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0.7176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0.3410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0.5290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0.7037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0.8988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0.7054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0.3260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0.4958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0.7009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0.8961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0.7162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0.3341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0.5496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0.6913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0.8740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0.6661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0.2882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0.4562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0.6335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0.8662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0.6490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0.2764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0.4358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Initial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0.7750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0.5312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0.2082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0.3344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0.4242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S5.</w:t>
      </w:r>
      <w:r>
        <w:t xml:space="preserve"> </w:t>
      </w:r>
      <w:r>
        <w:t xml:space="preserve">Procedural categorical-mask results across all 108 cases. Higher</w:t>
      </w:r>
      <w:r>
        <w:t xml:space="preserve"> </w:t>
      </w:r>
      <w:r>
        <w:t xml:space="preserve">is better except for damage. The full case-level ledger additionally records</w:t>
      </w:r>
      <w:r>
        <w:t xml:space="preserve"> </w:t>
      </w:r>
      <w:r>
        <w:t xml:space="preserve">macro recall, worst recall, correction recall, changed fraction, and runtime.</w:t>
      </w:r>
    </w:p>
    <w:p>
      <w:pPr>
        <w:pStyle w:val="BodyText"/>
      </w:pPr>
      <w:r>
        <w:t xml:space="preserve">Supplementary Figure 2 shows representative 30% boundary-corruption cases so</w:t>
      </w:r>
      <w:r>
        <w:t xml:space="preserve"> </w:t>
      </w:r>
      <w:r>
        <w:t xml:space="preserve">that aggregate scores can be compared with the repaired geometry.</w:t>
      </w:r>
    </w:p>
    <w:bookmarkStart w:id="43" w:name="fig:procedural-mask-examples"/>
    <w:p>
      <w:pPr>
        <w:pStyle w:val="CaptionedFigure"/>
        <w:jc w:val="center"/>
      </w:pPr>
      <w:r>
        <w:drawing>
          <wp:inline>
            <wp:extent cx="5067300" cy="5449737"/>
            <wp:effectExtent b="0" l="0" r="0" t="0"/>
            <wp:docPr descr="Procedural mask examples at 30% boundary corruption. Each row is a different family; columns show the reference mask, corrupted input, 8-NN modal filter, and FiberMargin." title="" id="41" name="Picture"/>
            <a:graphic>
              <a:graphicData uri="http://schemas.openxmlformats.org/drawingml/2006/picture">
                <pic:pic>
                  <pic:nvPicPr>
                    <pic:cNvPr descr="figures/fibermargin_procedural_mask_exampl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44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Procedural mask examples at 30% boundary corruption. Each row is a different family; columns show the reference mask, corrupted input, 8-NN modal filter, and FiberMargin.</w:t>
      </w:r>
    </w:p>
    <w:bookmarkEnd w:id="43"/>
    <w:bookmarkEnd w:id="44"/>
    <w:bookmarkStart w:id="53" w:name="Xe602a7f738da95b0aaae9f3800e0165e2afc483"/>
    <w:p>
      <w:pPr>
        <w:pStyle w:val="Heading1"/>
      </w:pPr>
      <w:r>
        <w:t>S14  Three-dimensional variable-density evaluation</w:t>
      </w:r>
    </w:p>
    <w:p>
      <w:pPr>
        <w:pStyle w:val="FirstParagraph"/>
      </w:pPr>
      <w:r>
        <w:t xml:space="preserve">This distinct controlled-recovery panel tests the three-dimensional public</w:t>
      </w:r>
      <w:r>
        <w:t xml:space="preserve"> </w:t>
      </w:r>
      <w:r>
        <w:t xml:space="preserve">interface under non-uniform sampling. It contains 36 deterministic five-class</w:t>
      </w:r>
      <w:r>
        <w:t xml:space="preserve"> </w:t>
      </w:r>
      <w:r>
        <w:t xml:space="preserve">fields with 6,000 locations and 25% class-preserving corruption. The full</w:t>
      </w:r>
      <w:r>
        <w:t xml:space="preserve"> </w:t>
      </w:r>
      <w:r>
        <w:t xml:space="preserve">factorial design crosses four geometries (folded layers, thin folded sheets,</w:t>
      </w:r>
      <w:r>
        <w:t xml:space="preserve"> </w:t>
      </w:r>
      <w:r>
        <w:t xml:space="preserve">branching tubes, and disconnected volumes), three acquisition regimes</w:t>
      </w:r>
      <w:r>
        <w:t xml:space="preserve"> </w:t>
      </w:r>
      <w:r>
        <w:t xml:space="preserve">(uniform, class-imbalanced, and irregular depth), and three corruption</w:t>
      </w:r>
      <w:r>
        <w:t xml:space="preserve"> </w:t>
      </w:r>
      <w:r>
        <w:t xml:space="preserve">mechanisms (random, boundary-focused, and patch-like). The class-imbalanced</w:t>
      </w:r>
      <w:r>
        <w:t xml:space="preserve"> </w:t>
      </w:r>
      <w:r>
        <w:t xml:space="preserve">regime uses class-dependent point-sampling weights, so regions have different</w:t>
      </w:r>
      <w:r>
        <w:t xml:space="preserve"> </w:t>
      </w:r>
      <w:r>
        <w:t xml:space="preserve">point concentrations rather than merely different label frequencies. The</w:t>
      </w:r>
      <w:r>
        <w:t xml:space="preserve"> </w:t>
      </w:r>
      <w:r>
        <w:t xml:space="preserve">irregular-depth regime supplies two specimen identifiers, which tests that</w:t>
      </w:r>
      <w:r>
        <w:t xml:space="preserve"> </w:t>
      </w:r>
      <w:r>
        <w:t xml:space="preserve">repair remains within specimen. Every method receives only coordinates, the</w:t>
      </w:r>
      <w:r>
        <w:t xml:space="preserve"> </w:t>
      </w:r>
      <w:r>
        <w:t xml:space="preserve">corrupted field, and specimen membership; reference labels are used only for</w:t>
      </w:r>
      <w:r>
        <w:t xml:space="preserve"> </w:t>
      </w:r>
      <w:r>
        <w:t xml:space="preserve">scoring.</w:t>
      </w:r>
    </w:p>
    <w:p>
      <w:pPr>
        <w:pStyle w:val="BodyText"/>
      </w:pPr>
      <w:r>
        <w:t xml:space="preserve">Table S6 contains all fixed coordinate-only controls. FiberMargin has the</w:t>
      </w:r>
      <w:r>
        <w:t xml:space="preserve"> </w:t>
      </w:r>
      <w:r>
        <w:t xml:space="preserve">highest mean accuracy by 0.0085 over multiscale mode, while multiscale mode has</w:t>
      </w:r>
      <w:r>
        <w:t xml:space="preserve"> </w:t>
      </w:r>
      <w:r>
        <w:t xml:space="preserve">a 0.0010 ARI advantage, higher sparse-region accuracy, and lower damage. In the</w:t>
      </w:r>
      <w:r>
        <w:t xml:space="preserve"> </w:t>
      </w:r>
      <w:r>
        <w:t xml:space="preserve">class-imbalanced regime, FiberMargin has accuracy 0.8622</w:t>
      </w:r>
      <w:r>
        <w:t xml:space="preserve"> </w:t>
      </w:r>
      <w:r>
        <w:t xml:space="preserve">and ARI 0.6198, compared with 0.8444 and 0.5921 for multiscale mode. These</w:t>
      </w:r>
      <w:r>
        <w:t xml:space="preserve"> </w:t>
      </w:r>
      <w:r>
        <w:t xml:space="preserve">means summarize generated fields and are not treated as independent biological</w:t>
      </w:r>
      <w:r>
        <w:t xml:space="preserve"> </w:t>
      </w:r>
      <w:r>
        <w:t xml:space="preserve">replicates. Supplementary Figure 3 gives the full multi-metric operating-point</w:t>
      </w:r>
      <w:r>
        <w:t xml:space="preserve"> </w:t>
      </w:r>
      <w:r>
        <w:t xml:space="preserve">comparison, and Supplementary Figure 4 shows central-depth slices from the</w:t>
      </w:r>
      <w:r>
        <w:t xml:space="preserve"> </w:t>
      </w:r>
      <w:r>
        <w:t xml:space="preserve">class-imbalanced fields. Table S7 reports all three predeclared acquisition</w:t>
      </w:r>
      <w:r>
        <w:t xml:space="preserve"> </w:t>
      </w:r>
      <w:r>
        <w:t xml:space="preserve">regimes for the two leading aggregate methods.</w:t>
      </w:r>
    </w:p>
    <w:bookmarkStart w:id="48" w:name="fig:volumetric-density-performance"/>
    <w:p>
      <w:pPr>
        <w:pStyle w:val="CaptionedFigure"/>
        <w:jc w:val="center"/>
      </w:pPr>
      <w:r>
        <w:drawing>
          <wp:inline>
            <wp:extent cx="5067300" cy="3020890"/>
            <wp:effectExtent b="0" l="0" r="0" t="0"/>
            <wp:docPr descr="Three-dimensional variable-density performance across 36 deterministic fields. Higher is better for accuracy, ARI, worst recall, and sparse-region accuracy; lower is better for damage. Every method receives the same corrupted categorical field and three-dimensional coordinates." title="" id="46" name="Picture"/>
            <a:graphic>
              <a:graphicData uri="http://schemas.openxmlformats.org/drawingml/2006/picture">
                <pic:pic>
                  <pic:nvPicPr>
                    <pic:cNvPr descr="figures/fibermargin_3d_density_performanc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2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Three-dimensional variable-density performance across 36 deterministic fields. Higher is better for accuracy, ARI, worst recall, and sparse-region accuracy; lower is better for damage. Every method receives the same corrupted categorical field and three-dimensional coordinates.</w:t>
      </w:r>
    </w:p>
    <w:bookmarkEnd w:id="48"/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Worst recall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Sparse 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Mean seconds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0.8549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0.6188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0.5266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0.5636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0.0354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0.0374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0.8465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0.6198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0.5567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0.5924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0.0227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0.0947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0.8417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0.5820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0.4557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0.4891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0.0323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0.1003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0.8397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0.5936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0.5281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0.5688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0.0230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0.1654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0.8288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0.5257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0.3375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0.3774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0.0984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0.0871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0.8270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0.5764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0.5281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0.5631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0.0676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0.0229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0.8120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0.5518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0.5986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0.6326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0.0140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0.0193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0.8065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0.5466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0.4553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0.4972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0.0298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0.0464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0.7850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0.5014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0.5910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0.6359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0.0031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0.1357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Initial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0.7501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0.4334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0.6040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0.6730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S6.</w:t>
      </w:r>
      <w:r>
        <w:t xml:space="preserve"> </w:t>
      </w:r>
      <w:r>
        <w:t xml:space="preserve">Three-dimensional variable-density controlled-recovery results</w:t>
      </w:r>
      <w:r>
        <w:t xml:space="preserve"> </w:t>
      </w:r>
      <w:r>
        <w:t xml:space="preserve">across all 36 fields. Higher is better except for damage and mean seconds. The</w:t>
      </w:r>
      <w:r>
        <w:t xml:space="preserve"> </w:t>
      </w:r>
      <w:r>
        <w:t xml:space="preserve">case-level ledger additionally records macro recall, boundary accuracy,</w:t>
      </w:r>
      <w:r>
        <w:t xml:space="preserve"> </w:t>
      </w:r>
      <w:r>
        <w:t xml:space="preserve">correction recall, geometry, acquisition regime, corruption mechanism, and</w:t>
      </w:r>
      <w:r>
        <w:t xml:space="preserve"> </w:t>
      </w:r>
      <w:r>
        <w:t xml:space="preserve">source identity.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Acquisition regime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Worst recall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Sparse 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Class-imbalanced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0.8622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0.6198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0.3638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0.3852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0.0286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Class-imbalanced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0.8444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0.5921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0.3594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0.3758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0.0327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Irregular depth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0.6460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0.6337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0.6850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0.0272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Irregular depth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0.8496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0.6399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0.6431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0.6948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0.0173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Uniform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0.8426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0.5908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0.5823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0.6206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0.0503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Uniform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0.8453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0.6275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0.6676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0.7067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0.0181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S7.</w:t>
      </w:r>
      <w:r>
        <w:t xml:space="preserve"> </w:t>
      </w:r>
      <w:r>
        <w:t xml:space="preserve">Acquisition-regime summaries for the two leading aggregate</w:t>
      </w:r>
      <w:r>
        <w:t xml:space="preserve"> </w:t>
      </w:r>
      <w:r>
        <w:t xml:space="preserve">methods in the three-dimensional panel, with 12 generated fields per regime.</w:t>
      </w:r>
      <w:r>
        <w:t xml:space="preserve"> </w:t>
      </w:r>
      <w:r>
        <w:t xml:space="preserve">FiberMargin leads accuracy and ARI in the class-imbalanced and irregular-depth</w:t>
      </w:r>
      <w:r>
        <w:t xml:space="preserve"> </w:t>
      </w:r>
      <w:r>
        <w:t xml:space="preserve">regimes; multiscale mode leads both scores under uniform acquisition.</w:t>
      </w:r>
      <w:r>
        <w:t xml:space="preserve"> </w:t>
      </w:r>
      <w:r>
        <w:t xml:space="preserve">Multiscale mode has lower damage in the irregular-depth and uniform regimes.</w:t>
      </w:r>
      <w:r>
        <w:t xml:space="preserve"> </w:t>
      </w:r>
      <w:r>
        <w:t xml:space="preserve">Higher is better except for damage.</w:t>
      </w:r>
    </w:p>
    <w:bookmarkStart w:id="52" w:name="fig:volumetric-density-examples"/>
    <w:p>
      <w:pPr>
        <w:pStyle w:val="CaptionedFigure"/>
        <w:jc w:val="center"/>
      </w:pPr>
      <w:r>
        <w:drawing>
          <wp:inline>
            <wp:extent cx="5067300" cy="4922519"/>
            <wp:effectExtent b="0" l="0" r="0" t="0"/>
            <wp:docPr descr="Central-depth slices from four class-imbalanced, boundary-corrupted volumetric fields. Each row is a different geometry; columns show the reference labels, corrupted labels, and FiberMargin repair." title="" id="50" name="Picture"/>
            <a:graphic>
              <a:graphicData uri="http://schemas.openxmlformats.org/drawingml/2006/picture">
                <pic:pic>
                  <pic:nvPicPr>
                    <pic:cNvPr descr="figures/fibermargin_3d_density_example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922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Central-depth slices from four class-imbalanced, boundary-corrupted volumetric fields. Each row is a different geometry; columns show the reference labels, corrupted labels, and FiberMargin repair.</w:t>
      </w:r>
    </w:p>
    <w:bookmarkEnd w:id="52"/>
    <w:bookmarkEnd w:id="53"/>
    <w:bookmarkStart w:id="58" w:name="reproducibility-and-timing"/>
    <w:p>
      <w:pPr>
        <w:pStyle w:val="Heading1"/>
      </w:pPr>
      <w:r>
        <w:t>S15  Reproducibility and timing</w:t>
      </w:r>
    </w:p>
    <w:p>
      <w:pPr>
        <w:pStyle w:val="FirstParagraph"/>
      </w:pPr>
      <w:r>
        <w:t xml:space="preserve">Table S8 and Supplementary Figure 5 report a fresh common-harness timing study</w:t>
      </w:r>
      <w:r>
        <w:t xml:space="preserve"> </w:t>
      </w:r>
      <w:r>
        <w:t xml:space="preserve">on four predeclared cases each from CRC and MERFISH. The cases span the</w:t>
      </w:r>
      <w:r>
        <w:t xml:space="preserve"> </w:t>
      </w:r>
      <w:r>
        <w:t xml:space="preserve">available error mechanisms and low-to-high error rates. Coordinates, labels,</w:t>
      </w:r>
      <w:r>
        <w:t xml:space="preserve"> </w:t>
      </w:r>
      <w:r>
        <w:t xml:space="preserve">and specimen identifiers were resident in memory before timing; data loading,</w:t>
      </w:r>
      <w:r>
        <w:t xml:space="preserve"> </w:t>
      </w:r>
      <w:r>
        <w:t xml:space="preserve">corruption generation, scoring, and plotting were excluded. Each timed call</w:t>
      </w:r>
      <w:r>
        <w:t xml:space="preserve"> </w:t>
      </w:r>
      <w:r>
        <w:t xml:space="preserve">included input validation, method-specific coordinate preprocessing, inference,</w:t>
      </w:r>
      <w:r>
        <w:t xml:space="preserve"> </w:t>
      </w:r>
      <w:r>
        <w:t xml:space="preserve">and output assembly. In particular, no cached kNN graph was supplied to a</w:t>
      </w:r>
      <w:r>
        <w:t xml:space="preserve"> </w:t>
      </w:r>
      <w:r>
        <w:t xml:space="preserve">direct control. One warm-up call per method and case was excluded, followed by</w:t>
      </w:r>
      <w:r>
        <w:t xml:space="preserve"> </w:t>
      </w:r>
      <w:r>
        <w:t xml:space="preserve">two randomized-order repetitions. Every method returned the same fingerprint</w:t>
      </w:r>
      <w:r>
        <w:t xml:space="preserve"> </w:t>
      </w:r>
      <w:r>
        <w:t xml:space="preserve">across its recorded repetitions.</w:t>
      </w:r>
    </w:p>
    <w:bookmarkStart w:id="57" w:name="fig:common-real-timing"/>
    <w:p>
      <w:pPr>
        <w:pStyle w:val="CaptionedFigure"/>
        <w:jc w:val="center"/>
      </w:pPr>
      <w:r>
        <w:drawing>
          <wp:inline>
            <wp:extent cx="4907280" cy="2523744"/>
            <wp:effectExtent b="0" l="0" r="0" t="0"/>
            <wp:docPr descr="Common end-to-end timing on predeclared CRC and MERFISH cases. Each point is the median across four cases and two repetitions per case; lower is faster. Coordinates, labels, and specimens were already in memory, while each method’s own preprocessing was included." title="" id="55" name="Picture"/>
            <a:graphic>
              <a:graphicData uri="http://schemas.openxmlformats.org/drawingml/2006/picture">
                <pic:pic>
                  <pic:nvPicPr>
                    <pic:cNvPr descr="figures/fibermargin_real_common_timin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52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Common end-to-end timing on predeclared CRC and MERFISH cases. Each point is the median across four cases and two repetitions per case; lower is faster. Coordinates, labels, and specimens were already in memory, while each method’s own preprocessing was included.</w:t>
      </w:r>
    </w:p>
    <w:bookmarkEnd w:id="57"/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CRC median seconds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MERFISH median seconds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0.815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0.154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16.841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0.669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2.270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0.129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2.729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0.154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2.228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0.150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0.153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0.302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0.098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1.300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0.351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0.343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0.111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S8.</w:t>
      </w:r>
      <w:r>
        <w:t xml:space="preserve"> </w:t>
      </w:r>
      <w:r>
        <w:t xml:space="preserve">Common single-worker end-to-end timing for all nine methods.</w:t>
      </w:r>
      <w:r>
        <w:t xml:space="preserve"> </w:t>
      </w:r>
      <w:r>
        <w:t xml:space="preserve">Each dataset contains four predeclared cases and two recorded repetitions per</w:t>
      </w:r>
      <w:r>
        <w:t xml:space="preserve"> </w:t>
      </w:r>
      <w:r>
        <w:t xml:space="preserve">case (eight calls per method); values are medians over those calls. Lower is</w:t>
      </w:r>
      <w:r>
        <w:t xml:space="preserve"> </w:t>
      </w:r>
      <w:r>
        <w:t xml:space="preserve">faster. This table is intentionally separate from Table S4 because it measures</w:t>
      </w:r>
      <w:r>
        <w:t xml:space="preserve"> </w:t>
      </w:r>
      <w:r>
        <w:t xml:space="preserve">runtime under one freshly executed, explicitly stated scope rather than</w:t>
      </w:r>
      <w:r>
        <w:t xml:space="preserve"> </w:t>
      </w:r>
      <w:r>
        <w:t xml:space="preserve">retaining historical timing records.</w:t>
      </w:r>
    </w:p>
    <w:p>
      <w:pPr>
        <w:pStyle w:val="BodyText"/>
      </w:pPr>
      <w:r>
        <w:t xml:space="preserve">The accompanying archive records benchmark-input identities and package-build</w:t>
      </w:r>
      <w:r>
        <w:t xml:space="preserve"> </w:t>
      </w:r>
      <w:r>
        <w:t xml:space="preserve">metadata. Independent benchmark fields were scheduled externally, with one</w:t>
      </w:r>
      <w:r>
        <w:t xml:space="preserve"> </w:t>
      </w:r>
      <w:r>
        <w:t xml:space="preserve">native worker per field, so the experiment-level scheduler controlled the total</w:t>
      </w:r>
      <w:r>
        <w:t xml:space="preserve"> </w:t>
      </w:r>
      <w:r>
        <w:t xml:space="preserve">budget. In the package API,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is instead the total budget of one call:</w:t>
      </w:r>
      <w:r>
        <w:t xml:space="preserve"> </w:t>
      </w:r>
      <w:r>
        <w:t xml:space="preserve">specimens are processed independently within one native invocation and reuse</w:t>
      </w:r>
      <w:r>
        <w:t xml:space="preserve"> </w:t>
      </w:r>
      <w:r>
        <w:t xml:space="preserve">that budget without nested pools. Labels and diagnostics are invariant to the</w:t>
      </w:r>
      <w:r>
        <w:t xml:space="preserve"> </w:t>
      </w:r>
      <w:r>
        <w:t xml:space="preserve">worker budget.</w:t>
      </w:r>
    </w:p>
    <w:p>
      <w:pPr>
        <w:pStyle w:val="BodyText"/>
      </w:pPr>
      <w:r>
        <w:t xml:space="preserve">The authoritative result directory for every central display is enumerated in</w:t>
      </w:r>
      <w:r>
        <w:t xml:space="preserve"> </w:t>
      </w:r>
      <w:r>
        <w:t xml:space="preserve">the publication-provenance CSV under</w:t>
      </w:r>
      <w:r>
        <w:t xml:space="preserve"> </w:t>
      </w:r>
      <w:r>
        <w:rPr>
          <w:rStyle w:val="VerbatimChar"/>
        </w:rPr>
        <w:t xml:space="preserve">benchmarks/results</w:t>
      </w:r>
      <w:r>
        <w:t xml:space="preserve">. Its rows cover the</w:t>
      </w:r>
      <w:r>
        <w:t xml:space="preserve"> </w:t>
      </w:r>
      <w:r>
        <w:t xml:space="preserve">708 complete simulations, 108 unseen geometries, 36 variable-density 3D fields,</w:t>
      </w:r>
      <w:r>
        <w:t xml:space="preserve"> </w:t>
      </w:r>
      <w:r>
        <w:t xml:space="preserve">three real-coordinate studies, procedural masks, external predictions, and</w:t>
      </w:r>
      <w:r>
        <w:t xml:space="preserve"> </w:t>
      </w:r>
      <w:r>
        <w:t xml:space="preserve">control calibration. Every FiberMargin row identifies the same C++ source</w:t>
      </w:r>
      <w:r>
        <w:t xml:space="preserve"> </w:t>
      </w:r>
      <w:r>
        <w:t xml:space="preserve">fingerprint,</w:t>
      </w:r>
      <w:r>
        <w:t xml:space="preserve"> </w:t>
      </w:r>
      <w:r>
        <w:rPr>
          <w:rStyle w:val="VerbatimChar"/>
        </w:rPr>
        <w:t xml:space="preserve">e3735422c1ddd6567d42ec603ddf0ca3</w:t>
      </w:r>
      <w:r>
        <w:t xml:space="preserve">. The index also records package</w:t>
      </w:r>
      <w:r>
        <w:t xml:space="preserve"> </w:t>
      </w:r>
      <w:r>
        <w:t xml:space="preserve">version, evaluation-unit count, and manuscript consumers; the companion</w:t>
      </w:r>
      <w:r>
        <w:t xml:space="preserve"> </w:t>
      </w:r>
      <w:r>
        <w:t xml:space="preserve">provenance writer under</w:t>
      </w:r>
      <w:r>
        <w:t xml:space="preserve"> </w:t>
      </w:r>
      <w:r>
        <w:rPr>
          <w:rStyle w:val="VerbatimChar"/>
        </w:rPr>
        <w:t xml:space="preserve">benchmarks</w:t>
      </w:r>
      <w:r>
        <w:t xml:space="preserve"> </w:t>
      </w:r>
      <w:r>
        <w:t xml:space="preserve">checks that each result directory and run</w:t>
      </w:r>
      <w:r>
        <w:t xml:space="preserve"> </w:t>
      </w:r>
      <w:r>
        <w:t xml:space="preserve">manifest exist and that every FiberMargin manifest contains the current source</w:t>
      </w:r>
      <w:r>
        <w:t xml:space="preserve"> </w:t>
      </w:r>
      <w:r>
        <w:t xml:space="preserve">fingerprint before regenerating the index. Each indexed directory contains</w:t>
      </w:r>
      <w:r>
        <w:t xml:space="preserve"> </w:t>
      </w:r>
      <w:r>
        <w:t xml:space="preserve">case-level output or a source-row manifest, aggregate summaries, and run</w:t>
      </w:r>
      <w:r>
        <w:t xml:space="preserve"> </w:t>
      </w:r>
      <w:r>
        <w:t xml:space="preserve">metadata.</w:t>
      </w:r>
    </w:p>
    <w:p>
      <w:pPr>
        <w:pStyle w:val="BodyText"/>
      </w:pPr>
      <w:r>
        <w:t xml:space="preserve">Tests ran on macOS 14.5, ARM64 Apple M3, R 4.6.0, and Homebrew clang++ 22.1.1</w:t>
      </w:r>
      <w:r>
        <w:t xml:space="preserve"> </w:t>
      </w:r>
      <w:r>
        <w:t xml:space="preserve">with C++17 and</w:t>
      </w:r>
      <w:r>
        <w:t xml:space="preserve"> </w:t>
      </w:r>
      <w:r>
        <w:rPr>
          <w:rStyle w:val="VerbatimChar"/>
        </w:rPr>
        <w:t xml:space="preserve">-arch arm64 -falign-functions=64 -Wall -g -O2</w:t>
      </w:r>
      <w:r>
        <w:t xml:space="preserve">. Timings include</w:t>
      </w:r>
      <w:r>
        <w:t xml:space="preserve"> </w:t>
      </w:r>
      <w:r>
        <w:t xml:space="preserve">input validation, coordinate preprocessing, geometry construction, inference,</w:t>
      </w:r>
      <w:r>
        <w:t xml:space="preserve"> </w:t>
      </w:r>
      <w:r>
        <w:t xml:space="preserve">and output assembly, but exclude file I/O, corruption generation, scoring, and</w:t>
      </w:r>
      <w:r>
        <w:t xml:space="preserve"> </w:t>
      </w:r>
      <w:r>
        <w:t xml:space="preserve">plotting. The case-level ledger records the timing scope for every repair call.</w:t>
      </w:r>
    </w:p>
    <w:bookmarkEnd w:id="58"/>
    <w:bookmarkStart w:id="59" w:name="X8491f84c573bf0c2c37aa23edefcb78ffa3f1fe"/>
    <w:p>
      <w:pPr>
        <w:pStyle w:val="Heading1"/>
      </w:pPr>
      <w:r>
        <w:t>S16  Auxiliary binary building-mask diagnostic</w:t>
      </w:r>
    </w:p>
    <w:p>
      <w:pPr>
        <w:pStyle w:val="FirstParagraph"/>
      </w:pPr>
      <w:r>
        <w:t xml:space="preserve">This controlled package-scope diagnostic evaluates the fixed local ballot described</w:t>
      </w:r>
      <w:r>
        <w:t xml:space="preserve"> </w:t>
      </w:r>
      <w:r>
        <w:t xml:space="preserve">in Section S1.2, not the multiclass two-sided enclosure developed in the main paper.</w:t>
      </w:r>
      <w:r>
        <w:t xml:space="preserve"> </w:t>
      </w:r>
      <w:r>
        <w:t xml:space="preserve">It uses 55 held-out 256-by-256 binary masks from the HOT</w:t>
      </w:r>
      <w:r>
        <w:t xml:space="preserve"> </w:t>
      </w:r>
      <w:r>
        <w:t xml:space="preserve">Very-High-Resolution Building Segmentation Dataset. Each source mask receives random,</w:t>
      </w:r>
      <w:r>
        <w:t xml:space="preserve"> </w:t>
      </w:r>
      <w:r>
        <w:t xml:space="preserve">boundary-concentrated, and compact-patch corruption at 10% and 25%, producing 330</w:t>
      </w:r>
      <w:r>
        <w:t xml:space="preserve"> </w:t>
      </w:r>
      <w:r>
        <w:t xml:space="preserve">evaluation units. Only categorical masks and coordinates are supplied to the repair</w:t>
      </w:r>
      <w:r>
        <w:t xml:space="preserve"> </w:t>
      </w:r>
      <w:r>
        <w:t xml:space="preserve">methods; aerial imagery is not read.</w:t>
      </w:r>
    </w:p>
    <w:p>
      <w:pPr>
        <w:pStyle w:val="BodyText"/>
      </w:pPr>
      <w:r>
        <w:t xml:space="preserve">GraphST correction had the highest Accuracy (0.8877) and ARI (0.5233). Potts ICM</w:t>
      </w:r>
      <w:r>
        <w:t xml:space="preserve"> </w:t>
      </w:r>
      <w:r>
        <w:t xml:space="preserve">provided a stronger Accuracy–damage operating point than the FiberMargin binary</w:t>
      </w:r>
      <w:r>
        <w:t xml:space="preserve"> </w:t>
      </w:r>
      <w:r>
        <w:t xml:space="preserve">utility: 0.8851 Accuracy with 0.0044 damage versus 0.8822 with 0.0139 damage. The</w:t>
      </w:r>
      <w:r>
        <w:t xml:space="preserve"> </w:t>
      </w:r>
      <w:r>
        <w:t xml:space="preserve">binary result is therefore reported as a boundary of package scope and is not used as</w:t>
      </w:r>
      <w:r>
        <w:t xml:space="preserve"> </w:t>
      </w:r>
      <w:r>
        <w:t xml:space="preserve">evidence for the multiclass enclosure mechanism.</w:t>
      </w:r>
    </w:p>
    <w:p>
      <w:pPr>
        <w:pStyle w:val="TableCaption"/>
      </w:pPr>
      <w:r>
        <w:t xml:space="preserve">Auxiliary binary-package results over 330 controlled corruptions of 55 held-out</w:t>
      </w:r>
      <w:r>
        <w:t xml:space="preserve"> </w:t>
      </w:r>
      <w:r>
        <w:t xml:space="preserve">building masks. Higher is better except for damage. This table evaluates the</w:t>
      </w:r>
      <w:r>
        <w:t xml:space="preserve"> </w:t>
      </w:r>
      <w:r>
        <w:t xml:space="preserve">package’s local-ballot utility rather than FiberMargin’s multiclass two-sided</w:t>
      </w:r>
      <w:r>
        <w:t xml:space="preserve"> </w:t>
      </w:r>
      <w:r>
        <w:t xml:space="preserve">enclosure mechanism.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Auxiliary binary-package results over 330 controlled corruptions of 55 held-out building masks. Higher is better except for damage. This table evaluates the package’s local-ballot utility rather than FiberMargin’s multiclass two-sided enclosure mechanism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Initial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0.8250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0.2934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FiberMargin binary utility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0.8822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0.5083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0.4076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0.0139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0.8819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0.4801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0.3852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0.0076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0.8717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0.4470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0.2877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0.0008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0.8808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0.4960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0.3441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0.0032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0.8776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0.4728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0.3324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0.0034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0.8851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0.5151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0.3787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0.0044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0.8609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0.4017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0.2432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0.0024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0.8877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0.5233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0.4769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0.0196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0.8702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0.4375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0.4737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0.0415</w:t>
            </w:r>
          </w:p>
        </w:tc>
      </w:tr>
    </w:tbl>
    <w:bookmarkEnd w:id="59"/>
    <w:bookmarkStart w:id="75" w:name="external-upstream-prediction-validation"/>
    <w:p>
      <w:pPr>
        <w:pStyle w:val="Heading1"/>
      </w:pPr>
      <w:r>
        <w:t>S17  External upstream-prediction validation</w:t>
      </w:r>
    </w:p>
    <w:p>
      <w:pPr>
        <w:pStyle w:val="FirstParagraph"/>
      </w:pPr>
      <w:r>
        <w:t xml:space="preserve">This section evaluates the same fixed methods on categorical predictions made</w:t>
      </w:r>
      <w:r>
        <w:t xml:space="preserve"> </w:t>
      </w:r>
      <w:r>
        <w:t xml:space="preserve">by an upstream classifier and saved before repair. It is distinct from the</w:t>
      </w:r>
      <w:r>
        <w:t xml:space="preserve"> </w:t>
      </w:r>
      <w:r>
        <w:t xml:space="preserve">controlled-corruption studies: the repair input is not created by changing a</w:t>
      </w:r>
      <w:r>
        <w:t xml:space="preserve"> </w:t>
      </w:r>
      <w:r>
        <w:t xml:space="preserve">reference annotation. CamVid contributes 233 official test masks</w:t>
      </w:r>
      <w:r>
        <w:t xml:space="preserve"> </w:t>
      </w:r>
      <w:r>
        <w:t xml:space="preserve">(Brostow, Fauqueur, and Cipolla 2009)</w:t>
      </w:r>
      <w:r>
        <w:t xml:space="preserve">.</w:t>
      </w:r>
      <w:r>
        <w:t xml:space="preserve"> </w:t>
      </w:r>
      <w:r>
        <w:t xml:space="preserve">The saved input is the output of an 80-tree ExtraTrees semantic classifier</w:t>
      </w:r>
      <w:r>
        <w:t xml:space="preserve"> </w:t>
      </w:r>
      <w:r>
        <w:t xml:space="preserve">fitted only to the official CamVid training split from RGB and pixel location.</w:t>
      </w:r>
      <w:r>
        <w:t xml:space="preserve"> </w:t>
      </w:r>
      <w:r>
        <w:t xml:space="preserve">S3DIS contributes one deterministic 4,096-point block from each of 68 Area 5</w:t>
      </w:r>
      <w:r>
        <w:t xml:space="preserve"> </w:t>
      </w:r>
      <w:r>
        <w:t xml:space="preserve">rooms</w:t>
      </w:r>
      <w:r>
        <w:t xml:space="preserve"> </w:t>
      </w:r>
      <w:r>
        <w:t xml:space="preserve">(Armeni et al. 2016)</w:t>
      </w:r>
      <w:r>
        <w:t xml:space="preserve">. Its saved input is the output of an 80-tree ExtraTrees</w:t>
      </w:r>
      <w:r>
        <w:t xml:space="preserve"> </w:t>
      </w:r>
      <w:r>
        <w:t xml:space="preserve">semantic point classifier fitted only to Areas 1, 2, 3, 4, and 6 from XYZ and</w:t>
      </w:r>
      <w:r>
        <w:t xml:space="preserve"> </w:t>
      </w:r>
      <w:r>
        <w:t xml:space="preserve">RGB. Both source predictors are deliberately simple; this section is a</w:t>
      </w:r>
      <w:r>
        <w:t xml:space="preserve"> </w:t>
      </w:r>
      <w:r>
        <w:t xml:space="preserve">restricted stored-field stress test rather than an evaluation of contemporary</w:t>
      </w:r>
      <w:r>
        <w:t xml:space="preserve"> </w:t>
      </w:r>
      <w:r>
        <w:t xml:space="preserve">image or point-cloud segmentation architectures.</w:t>
      </w:r>
    </w:p>
    <w:p>
      <w:pPr>
        <w:pStyle w:val="BodyText"/>
      </w:pPr>
      <w:r>
        <w:t xml:space="preserve">At repair time, every method receives only the saved categorical prediction and</w:t>
      </w:r>
      <w:r>
        <w:t xml:space="preserve"> </w:t>
      </w:r>
      <w:r>
        <w:t xml:space="preserve">coordinates. It receives no image pixels, RGB values, upstream logits,</w:t>
      </w:r>
      <w:r>
        <w:t xml:space="preserve"> </w:t>
      </w:r>
      <w:r>
        <w:t xml:space="preserve">probabilities, confidence scores, or training annotations. Independent reference</w:t>
      </w:r>
      <w:r>
        <w:t xml:space="preserve"> </w:t>
      </w:r>
      <w:r>
        <w:t xml:space="preserve">annotations are read only for evaluation. No repair-time parameter is fitted</w:t>
      </w:r>
      <w:r>
        <w:t xml:space="preserve"> </w:t>
      </w:r>
      <w:r>
        <w:t xml:space="preserve">from either reference, and no source-specific repair setting is introduced.</w:t>
      </w:r>
      <w:r>
        <w:t xml:space="preserve"> </w:t>
      </w:r>
      <w:r>
        <w:t xml:space="preserve">The evaluation uses the full fixed roster: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FiberMargin,</w:t>
      </w:r>
      <w:r>
        <w:t xml:space="preserve"> </w:t>
      </w:r>
      <w:r>
        <w:t xml:space="preserve">alpha-expansion Potts, coordinate CRF, harmonic propagation, multiscale mode,</w:t>
      </w:r>
      <w:r>
        <w:t xml:space="preserve"> </w:t>
      </w:r>
      <w:r>
        <w:t xml:space="preserve">SpaGCN correction, GraphST correction, 8-NN modal filtering, and Potts ICM.</w:t>
      </w:r>
    </w:p>
    <w:p>
      <w:pPr>
        <w:pStyle w:val="BodyText"/>
      </w:pPr>
      <w:r>
        <w:t xml:space="preserve">CamVid averages one score per image. S3DIS averages one score per room block;</w:t>
      </w:r>
      <w:r>
        <w:t xml:space="preserve"> </w:t>
      </w:r>
      <w:r>
        <w:t xml:space="preserve">its archived uncertainty intervals resample room blocks and are descriptive,</w:t>
      </w:r>
      <w:r>
        <w:t xml:space="preserve"> </w:t>
      </w:r>
      <w:r>
        <w:t xml:space="preserve">not evidence of independent scene replication. For both sources, correction</w:t>
      </w:r>
      <w:r>
        <w:t xml:space="preserve"> </w:t>
      </w:r>
      <w:r>
        <w:t xml:space="preserve">damage is the fraction of initially correct categorical predictions changed to</w:t>
      </w:r>
      <w:r>
        <w:t xml:space="preserve"> </w:t>
      </w:r>
      <w:r>
        <w:t xml:space="preserve">an incorrect label. The saved-input manifests, upstream split definitions,</w:t>
      </w:r>
      <w:r>
        <w:t xml:space="preserve"> </w:t>
      </w:r>
      <w:r>
        <w:t xml:space="preserve">package-build metadata, and full case-level ledgers accompany the result</w:t>
      </w:r>
      <w:r>
        <w:t xml:space="preserve"> </w:t>
      </w:r>
      <w:r>
        <w:t xml:space="preserve">archive.</w:t>
      </w:r>
    </w:p>
    <w:p>
      <w:pPr>
        <w:pStyle w:val="BodyText"/>
      </w:pPr>
      <w:r>
        <w:t xml:space="preserve">Table S9 reports all CamVid outcomes, and Table S10 reports all S3DIS</w:t>
      </w:r>
      <w:r>
        <w:t xml:space="preserve"> </w:t>
      </w:r>
      <w:r>
        <w:t xml:space="preserve">outcomes. Main Figure 1 displays their shared accuracy–damage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  <w:tblHeader w:val="true"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b/>
                <w:color w:val="1F4E79"/>
                <w:sz w:val="13"/>
              </w:rPr>
              <w:t>Method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Accuracy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Gain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Mean IoU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ARI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Damage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Initial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0.6096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0.0000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0.3094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0.5103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FiberMargin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0.6283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0.0186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0.3188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0.5268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0.0444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Alpha-expansion Potts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0.6180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0.0084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0.3146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0.5182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0.0150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Coordinate CRF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0.6099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0.0003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0.3096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0.5106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0.0002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Harmonic propagation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0.6285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0.0189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0.3194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0.5278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0.0215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Multiscale mode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0.6234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0.0137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0.3173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0.5229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0.0266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SpaGCN correction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0.6168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0.0072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0.3146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0.5169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0.0153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GraphST correction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0.6344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0.0248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0.3201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0.5318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0.0651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8-NN modal filter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0.6220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0.0123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0.3153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0.5214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0.0584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Potts ICM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0.6209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0.0113</w:t>
            </w:r>
          </w:p>
        </w:tc>
        <w:tc>
          <w:tcPr>
            <w:tcW w:type="dxa" w:w="1123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0.3158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0.5210</w:t>
            </w:r>
          </w:p>
        </w:tc>
        <w:tc>
          <w:tcPr>
            <w:tcW w:type="dxa" w:w="835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0.0182</w:t>
            </w:r>
          </w:p>
        </w:tc>
      </w:tr>
    </w:tbl>
    <w:p>
      <w:pPr>
        <w:pStyle w:val="Caption"/>
      </w:pPr>
      <w:r>
        <w:t>Table S9. CamVid external upstream-prediction matrix across 233 official test images. Gain is accuracy gain over the saved upstream categorical prediction. Higher is better except for damage.</w:t>
      </w:r>
    </w:p>
    <w:p>
      <w:pPr>
        <w:pStyle w:val="Caption"/>
      </w:pPr>
      <w:r>
        <w:t>Table S10. S3DIS external upstream-prediction matrix across 68 held-out Area 5 room blocks. Boundary accuracy uses eight Euclidean nearest neighbours; sparse accuracy is the least frequent reference class within a block. Higher is better except for damage.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  <w:tblHeader w:val="true"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b/>
                <w:color w:val="1F4E79"/>
                <w:sz w:val="13"/>
              </w:rPr>
              <w:t>Method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Accuracy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Gain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ARI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Boundary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Sparse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4F6F9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b/>
                <w:color w:val="1F4E79"/>
                <w:sz w:val="13"/>
              </w:rPr>
              <w:t>Damage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Initial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0.6006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0.0000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0.5315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0.3992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0.5724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FiberMargin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0.6211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0.0204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0.5651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0.4177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0.6187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0.0546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Alpha-expansion Potts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0.6191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0.0185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0.5592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0.4155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0.6163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0.0410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Coordinate CRF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0.6017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0.0010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0.5327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0.3994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0.5734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0.0006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Harmonic propagation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0.6268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0.0261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0.5684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0.4286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0.6134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0.0347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Multiscale mode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0.6196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0.0189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0.5583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0.4206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0.6051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0.0401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SpaGCN correction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0.6113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0.0106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0.5461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0.4081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0.5898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0.0260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GraphST correction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0.6322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0.0316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0.5777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0.4367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0.6011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0.0866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8-NN modal filter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0.6163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0.0156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0.5539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0.4135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0.6003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0.0758</w:t>
            </w:r>
          </w:p>
        </w:tc>
      </w:tr>
      <w:tr>
        <w:trPr>
          <w:cantSplit/>
        </w:trPr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Calibri" w:hAnsi="Calibri"/>
                <w:sz w:val="14"/>
              </w:rPr>
              <w:t>Potts ICM</w:t>
            </w:r>
          </w:p>
        </w:tc>
        <w:tc>
          <w:tcPr>
            <w:tcW w:type="dxa" w:w="907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0.6166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0.0160</w:t>
            </w:r>
          </w:p>
        </w:tc>
        <w:tc>
          <w:tcPr>
            <w:tcW w:type="dxa" w:w="7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0.5532</w:t>
            </w:r>
          </w:p>
        </w:tc>
        <w:tc>
          <w:tcPr>
            <w:tcW w:type="dxa" w:w="979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0.4145</w:t>
            </w:r>
          </w:p>
        </w:tc>
        <w:tc>
          <w:tcPr>
            <w:tcW w:type="dxa" w:w="8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0.5924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Calibri" w:hAnsi="Calibri"/>
                <w:sz w:val="14"/>
              </w:rPr>
              <w:t>0.0310</w:t>
            </w:r>
          </w:p>
        </w:tc>
      </w:tr>
    </w:tbl>
    <w:p>
      <w:pPr>
        <w:pStyle w:val="BodyText"/>
      </w:pPr>
      <w:r>
        <w:t xml:space="preserve">Unit-bootstrap intervals were computed from 10,000 resamples. Relative to the</w:t>
      </w:r>
      <w:r>
        <w:t xml:space="preserve"> </w:t>
      </w:r>
      <w:r>
        <w:t xml:space="preserve">saved prediction, FiberMargin’s accuracy difference was +0.0186</w:t>
      </w:r>
      <w:r>
        <w:t xml:space="preserve"> </w:t>
      </w:r>
      <w:r>
        <w:t xml:space="preserve">(0.0175, 0.0197) for CamVid and +0.0204 (0.0152, 0.0259) for S3DIS. Relative</w:t>
      </w:r>
      <w:r>
        <w:t xml:space="preserve"> </w:t>
      </w:r>
      <w:r>
        <w:t xml:space="preserve">to GraphST correction, the differences were -0.0061 (-0.0066, -0.0057) and</w:t>
      </w:r>
      <w:r>
        <w:t xml:space="preserve"> </w:t>
      </w:r>
      <w:r>
        <w:t xml:space="preserve">-0.0112 (-0.0139, -0.0085), respectively. These are descriptive intervals:</w:t>
      </w:r>
      <w:r>
        <w:t xml:space="preserve"> </w:t>
      </w:r>
      <w:r>
        <w:t xml:space="preserve">CamVid frames retain sequence dependence and S3DIS room blocks retain scene</w:t>
      </w:r>
      <w:r>
        <w:t xml:space="preserve"> </w:t>
      </w:r>
      <w:r>
        <w:t xml:space="preserve">dependence.</w:t>
      </w:r>
    </w:p>
    <w:p>
      <w:pPr>
        <w:pStyle w:val="BodyText"/>
      </w:pPr>
      <w:r>
        <w:t xml:space="preserve">FiberMargin improves the saved prediction in both sources, but it is not the</w:t>
      </w:r>
      <w:r>
        <w:t xml:space="preserve"> </w:t>
      </w:r>
      <w:r>
        <w:t xml:space="preserve">primary-score leader in either full matrix. These two studies establish feasibility</w:t>
      </w:r>
      <w:r>
        <w:t xml:space="preserve"> </w:t>
      </w:r>
      <w:r>
        <w:t xml:space="preserve">for the saved-prediction setting and reveal accuracy–damage operating-point</w:t>
      </w:r>
      <w:r>
        <w:t xml:space="preserve"> </w:t>
      </w:r>
      <w:r>
        <w:t xml:space="preserve">trade-offs. They do not establish general superiority. Supplementary Figure 6</w:t>
      </w:r>
      <w:r>
        <w:t xml:space="preserve"> </w:t>
      </w:r>
      <w:r>
        <w:t xml:space="preserve">shows the predefined CamVid example used for qualitative inspection.</w:t>
      </w:r>
    </w:p>
    <w:bookmarkStart w:id="63" w:name="fig:camvid-upstream-example"/>
    <w:p>
      <w:pPr>
        <w:pStyle w:val="CaptionedFigure"/>
        <w:jc w:val="center"/>
      </w:pPr>
      <w:r>
        <w:drawing>
          <wp:inline>
            <wp:extent cx="5067300" cy="3378199"/>
            <wp:effectExtent b="0" l="0" r="0" t="0"/>
            <wp:docPr descr="Representative CamVid upstream-mask repair. The displayed frame is the midpoint of the sorted official test collection, independent of outcomes. Panels show the independent reference, the categorical upstream prediction, alpha-expansion Potts, harmonic propagation, multiscale mode, and FiberMargin. The repair stage receives no image values or model scores." title="" id="61" name="Picture"/>
            <a:graphic>
              <a:graphicData uri="http://schemas.openxmlformats.org/drawingml/2006/picture">
                <pic:pic>
                  <pic:nvPicPr>
                    <pic:cNvPr descr="../benchmarks/results/fibermargin_external_natural_validation_2026_07_20/camvid/real_upstream_mask_exampl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78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Representative CamVid upstream-mask repair. The displayed frame is the midpoint of the sorted official test collection, independent of outcomes. Panels show the independent reference, the categorical upstream prediction, alpha-expansion Potts, harmonic propagation, multiscale mode, and FiberMargin. The repair stage receives no image values or model scores.</w:t>
      </w:r>
    </w:p>
    <w:bookmarkEnd w:id="63"/>
    <w:bookmarkStart w:id="74" w:name="refs"/>
    <w:bookmarkStart w:id="65" w:name="ref-armeni2016"/>
    <w:p>
      <w:pPr>
        <w:pStyle w:val="Heading1"/>
      </w:pPr>
      <w:r>
        <w:t>References</w:t>
      </w:r>
    </w:p>
    <w:p>
      <w:pPr>
        <w:pStyle w:val="Bibliography"/>
      </w:pPr>
      <w:r>
        <w:t xml:space="preserve">Armeni, Iro, Ozan Sener, Amir R. Zamir, Helen Jiang, Ioannis Brilakis, Martin Fischer, and Silvio Savarese. 2016.</w:t>
      </w:r>
      <w:r>
        <w:t xml:space="preserve"> </w:t>
      </w:r>
      <w:r>
        <w:t xml:space="preserve">“3D Semantic Parsing of Large-Scale Indoor Spaces.”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 Conference on Computer Vision and Pattern Recognition</w:t>
      </w:r>
      <w:r>
        <w:t xml:space="preserve">, 1534–43.</w:t>
      </w:r>
      <w:r>
        <w:t xml:space="preserve"> </w:t>
      </w:r>
      <w:hyperlink r:id="rId64">
        <w:r>
          <w:rPr>
            <w:rStyle w:val="Hyperlink"/>
          </w:rPr>
          <w:t xml:space="preserve">https://doi.org/10.1109/CVPR.2016.170</w:t>
        </w:r>
      </w:hyperlink>
      <w:r>
        <w:t xml:space="preserve">.</w:t>
      </w:r>
    </w:p>
    <w:bookmarkEnd w:id="65"/>
    <w:bookmarkStart w:id="67" w:name="ref-brostow2009"/>
    <w:p>
      <w:pPr>
        <w:pStyle w:val="Bibliography"/>
      </w:pPr>
      <w:r>
        <w:t xml:space="preserve">Brostow, Gabriel J., Julien Fauqueur, and Roberto Cipolla. 2009.</w:t>
      </w:r>
      <w:r>
        <w:t xml:space="preserve"> </w:t>
      </w:r>
      <w:r>
        <w:t xml:space="preserve">“Semantic Object Classes in Video: A High-Definition Ground Truth Database.”</w:t>
      </w:r>
      <w:r>
        <w:t xml:space="preserve"> </w:t>
      </w:r>
      <w:r>
        <w:rPr>
          <w:i/>
          <w:iCs/>
        </w:rPr>
        <w:t xml:space="preserve">Pattern Recognition Letters</w:t>
      </w:r>
      <w:r>
        <w:t xml:space="preserve"> </w:t>
      </w:r>
      <w:r>
        <w:t xml:space="preserve">30 (2): 88–97.</w:t>
      </w:r>
      <w:r>
        <w:t xml:space="preserve"> </w:t>
      </w:r>
      <w:hyperlink r:id="rId66">
        <w:r>
          <w:rPr>
            <w:rStyle w:val="Hyperlink"/>
          </w:rPr>
          <w:t xml:space="preserve">https://doi.org/10.1016/j.patrec.2008.04.005</w:t>
        </w:r>
      </w:hyperlink>
      <w:r>
        <w:t xml:space="preserve">.</w:t>
      </w:r>
    </w:p>
    <w:bookmarkEnd w:id="67"/>
    <w:bookmarkStart w:id="69" w:name="ref-hu2021"/>
    <w:p>
      <w:pPr>
        <w:pStyle w:val="Bibliography"/>
      </w:pPr>
      <w:r>
        <w:t xml:space="preserve">Hu, Jian et al. 2021.</w:t>
      </w:r>
      <w:r>
        <w:t xml:space="preserve"> </w:t>
      </w:r>
      <w:r>
        <w:t xml:space="preserve">“</w:t>
      </w:r>
      <w:r>
        <w:t xml:space="preserve">SpaGCN</w:t>
      </w:r>
      <w:r>
        <w:t xml:space="preserve">: Integrating Gene Expression, Spatial Location and Histology to Identify Spatial Domains and Spatially Variable Genes by Graph Convolutional Network.”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18: 1342–51.</w:t>
      </w:r>
      <w:r>
        <w:t xml:space="preserve"> </w:t>
      </w:r>
      <w:hyperlink r:id="rId68">
        <w:r>
          <w:rPr>
            <w:rStyle w:val="Hyperlink"/>
          </w:rPr>
          <w:t xml:space="preserve">https://doi.org/10.1038/s41592-021-01255-8</w:t>
        </w:r>
      </w:hyperlink>
      <w:r>
        <w:t xml:space="preserve">.</w:t>
      </w:r>
    </w:p>
    <w:bookmarkEnd w:id="69"/>
    <w:bookmarkStart w:id="71" w:name="ref-long2023"/>
    <w:p>
      <w:pPr>
        <w:pStyle w:val="Bibliography"/>
      </w:pPr>
      <w:r>
        <w:t xml:space="preserve">Long, Yahui et al. 2023.</w:t>
      </w:r>
      <w:r>
        <w:t xml:space="preserve"> </w:t>
      </w:r>
      <w:r>
        <w:t xml:space="preserve">“Spatially Informed Clustering, Integration, and Deconvolution of Spatial Transcriptomics with</w:t>
      </w:r>
      <w:r>
        <w:t xml:space="preserve"> </w:t>
      </w:r>
      <w:r>
        <w:t xml:space="preserve">GraphST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14: 1155.</w:t>
      </w:r>
      <w:r>
        <w:t xml:space="preserve"> </w:t>
      </w:r>
      <w:hyperlink r:id="rId70">
        <w:r>
          <w:rPr>
            <w:rStyle w:val="Hyperlink"/>
          </w:rPr>
          <w:t xml:space="preserve">https://doi.org/10.1038/s41467-023-36796-3</w:t>
        </w:r>
      </w:hyperlink>
      <w:r>
        <w:t xml:space="preserve">.</w:t>
      </w:r>
    </w:p>
    <w:bookmarkEnd w:id="71"/>
    <w:bookmarkStart w:id="73" w:name="ref-skilling2004"/>
    <w:p>
      <w:pPr>
        <w:pStyle w:val="Bibliography"/>
      </w:pPr>
      <w:r>
        <w:t xml:space="preserve">Skilling, John. 2004.</w:t>
      </w:r>
      <w:r>
        <w:t xml:space="preserve"> </w:t>
      </w:r>
      <w:r>
        <w:t xml:space="preserve">“Programming the</w:t>
      </w:r>
      <w:r>
        <w:t xml:space="preserve"> </w:t>
      </w:r>
      <w:r>
        <w:t xml:space="preserve">Hilbert</w:t>
      </w:r>
      <w:r>
        <w:t xml:space="preserve"> </w:t>
      </w:r>
      <w:r>
        <w:t xml:space="preserve">Curve.”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Bayesian Inference and Maximum Entropy Methods in Science and Engineering</w:t>
      </w:r>
      <w:r>
        <w:t xml:space="preserve">, 707:381–87. AIP Conference Proceedings.</w:t>
      </w:r>
      <w:r>
        <w:t xml:space="preserve"> </w:t>
      </w:r>
      <w:hyperlink r:id="rId72">
        <w:r>
          <w:rPr>
            <w:rStyle w:val="Hyperlink"/>
          </w:rPr>
          <w:t xml:space="preserve">https://doi.org/10.1063/1.1751381</w:t>
        </w:r>
      </w:hyperlink>
      <w:r>
        <w:t xml:space="preserve">.</w:t>
      </w:r>
    </w:p>
    <w:bookmarkEnd w:id="73"/>
    <w:bookmarkEnd w:id="74"/>
    <w:bookmarkEnd w:id="75"/>
    <w:sectPr>
      <w:headerReference w:type="default" r:id="rId9"/>
      <w:footerReference w:type="default" r:id="rId10"/>
      <w:type w:val="continuous"/>
      <w:pgSz w:w="12240" w:h="15840"/>
      <w:pgMar w:top="1224" w:bottom="1152" w:left="1296" w:right="1296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8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F6B78"/>
        <w:sz w:val="16"/>
      </w:rPr>
      <w:t>FiberMargin | Supplement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60" w:line="300" w:lineRule="auto"/>
      <w:jc w:val="both"/>
    </w:pPr>
    <w:rPr>
      <w:rFonts w:ascii="Calibri" w:hAnsi="Calibri" w:eastAsia="Calibri"/>
      <w:color w:val="172233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60" w:before="180" w:line="300" w:lineRule="auto"/>
      <w:jc w:val="both"/>
    </w:pPr>
    <w:rPr>
      <w:rFonts w:ascii="Calibri" w:hAnsi="Calibri" w:eastAsia="Calibri"/>
      <w:color w:val="172233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60" w:line="300" w:lineRule="auto"/>
      <w:jc w:val="both"/>
    </w:pPr>
    <w:rPr>
      <w:rFonts w:ascii="Calibri" w:hAnsi="Calibri" w:eastAsia="Calibri"/>
      <w:color w:val="172233"/>
      <w:sz w:val="22"/>
    </w:rPr>
  </w:style>
  <w:style w:customStyle="1" w:styleId="Compact" w:type="paragraph">
    <w:name w:val="Compact"/>
    <w:basedOn w:val="BodyText"/>
    <w:qFormat/>
    <w:pPr>
      <w:spacing w:after="60" w:before="36" w:line="276" w:lineRule="auto"/>
    </w:pPr>
    <w:rPr>
      <w:rFonts w:ascii="Calibri" w:hAnsi="Calibri" w:eastAsia="Calibri"/>
      <w:color w:val="172233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0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Calibri"/>
      <w:b/>
      <w:color w:val="172233"/>
      <w:spacing w:val="-10"/>
      <w:kern w:val="28"/>
      <w:sz w:val="4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spacing w:after="80"/>
      <w:jc w:val="center"/>
    </w:pPr>
    <w:rPr>
      <w:rFonts w:ascii="Calibri" w:hAnsi="Calibri" w:eastAsia="Calibri"/>
      <w:b/>
      <w:color w:val="1F4E79"/>
      <w:sz w:val="21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keepLines w:val="0"/>
      <w:spacing w:after="100" w:line="252" w:lineRule="auto"/>
      <w:ind w:left="360" w:hanging="360"/>
      <w:jc w:val="left"/>
    </w:pPr>
    <w:rPr>
      <w:rFonts w:ascii="Calibri" w:hAnsi="Calibri" w:eastAsia="Calibri"/>
      <w:color w:val="172233"/>
      <w:sz w:val="19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Theme="majorHAnsi" w:cstheme="majorBidi" w:eastAsiaTheme="majorEastAsia" w:hAnsiTheme="majorHAnsi" w:ascii="Calibri" w:hAnsi="Calibri" w:eastAsia="Calibri"/>
      <w:b/>
      <w:color w:val="1F4E79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Calibri" w:hAnsi="Calibri" w:eastAsia="Calibri"/>
      <w:b/>
      <w:color w:val="1F4E79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cstheme="majorBidi" w:eastAsiaTheme="majorEastAsia" w:ascii="Calibri" w:hAnsi="Calibri" w:eastAsia="Calibri"/>
      <w:b/>
      <w:color w:val="172233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color w:val="172233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0" w:line="240" w:lineRule="auto"/>
      <w:ind w:left="259"/>
      <w:jc w:val="left"/>
    </w:pPr>
    <w:rPr>
      <w:rFonts w:ascii="Consolas" w:hAnsi="Consolas" w:eastAsia="Consolas"/>
      <w:color w:val="172233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0" Type="http://schemas.openxmlformats.org/officeDocument/2006/relationships/image" Target="media/rId60.png"/><Relationship Id="rId49" Type="http://schemas.openxmlformats.org/officeDocument/2006/relationships/image" Target="media/rId49.png"/><Relationship Id="rId45" Type="http://schemas.openxmlformats.org/officeDocument/2006/relationships/image" Target="media/rId45.png"/><Relationship Id="rId40" Type="http://schemas.openxmlformats.org/officeDocument/2006/relationships/image" Target="media/rId40.png"/><Relationship Id="rId36" Type="http://schemas.openxmlformats.org/officeDocument/2006/relationships/image" Target="media/rId36.png"/><Relationship Id="rId54" Type="http://schemas.openxmlformats.org/officeDocument/2006/relationships/image" Target="media/rId54.png"/><Relationship Id="rId66" Type="http://schemas.openxmlformats.org/officeDocument/2006/relationships/hyperlink" Target="https://doi.org/10.1016/j.patrec.2008.04.005" TargetMode="External"/><Relationship Id="rId70" Type="http://schemas.openxmlformats.org/officeDocument/2006/relationships/hyperlink" Target="https://doi.org/10.1038/s41467-023-36796-3" TargetMode="External"/><Relationship Id="rId68" Type="http://schemas.openxmlformats.org/officeDocument/2006/relationships/hyperlink" Target="https://doi.org/10.1038/s41592-021-01255-8" TargetMode="External"/><Relationship Id="rId72" Type="http://schemas.openxmlformats.org/officeDocument/2006/relationships/hyperlink" Target="https://doi.org/10.1063/1.1751381" TargetMode="External"/><Relationship Id="rId64" Type="http://schemas.openxmlformats.org/officeDocument/2006/relationships/hyperlink" Target="https://doi.org/10.1109/CVPR.2016.170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016/j.patrec.2008.04.005" TargetMode="External"/><Relationship Id="rId70" Type="http://schemas.openxmlformats.org/officeDocument/2006/relationships/hyperlink" Target="https://doi.org/10.1038/s41467-023-36796-3" TargetMode="External"/><Relationship Id="rId68" Type="http://schemas.openxmlformats.org/officeDocument/2006/relationships/hyperlink" Target="https://doi.org/10.1038/s41592-021-01255-8" TargetMode="External"/><Relationship Id="rId72" Type="http://schemas.openxmlformats.org/officeDocument/2006/relationships/hyperlink" Target="https://doi.org/10.1063/1.1751381" TargetMode="External"/><Relationship Id="rId64" Type="http://schemas.openxmlformats.org/officeDocument/2006/relationships/hyperlink" Target="https://doi.org/10.1109/CVPR.2016.1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FiberMargin</dc:title>
  <dc:creator>Moussa Kassim; Martin Ocharo; Dalia Ahmed; Dupe Ojo; Alessia Vignoli; Leonardo Tenori; Dinesh Gupta; Silvano Piazza; Stefano Cacciatore</dc:creator>
  <cp:keywords>categorical masks; spatial labels; FiberMargin; selective prediction</cp:keywords>
  <dcterms:created xsi:type="dcterms:W3CDTF">2026-08-27T08:20:01Z</dcterms:created>
  <dcterms:modified xsi:type="dcterms:W3CDTF">2026-08-27T08:20:01Z</dcterms:modified>
  <dc:subject>Multiclass spatial label repair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jmlr/fibermargin.bib</vt:lpwstr>
  </property>
  <property fmtid="{D5CDD505-2E9C-101B-9397-08002B2CF9AE}" pid="3" name="link-citations">
    <vt:lpwstr>False</vt:lpwstr>
  </property>
</Properties>
</file>