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Moussa Kassim</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moussa.kassim@icgeb.org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Martin Ocharo</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martin.ocharo@icgeb.org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Dalia Ahmed</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dalia.ahmed@icgeb.org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Dupe Ojo</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dupe.ojo@icgeb.org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Alessia Vignoli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vignoli@cerm.unifi.it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Leonardo Tenori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tenori@cerm.unifi.it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Stefano Cacciatore</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stefano.cacciatore@icgeb.org</w:t>
            </w:r>
          </w:p>
        </w:tc>
      </w:tr>
    </w:tbl>
    <w:p>
      <w:pPr>
        <w:spacing w:after="20" w:line="240" w:lineRule="auto"/>
      </w:pPr>
      <w:r>
        <w:rPr>
          <w:rFonts w:ascii="Calibri" w:hAnsi="Calibri"/>
          <w:b w:val="0"/>
          <w:color w:val="555555"/>
          <w:sz w:val="15"/>
          <w:vertAlign w:val="superscript"/>
        </w:rPr>
        <w:t>1</w:t>
      </w:r>
      <w:r>
        <w:rPr>
          <w:rFonts w:ascii="Calibri" w:hAnsi="Calibri"/>
          <w:b w:val="0"/>
          <w:i/>
          <w:color w:val="555555"/>
          <w:sz w:val="17"/>
        </w:rPr>
        <w:t xml:space="preserve"> Bioinformatics Unit, International Centre for Genetic Engineering and Biotechnology (ICGEB), Cape Town 7925, South Africa</w:t>
      </w:r>
    </w:p>
    <w:p>
      <w:pPr>
        <w:spacing w:after="20" w:line="240" w:lineRule="auto"/>
      </w:pPr>
      <w:r>
        <w:rPr>
          <w:rFonts w:ascii="Calibri" w:hAnsi="Calibri"/>
          <w:b w:val="0"/>
          <w:color w:val="555555"/>
          <w:sz w:val="15"/>
          <w:vertAlign w:val="superscript"/>
        </w:rPr>
        <w:t>2</w:t>
      </w:r>
      <w:r>
        <w:rPr>
          <w:rFonts w:ascii="Calibri" w:hAnsi="Calibri"/>
          <w:b w:val="0"/>
          <w:i/>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i/>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i/>
          <w:color w:val="555555"/>
          <w:sz w:val="17"/>
        </w:rPr>
        <w:t xml:space="preserve"> Magnetic Resonance Center (CERM), University of Florence, Sesto Fiorentino, Italy</w:t>
      </w:r>
    </w:p>
    <w:p>
      <w:pPr>
        <w:pStyle w:val="Heading1"/>
      </w:pPr>
      <w:r>
        <w:t>Abstract</w:t>
      </w:r>
    </w:p>
    <w:p>
      <w:r>
        <w:t>KODAMA searches for latent structure by maximizing the cross-validated predictability of an evolving label vector. We present kodama-cpp, a standalone C++17 implementation that preserves this objective while reformulating its numerical execution for multicore CPU, NVIDIA CUDA, and Apple Metal systems. The novelty is not a replacement objective: it is an accelerator-native software design in which one typed core owns float32 data, fold assignments, evolving labels, classifier workspaces, and graph outputs instead of repeatedly crossing an R-package boundary. The CUDA backend provides package-owned exact and recall-tuned IVF-Flat nearest-neighbor search, device-side IVF construction, explicit resident indexes, GPU k-means, label-aware SIMPLS cross-products, reusable device workspaces, and latent-space LDA. The Metal backend provides native exact and IVF-Flat search, device-side IVF construction, explicit resident indexes, GPU k-means, and MPS-assisted SIMPLS projection while retaining the same KNN and PLS-LDA contracts. KODAMA runs remain independent, requested feasible PLS component counts are evaluated directly, and unavailable accelerators raise errors rather than silently executing a CPU substitute. The resulting library exposes KNN and PLS-LDA cross-validation, label optimization, KODAMA matrix construction from data or supplied neighbor graphs, float32 randomized PCA, and visualization primitives through wrapper-independent APIs. We validate mathematical parity, backend identity, runtime, memory behavior, and external-label diagnostics separately so that acceleration claims are not conflated with the internal cross-validation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w:t>
      </w:r>
    </w:p>
    <w:p>
      <w:r>
        <w:t>The principal software novelty has four parts. First, analysis matrices and repeated workspaces are float32-native. Second, nearest-neighbor search, k-means initialization, randomized PCA, SIMPLS, and LDA have backend-specific implementations rather than hidden CPU fallbacks. Third, KODAMA-specific invariants such as independent M runs, one CV evaluation per proposal cycle, constrained groups, and requested PLS component counts remain shared. Fourth, backend identity, timings, memory, search parameters, and prediction diagnostics are returned as data, making heterogeneous execution testable from thin wrappers.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keepNext/>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keepNext/>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Mathematical continuity</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Preserves cross-validated label predictability, independent M runs, constrained proposals, and the derived KODAMA graph or dissimilarity.</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implementation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data ownership and label evolution into a C++17 library so R and Python wrappers share one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CUDA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Combines exact/IVF-Flat KNN, k-means, label-aware SIMPLS, latent LDA, and reusable device workspaces without FAISS, cuVS, or RAFT runtime links.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Metal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Implements exact/IVF-Flat KNN and k-means with Metal kernels and accelerates SIMPLS projections with Metal Performance Shaders.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KODAMA-specific reuse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Caches fold data, compacts active labels, reuses neighbor structures, and keeps M runs independent without changing the objective.</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Testable backend contract</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Returns typed predictions, labels, graphs, timings, memory, search parameters, and actual backend identity, with no silent fallback.</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Landmark selection is exact-quota stratified sampling rather than k-means with one center per requested landmark. For matrix-only input, one splitting-center k-means partitions all samples at the beginning of each independent run. If stratum c contains n_c samples and the effective landmark count is L, its expected quota is q_c = L n_c / n. The implementation draws floor(q_c) rows without replacement and assigns the remaining L - sum_c floor(q_c) slots by randomized systematic rounding of the fractional quotas. The same seed + run convention controls partition initialization, residual rounding, and within-stratum sampling. A separate splitting-center k-means on the selected matrix initializes candidate labels, preserving the established initialization and preventing sampling strata from becoming the optimization target.</w:t>
      </w:r>
    </w:p>
    <w:p>
      <w:r>
        <w:t>When auxiliary coordinates have two or three columns, the strata are occupied cells in a regular grid with ceil(L^(1/d)) bins per axis. Cells are traversed in grid order and receive the same population-proportional exact quotas. An occupied cell is not guaranteed a landmark: low-mass cells may receive zero after randomized rounding, while denser cells may contribute several rows. This avoids a user-set density threshold and preserves an unbiased expected contribution E[L_c] = L n_c / n. The same expression-space splitting k-means initializes labels, so the grid controls coverage rather than defining candidate classes.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For one-based cycle t, it sets p_t = t/(Tcycle + 1), s_t = p_t^2(3 - 2p_t), and q_max = 1 + floor((G - 1)(1 - s_t)), then samples q uniformly from 1,...,q_max. Early cycles can therefore alter many groups and later cycles fewer. For each sampled group, the replacement label is drawn from the empirical distribution of the previous CV predictions among its non-fixed members.</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With guarded diversity, S starts as A sqrt(1 - sum_k p_k^2), where A is raw CV accuracy and p_k is the class proportion. With PLS-LDA automatic coarsening, S is reduced by (1 - A) max(H / log n, fragmentation / (1 + fragmentation)); KNN has no additional parsimony subtraction but retains the diversity factor. The labels stored in clbest maximize S, and accbest is the raw A evaluated for exactly those labels. These score terms change state selection without changing the underlying CV classifier.</w:t>
      </w:r>
    </w:p>
    <w:p>
      <w:r>
        <w:t>The best vector is updated whenever the proposal score improves. In evolutionary mode, a separate current vector is also maintained. A worse proposal can become current with probability exp((score_new - score_current) / tau_t), where, for one-based cycle t, tau_t = max(1e-9, 0.10 max(0, 1 - current_accuracy) (1 - t/Tcycle)). The 1e-9 floor makes the terminal cycle numerically defined and effectively greedy. Repeating this process for M independent seeds gives an ensemble of guarded high-predictability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p>
      <w:r>
        <w:br w:type="page"/>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keepNext/>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Exact number of samples optimized directly in one run after validation. The default is 10000; if the requested value is at least n, the implementation uses ceil(0.75 n), then caps the value to [2, n-1]. Quota sampling always returns this effective count.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and matrix-input landmark strata. If not supplied, splitting is 100 for n &lt; 40000 and 300 otherwise. Both landmark paths run a separate expression-space k-means on the selected rows so sampling strata remain distinct from labels being optimized.</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and copy the input matrix into float32 working storage. Let L be the validated landmark count. With matrix-only input, run k-means on all rows with splitting centers and 10 iterations to obtain coarse strata. With 2D/3D auxiliary coordinates, form a regular grid with ceil(L^(1/d)) bins per axis and use occupied cells as ordered strata.</w:t>
      </w:r>
    </w:p>
    <w:p>
      <w:pPr>
        <w:pStyle w:val="ListNumber"/>
        <w:numPr>
          <w:ilvl w:val="0"/>
          <w:numId w:val="10"/>
        </w:numPr>
        <w:spacing w:after="80"/>
      </w:pPr>
      <w:r>
        <w:rPr>
          <w:rFonts w:ascii="Calibri" w:hAnsi="Calibri"/>
        </w:rPr>
        <w:t>For each stratum c, compute q_c = L n_c / n, take floor(q_c) samples without replacement, and assign the remaining slots by randomized systematic rounding of q_c - floor(q_c). This returns exactly L distinct landmarks. If starting labels are supplied, subset them and apply constrained-majority relabeling when needed. Otherwise run expression-space k-means on the landmarks with init_k = max(2, min(splitting, L)), irrespective of how the sampling strata were formed.</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and index cycles by t = 1,...,Tcycle. With adaptive proposal size enabled, p_t = t/(Tcycle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requires N_ab - n_a n_b/n &gt; 0 and N_ab &gt; N_aa, prefers destinations supported by multiple source classes, and samples among eligible destinations in proportion to summed positive surplus. It rejects moves that collapse to one class or fail to reduce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nonnegative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This implementation contract is not invariant to an arbitrary rescaling of d, so matched comparisons fix preprocessing and metric.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The public API is grouped into cross-validation kernels, core label optimization, KODAMA matrix construction, PCA, graph construction,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Latent-space LDA is fitted from sufficient statistics. For training scores T, class counts n_c, class means mu_c, q retained components, and C active classes, the pooled within-class covariance is [T' T - sum_c n_c mu_c mu_c'] / max(1, n - C). Each discriminant direction solves Sigma w_c = mu_c by Cholesky factorization and triangular substitution; Sigma is never explicitly inverted. The diagonal regularizer is lambda = rho s, where s = trace(Sigma) / q when finite and positive and s = 1 otherwise. The deterministic sequence rho in {1e-8, 1e-6, 1e-5, 1e-4, 1e-3, 1e-2} is advanced only when Cholesky fails. Prediction retains the ordinary LDA discriminant t' w_c - 0.5 mu_c' w_c + log(n_c / n); the sequence is a numerical safeguard, not a tuned parameter.</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the pinned current fastEmbedR implementation. UMAP builds fuzzy graphs by default, with binary weighting available explicitly; both are constructed directly in float32 CSR form, including the smooth-kNN bandwidth calculation and epochs-per-sample schedule; openTSNE uses the matching sparse affinities and exact or FFT-grid repulsion. The CUDA path reuses pooled workspaces, and neither path links fastEmbedR or R.</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is an algorithm-preserving systems redesign rather than a new KODAMA objective. The original R implementation remains the reference for accuracy maximization and the ensemble construction. The new contribution is that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 Assignments, centroid sums and counts, empty-cluster repair, list counts, prefix offsets, and row-ID scatter remain on CUDA. A move-only ResidentIVFIndex can retain the input, projection, centroids, offsets, and IDs for subsequent self or external-query calls without a hidden process-global cache.</w:t>
      </w:r>
    </w:p>
    <w:p>
      <w:r>
        <w:t>For PLS-LDA, class labels are encoded compactly and the centered X'Y cross-product is formed from class sums on the GPU, avoiding a dense n-by-K one-hot response. Float32 SIMPLS uses reusable thread-local device workspaces that grow to the required capacity. Separate CUDA kernels compute latent projections, class sums, covariance terms, and LDA scores, while fold caches retain train/validation layouts and reusable Gram information.</w:t>
      </w:r>
    </w:p>
    <w:p>
      <w:r>
        <w:t>The default rank-one randomized SIMPLS refresh uses two power iterations. CUDA dispatches the resulting rank-one products as matrix-vector operations and omits the algebraically redundant 1-by-1 block eigensolve. After the first component, the preceding weight is the defined warm start, so the implementation also omits generation of a random vector that would be overwritten before use; this removes launches without changing any SIMPLS value. The multi-vector refresh remains available under the same deflation equations. Latent LDA forms pooled covariance from score and class-sum statistics, retries the trace-normalized ridge sequence only after a failed Cholesky factorization, and copies back predicted codes rather than score matrices.</w:t>
      </w:r>
    </w:p>
    <w:p>
      <w:r>
        <w:t>The CUDA backend reduces allocation and transfer costs but the present release does not claim that the complete M-run ensemble is permanently device resident. Independent runs are scheduled without changing their seeds or proposal trajectories, and small control decisions remain host orchestrated. Fully batched resident M execution is therefore treated as future engineering work, not as evidence used in the current speedup claims.</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empty-cluster repair, and inverted-list count, prefix, and scatter operations. The same move-only ResidentIVFIndex contract retains Metal input and index buffers across search calls; self-search therefore does not upload the training matrix again.</w:t>
      </w:r>
    </w:p>
    <w:p>
      <w:r>
        <w:t>The Metal PLS-LDA path uses float32 class-label cross-products and the same SIMPLS component limit as CPU and CUDA. Metal Performance Shaders execute the dominant Xw and X't matrix products through MPSMatrixMultiplication. The same two-iteration incremental refresh and SIMPLS loading deflation are used on all three backends; the comparatively small response-space products and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The R integration layer accepts backend = 'metal' explicitly and links the Metal, MetalPerformanceShaders, and Foundation system frameworks without FAISS or cuVS link flags.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keepNext/>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keepNext/>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device-built lists, returned metadata, and an explicit resident-index owner.</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device-built lists and the same resident-index lifetime.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keepNext/>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keepNext/>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Current fastEmbedR UMAP and openTSNE ports from standard or KODAMA-corrected neighbor graphs; direct float32 CSR construction uses fuzzy UMAP weighting by default, with binary weighting explicit.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keepNext/>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keepNext/>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keepNext/>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keepNext/>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 and KODAMAMatrixFromGraph.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Accepted as the graph-input path because it preserves the KNN voting mathematics and removes repeated search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the graph is transformed into self-tuning normalized Laplacian features before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fallback,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keepNext/>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keepNext/>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keepNext/>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KNN and PLS-LDA mathematically shared but implements their dominant operations separately for CPU, CUDA, and Metal.</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keepNext/>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keepNext/>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2026-07-27 UTC for the matched current-commit MetRef CPU/CUDA run; earlier validation snapshots are dated explicitly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13.0 compute-capability-12.0 build at 9da48ee succeeded; CTest passed 3/3 and the installed R wrapper passed testthat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Four CPU threads for the matched MetRef end-to-end run; other tables state their worker count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p>
      <w:pPr>
        <w:pStyle w:val="Heading3"/>
      </w:pPr>
      <w:r>
        <w:t>Dataset inventory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keepNext/>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keepNext/>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keepNext/>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keepNext/>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keepNext/>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CPU/Metal agreement within the documented float32 tolerance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keepNext/>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 five-run median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0.790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0.202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3.90x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0.990836 / 0.989691</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M=8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14.930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6.900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2.16x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best CV 0.963359 / 0.969466; ARI 0.741026 / 0.849732</w:t>
            </w:r>
          </w:p>
        </w:tc>
      </w:tr>
    </w:tbl>
    <w:p>
      <w:pPr>
        <w:pStyle w:val="Heading2"/>
      </w:pPr>
      <w:r>
        <w:t>CUDA workstation validation</w:t>
      </w:r>
    </w:p>
    <w:p>
      <w:r>
        <w:t>The benchmark corpus uses copied float32 RData datasets spanning n = 873 to 5,220,347 samples and p = 11 to 16,384 variables. For the current matched MetRef result, commit 9da48ee was rebuilt with CUDA 13.0 for compute capability 12.0; all three configured CTest targets and the installed R-wrapper testthat suite passed. Broader tables retain explicitly dated release-history snapshots rather than silently mixing them with this current-commit run.</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A focused resident-IVF microbenchmark separated construction from repeated search on a deterministic 50,000 by 32 float32 matrix using five timed searches after one warm-up. For all-row self-search, retaining the index reduced mean rebuild-plus-search time from 0.8695 to 0.8091 s on Metal and from 0.1984 to 0.1765 s on CUDA (1.07x and 1.12x). For 1,000-query batches against the same training matrix, time changed from 0.1179 to 0.0306 s on Metal and from 0.0318 to 0.0092 s on CUDA (3.86x and 3.45x). Neighbor overlap was 1.000 in every comparison. These are systems measurements, not dataset-level accuracy estimates.</w:t>
      </w:r>
    </w:p>
    <w:p>
      <w:r>
        <w:t>The current M = 100, Tcycle = 100 MetRef validation shows why cross-validated accuracy is reported together with label-quality diagnostics. Matched CPU and CUDA PLS-LDA runs both reached maximum CV accuracy 1.000 and median CV accuracy 0.992366. Their CV-selected runs contained 24/27 classes and attained ARI 0.7654/0.7732 against 22 withheld reference classes. Backend-native k = 30 fuzzy UMAP produced truth-label silhouette 0.8206/0.7856. Because finite-precision and scheduling differences can select different stochastic runs, these results support matched objective behavior rather than bitwise trajectory identity.</w:t>
      </w:r>
    </w:p>
    <w:p>
      <w:r>
        <w:t>The dependency-distilled CUDA build links CUDA Toolkit libraries but no FAISS, cuVS, RAFT, or RMM soname. Binary wrappers therefore need to locate the CUDA runtime selected at build time, but do not need to provision the removed search libraries.</w:t>
      </w:r>
    </w:p>
    <w:p>
      <w:r>
        <w:t>The exact-quota selector was also isolated on flow18 (1,000,021 rows, 11 variables). With a request exceeding n, the historical rule yielded 750,016 effective landmarks. Matrix-only sampling from 300 coarse strata required 0.321 seconds and represented all 300 strata. A CUDA KNN run with M = 1 and Tcycle = 10 completed in 362.348 seconds and reached raw CV accuracy 0.963941; the shared 100-neighbor graph required 335.079 seconds, whereas the reported optimization sum was 1.734 seconds. The experiment therefore attributes the remaining large-data cost to global graph construction rather than landmark selection.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keepNext/>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keepNext/>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keepNext/>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keepNext/>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Current CRAN systems comparison</w:t>
      </w:r>
    </w:p>
    <w:p>
      <w:r>
        <w:t>A separate short-run systems comparison addresses the current public release. MetRef was run with M = 20, Tcycle = 20, requested landmarks = 100000 (655 effective landmarks under the retained 75% rule), splitting = 100, graph k = 500, ncomp = 50, seed 1234, and four CPU workers. The CV-selected run is chosen by raw held-out accuracy; ARI and class count are computed only afterward. KODAMA 3.3 automatically selects its PLS route because its deprecated FUN argument is ignored, so this is not classifier- or trajectory-parity with kodama-cpp SIMPLS plus latent-space LDA.</w:t>
      </w:r>
    </w:p>
    <w:p>
      <w:r>
        <w:t>Current CRAN KODAMA 3.3 completed in 344.914 seconds, compared with 822.989 seconds for kodama-cpp CPU4; thus KODAMA 3.3 was 2.39 times faster in this limited check. It also had higher selected raw CV accuracy and selected ARI. These unfavorable current results are retained and are not combined with the classifier-matched legacy KNN comparison. An exactly matched CUDA row is omitted because graph k = 500 exceeds the native CUDA builder limit of 256; neither landmarks nor graph k was changed silently to create an accelerator row.</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3"/>
              </w:rPr>
              <w:t>Implementation</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Classifier route</w:t>
            </w:r>
          </w:p>
        </w:tc>
        <w:tc>
          <w:tcPr>
            <w:tcW w:type="dxa" w:w="864"/>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CV</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classes</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 3.3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automatic PLS</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344.914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0.9893 / 0.9740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0.7004 / 0.6961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20 / 20</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kodama-cpp 0.1.0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SIMPLS + LDA</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822.989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0.9802 / 0.9550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0.6430 / 0.6584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30 / 35</w:t>
            </w:r>
          </w:p>
        </w:tc>
      </w:tr>
    </w:tbl>
    <w:p>
      <w:pPr>
        <w:pStyle w:val="Heading3"/>
      </w:pPr>
      <w:r>
        <w:t>Current-commit KODAMA.matrix MetRef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Backend/classifier</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Wall s</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Core 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Max/median CV</w:t>
            </w:r>
          </w:p>
        </w:tc>
        <w:tc>
          <w:tcPr>
            <w:tcW w:type="dxa" w:w="1728"/>
            <w:vAlign w:val="center"/>
            <w:tcMar>
              <w:top w:w="80" w:type="dxa"/>
              <w:bottom w:w="80" w:type="dxa"/>
              <w:start w:w="120" w:type="dxa"/>
              <w:end w:w="120" w:type="dxa"/>
            </w:tcMar>
            <w:shd w:fill="E8EEF5"/>
          </w:tcPr>
          <w:p>
            <w:pPr>
              <w:keepNext/>
              <w:spacing w:after="40" w:line="264" w:lineRule="auto"/>
            </w:pPr>
            <w:r>
              <w:rPr>
                <w:rFonts w:ascii="Calibri" w:hAnsi="Calibri"/>
                <w:b/>
                <w:sz w:val="14"/>
              </w:rPr>
              <w:t>Selected ARI/truth sil.</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Selected classes</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Peak MB</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CPU 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341.648</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341.612</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0.7654/0.8206</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351.4</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CUDA 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270.408</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270.220</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0.7732/0.7856</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729.7</w:t>
            </w:r>
          </w:p>
        </w:tc>
      </w:tr>
    </w:tbl>
    <w:p>
      <w:pPr>
        <w:spacing w:before="120"/>
        <w:jc w:val="center"/>
      </w:pPr>
      <w:r>
        <w:drawing>
          <wp:inline xmlns:a="http://schemas.openxmlformats.org/drawingml/2006/main" xmlns:pic="http://schemas.openxmlformats.org/drawingml/2006/picture">
            <wp:extent cx="5897880" cy="2015109"/>
            <wp:docPr id="2" name="Picture 2"/>
            <wp:cNvGraphicFramePr>
              <a:graphicFrameLocks noChangeAspect="1"/>
            </wp:cNvGraphicFramePr>
            <a:graphic>
              <a:graphicData uri="http://schemas.openxmlformats.org/drawingml/2006/picture">
                <pic:pic>
                  <pic:nvPicPr>
                    <pic:cNvPr id="0" name="MetRef__pls_lda__cpu_cuda_optimized_20260720.png"/>
                    <pic:cNvPicPr/>
                  </pic:nvPicPr>
                  <pic:blipFill>
                    <a:blip r:embed="rId10"/>
                    <a:stretch>
                      <a:fillRect/>
                    </a:stretch>
                  </pic:blipFill>
                  <pic:spPr>
                    <a:xfrm>
                      <a:off x="0" y="0"/>
                      <a:ext cx="5897880" cy="2015109"/>
                    </a:xfrm>
                    <a:prstGeom prst="rect"/>
                  </pic:spPr>
                </pic:pic>
              </a:graphicData>
            </a:graphic>
          </wp:inline>
        </w:drawing>
      </w:r>
    </w:p>
    <w:p>
      <w:pPr>
        <w:pStyle w:val="Caption"/>
      </w:pPr>
      <w:r>
        <w:t>Figure 2. Historical 2026-07-20 MetRef embedding-parity diagnostic after the float32 PLS-LDA optimization. Classic data, CPU KODAMA, and CUDA KODAMA were deliberately rendered through the same CPU embedding implementation and PCA initialization to isolate the KODAMA backend. This is not the current operational backend-native visualization contract. Colors are external reference labels withheld from optimization.</w:t>
      </w:r>
    </w:p>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(the current matched UMAP check changed 0.119 to 0.844; the earlier openTSNE check changed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keepNext/>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keepNext/>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0.119 -&gt; 0.844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+0.725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not recomputed</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0.832 / 21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173.104</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3" name="Picture 3"/>
            <wp:cNvGraphicFramePr>
              <a:graphicFrameLocks noChangeAspect="1"/>
            </wp:cNvGraphicFramePr>
            <a:graphic>
              <a:graphicData uri="http://schemas.openxmlformats.org/drawingml/2006/picture">
                <pic:pic>
                  <pic:nvPicPr>
                    <pic:cNvPr id="0" name="nonspatial_visualization_validation.png"/>
                    <pic:cNvPicPr/>
                  </pic:nvPicPr>
                  <pic:blipFill>
                    <a:blip r:embed="rId11"/>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3. Fixed M = 100 and Tcycle = 100 nonspatial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keepNext/>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keepNext/>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4" name="Picture 4"/>
            <wp:cNvGraphicFramePr>
              <a:graphicFrameLocks noChangeAspect="1"/>
            </wp:cNvGraphicFramePr>
            <a:graphic>
              <a:graphicData uri="http://schemas.openxmlformats.org/drawingml/2006/picture">
                <pic:pic>
                  <pic:nvPicPr>
                    <pic:cNvPr id="0" name="kodama_m_tcycle_sensitivity.png"/>
                    <pic:cNvPicPr/>
                  </pic:nvPicPr>
                  <pic:blipFill>
                    <a:blip r:embed="rId12"/>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4. Sensitivity of KODAMA quality and runtime to Tcycle and M on named nonspatial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keepNext/>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5" name="Picture 5"/>
            <wp:cNvGraphicFramePr>
              <a:graphicFrameLocks noChangeAspect="1"/>
            </wp:cNvGraphicFramePr>
            <a:graphic>
              <a:graphicData uri="http://schemas.openxmlformats.org/drawingml/2006/picture">
                <pic:pic>
                  <pic:nvPicPr>
                    <pic:cNvPr id="0" name="ensemble_convergence.png"/>
                    <pic:cNvPicPr/>
                  </pic:nvPicPr>
                  <pic:blipFill>
                    <a:blip r:embed="rId13"/>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5.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keepNext/>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MetRef, native CPU KNNCV reproduced accuracy 0.827033; runtime evidence is reported independently from accelerator paths.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Resident accelerator IVF lifecycle</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src/resident_ivf.cpp exposes a move-only ResidentIVFIndex. CUDA and Metal retain the float32 input, projection, centroids, list offsets, and IDs; assignment accumulation, empty-cluster repair, list counts, prefix offsets, and ID scatter execute on-device.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build one resident index, run two self-searches, verify self-exclusion and metadata, and require identical indices and distances. tests/test_public_api_0_1.cpp compile-links the ownership and search surface.</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a deterministic 50,000 by 32 systems microbenchmark, 1,000-query reuse was 3.45x faster than rebuild-plus-search on CUDA and 3.86x faster on Metal, with neighbor overlap 1.000. All-row reuse was 1.12x and 1.07x because search dominated construction.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At audited core commit 9da48ee, the matched MetRef M = 100, Tcycle = 100 PLS-LDA run required 341.648 s on four CPU cores and 270.408 s on CUDA, a 1.26x end-to-end speedup with identical median raw CV accuracy 0.992366; peak host-process memory was 351.4/729.7 MB. In a five-run fixed-50-component kernel check, median PLSLDACV time was 0.790 s on four Mac CPU threads and 0.202 s on Metal (3.90x), with accuracy 0.990836/0.989691. On chiamaka, corresponding kernel medians were 1.294 s on four CPU threads and 0.308 s on CUDA (4.20x), with accuracy differing by at most one sample.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Exact-quota landmarking</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src/kodama_matrix.cpp forms coarse expression strata for matrix input or occupied regular-grid cells for 2D/3D coordinate input, then allocates exact population-proportional quotas by randomized systematic rounding and samples observed rows without replacement.</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exact effective count, represented/occupied strata, automatic grid dimensions, fixed-seed repeatability, and CPU/CUDA landmark-diagnostic parity.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flow18, 750,016 observed landmarks were selected from 300/300 coarse strata in 0.321 s; the complete M=1, Tcycle=10 CUDA KNN call took 362.348 s, of which 335.079 s was global graph construction.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Continuous integration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GitHub Actions commit 9da48ee passed CPU core jobs on Linux and macOS, a native Metal job on macOS, R package build/check, and Python installation/pytest.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Coverage and documentation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LLVM 22.1.1 CPU instrumentation measured 63.58% line, 57.03% branch, 66.04% function, and 67.61% region coverage. CUDA and Metal are excluded from that CPU number and retain hardware tests. Doxygen generation and GitHub Pages deployment passed, and the public API site is reachable at https://tkcaccia.github.io/kodama-cpp/.</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Commit 9da48ee and R-wrapper commit 4d5506b are audited candidates; the final clean tag, archive digest, and optional DOI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GitHub Actions builds and tests the CPU core on Linux and macOS, builds the native Metal core on macOS, and installs and tests both wrapper packages. A separate LLVM workflow measures CPU source coverage, while Doxygen publishes the typed API and a compact C++/R/Python walkthrough at https://tkcaccia.github.io/kodama-cpp/. The C++ core does not depend on R data readers; wrappers translate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keepNext/>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Clone https://github.com/tkcaccia/kodama-r, 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Use split-repos/kodama-python from the reviewed core repository and pass KODAMA_CPP_ROOT and KODAMA_CPP_BUILD_DIR as CMake config settings to pip. Publication of the separately versioned Python repository remains a pre-submission action.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keepNext/>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keepNext/>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 clean commit-9da48ee build for compute capability 12.0 used CUDA 13.0 V13.0.88 on chiamaka. CTest passed 3/3 configured license, numerical/core, and public-API tests; the independently installed R wrapper also passed its testthat suite.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Temporary virtual-environment install against the local CPU build passed pytest: 4/4 tests.</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GitHub Actions</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9da48ee passed CPU core jobs on Ubuntu and macOS, native Metal on macOS, R package build/check, and Python installation/pytest. Separate coverage and API-documentation workflows also passed.</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keepNext/>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exact 2D/3D grid-KNN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r>
        <w:br w:type="page"/>
      </w:r>
    </w:p>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t>The native CUDA neighbor-graph builder currently supports at most 256 retained neighbors per sample, whereas the CPU path supports larger rows. The implementation raises an error rather than silently truncating k. This matters when comparing with interfaces that couple landmark count and graph size; the current-CRAN MetRef systems comparison therefore reports the exactly matched CPU4 path and does not manufacture an unmatched CUDA row.</w:t>
      </w:r>
    </w:p>
    <w:p>
      <w:pPr>
        <w:pStyle w:val="Heading1"/>
        <w:pageBreakBefore/>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and (!guarded_diversity or score_prop &gt;= score_best)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pPr>
        <w:pStyle w:val="Heading1"/>
        <w:pageBreakBefore/>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coordinates,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L_eff &lt;- ValidateLandmarks(landmarks, n)  # ceil(0.75*n) when request &gt;= n</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if coordinates are supplied then</w:t>
      </w:r>
    </w:p>
    <w:p>
      <w:pPr>
        <w:keepLines w:val="0"/>
        <w:spacing w:before="0" w:after="0" w:line="211" w:lineRule="auto"/>
        <w:ind w:left="230" w:right="230"/>
        <w:shd w:fill="F7F9FC"/>
      </w:pPr>
      <w:r>
        <w:rPr>
          <w:rFonts w:ascii="Courier New" w:hAnsi="Courier New"/>
          <w:sz w:val="14"/>
        </w:rPr>
        <w:t xml:space="preserve">    strata &lt;- OccupiedGridCells(coordinates, ceil(L_eff^(1/d)))</w:t>
      </w:r>
    </w:p>
    <w:p>
      <w:pPr>
        <w:keepLines w:val="0"/>
        <w:spacing w:before="0" w:after="0" w:line="211" w:lineRule="auto"/>
        <w:ind w:left="230" w:right="230"/>
        <w:shd w:fill="F7F9FC"/>
      </w:pPr>
      <w:r>
        <w:rPr>
          <w:rFonts w:ascii="Courier New" w:hAnsi="Courier New"/>
          <w:sz w:val="14"/>
        </w:rPr>
        <w:t xml:space="preserve">    L &lt;- QuotaLandmarks(strata, L_eff, rng, ordered=TRUE)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coarse &lt;- KMeans(X32, splitting, rng)</w:t>
      </w:r>
    </w:p>
    <w:p>
      <w:pPr>
        <w:keepLines w:val="0"/>
        <w:spacing w:before="0" w:after="0" w:line="211" w:lineRule="auto"/>
        <w:ind w:left="230" w:right="230"/>
        <w:shd w:fill="F7F9FC"/>
      </w:pPr>
      <w:r>
        <w:rPr>
          <w:rFonts w:ascii="Courier New" w:hAnsi="Courier New"/>
          <w:sz w:val="14"/>
        </w:rPr>
        <w:t xml:space="preserve">    L &lt;- QuotaLandmarks(coarse, L_eff, rng, ordered=FALSE)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starting_labels supplied then</w:t>
      </w:r>
    </w:p>
    <w:p>
      <w:pPr>
        <w:keepLines w:val="0"/>
        <w:spacing w:before="0" w:after="0" w:line="211" w:lineRule="auto"/>
        <w:ind w:left="230" w:right="230"/>
        <w:shd w:fill="F7F9FC"/>
      </w:pPr>
      <w:r>
        <w:rPr>
          <w:rFonts w:ascii="Courier New" w:hAnsi="Courier New"/>
          <w:sz w:val="14"/>
        </w:rPr>
        <w:t xml:space="preserve">    y0 &lt;- starting_labels[L]</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y0 &lt;- ExpressionKMeans(X32[L], splitting, rng)</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ConstrainedMajority(y0, groups)</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QuotaLandmarks(strata, L, rng, ordered):</w:t>
      </w:r>
    </w:p>
    <w:p>
      <w:pPr>
        <w:keepLines w:val="0"/>
        <w:spacing w:before="0" w:after="0" w:line="211" w:lineRule="auto"/>
        <w:ind w:left="230" w:right="230"/>
        <w:shd w:fill="F7F9FC"/>
      </w:pPr>
      <w:r>
        <w:rPr>
          <w:rFonts w:ascii="Courier New" w:hAnsi="Courier New"/>
          <w:sz w:val="14"/>
        </w:rPr>
        <w:t xml:space="preserve">  for each stratum c do</w:t>
      </w:r>
    </w:p>
    <w:p>
      <w:pPr>
        <w:keepLines w:val="0"/>
        <w:spacing w:before="0" w:after="0" w:line="211" w:lineRule="auto"/>
        <w:ind w:left="230" w:right="230"/>
        <w:shd w:fill="F7F9FC"/>
      </w:pPr>
      <w:r>
        <w:rPr>
          <w:rFonts w:ascii="Courier New" w:hAnsi="Courier New"/>
          <w:sz w:val="14"/>
        </w:rPr>
        <w:t xml:space="preserve">    q[c] &lt;- L * size(c) / n</w:t>
      </w:r>
    </w:p>
    <w:p>
      <w:pPr>
        <w:keepLines w:val="0"/>
        <w:spacing w:before="0" w:after="0" w:line="211" w:lineRule="auto"/>
        <w:ind w:left="230" w:right="230"/>
        <w:shd w:fill="F7F9FC"/>
      </w:pPr>
      <w:r>
        <w:rPr>
          <w:rFonts w:ascii="Courier New" w:hAnsi="Courier New"/>
          <w:sz w:val="14"/>
        </w:rPr>
        <w:t xml:space="preserve">    take[c] &lt;- floor(q[c])</w:t>
      </w:r>
    </w:p>
    <w:p>
      <w:pPr>
        <w:keepLines w:val="0"/>
        <w:spacing w:before="0" w:after="0" w:line="211" w:lineRule="auto"/>
        <w:ind w:left="230" w:right="230"/>
        <w:shd w:fill="F7F9FC"/>
      </w:pPr>
      <w:r>
        <w:rPr>
          <w:rFonts w:ascii="Courier New" w:hAnsi="Courier New"/>
          <w:sz w:val="14"/>
        </w:rPr>
        <w:t xml:space="preserve">    frac[c] &lt;- q[c] - take[c]</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R &lt;- L - sum_c take[c]</w:t>
      </w:r>
    </w:p>
    <w:p>
      <w:pPr>
        <w:keepLines w:val="0"/>
        <w:spacing w:before="0" w:after="0" w:line="211" w:lineRule="auto"/>
        <w:ind w:left="230" w:right="230"/>
        <w:shd w:fill="F7F9FC"/>
      </w:pPr>
      <w:r>
        <w:rPr>
          <w:rFonts w:ascii="Courier New" w:hAnsi="Courier New"/>
          <w:sz w:val="14"/>
        </w:rPr>
        <w:t xml:space="preserve">  u &lt;- Uniform(0, 1)</w:t>
      </w:r>
    </w:p>
    <w:p>
      <w:pPr>
        <w:keepLines w:val="0"/>
        <w:spacing w:before="0" w:after="0" w:line="211" w:lineRule="auto"/>
        <w:ind w:left="230" w:right="230"/>
        <w:shd w:fill="F7F9FC"/>
      </w:pPr>
      <w:r>
        <w:rPr>
          <w:rFonts w:ascii="Courier New" w:hAnsi="Courier New"/>
          <w:sz w:val="14"/>
        </w:rPr>
        <w:t xml:space="preserve">  SystematicRound(frac, R, u, ordered, take)</w:t>
      </w:r>
    </w:p>
    <w:p>
      <w:pPr>
        <w:keepLines w:val="0"/>
        <w:spacing w:before="0" w:after="0" w:line="211" w:lineRule="auto"/>
        <w:ind w:left="230" w:right="230"/>
        <w:shd w:fill="F7F9FC"/>
      </w:pPr>
      <w:r>
        <w:rPr>
          <w:rFonts w:ascii="Courier New" w:hAnsi="Courier New"/>
          <w:sz w:val="14"/>
        </w:rPr>
        <w:t xml:space="preserve">  return union_c SampleWithoutReplacement(c, take[c],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pPr>
        <w:pStyle w:val="Heading1"/>
        <w:pageBreakBefore/>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