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Cross-Validated Accuracy Maximization on CPU, CUDA, and Apple Metal</w:t>
      </w:r>
    </w:p>
    <w:p>
      <w:pPr>
        <w:spacing w:after="120"/>
      </w:pPr>
      <w:r>
        <w:rPr>
          <w:rFonts w:ascii="Calibri" w:hAnsi="Calibri"/>
          <w:i/>
          <w:sz w:val="22"/>
        </w:rPr>
        <w:t>Manuscript for the Journal of Machine Learning Research Machine Learning Open Source Software track</w:t>
      </w:r>
    </w:p>
    <w:p>
      <w:pPr>
        <w:spacing w:after="80"/>
      </w:pPr>
      <w:r>
        <w:rPr>
          <w:rFonts w:ascii="Calibri" w:hAnsi="Calibri"/>
          <w:b w:val="0"/>
          <w:color w:val="555555"/>
          <w:sz w:val="20"/>
        </w:rPr>
        <w:t>Moussa Kassim</w:t>
      </w:r>
      <w:r>
        <w:rPr>
          <w:rFonts w:ascii="Calibri" w:hAnsi="Calibri"/>
          <w:b w:val="0"/>
          <w:color w:val="555555"/>
          <w:sz w:val="16"/>
          <w:vertAlign w:val="superscript"/>
        </w:rPr>
        <w:t>1,2</w:t>
      </w:r>
      <w:r>
        <w:rPr>
          <w:rFonts w:ascii="Calibri" w:hAnsi="Calibri"/>
          <w:b w:val="0"/>
          <w:color w:val="555555"/>
          <w:sz w:val="20"/>
        </w:rPr>
        <w:t xml:space="preserve">, </w:t>
      </w:r>
      <w:r>
        <w:rPr>
          <w:rFonts w:ascii="Calibri" w:hAnsi="Calibri"/>
          <w:b w:val="0"/>
          <w:color w:val="555555"/>
          <w:sz w:val="20"/>
        </w:rPr>
        <w:t>Martin Ocharo</w:t>
      </w:r>
      <w:r>
        <w:rPr>
          <w:rFonts w:ascii="Calibri" w:hAnsi="Calibri"/>
          <w:b w:val="0"/>
          <w:color w:val="555555"/>
          <w:sz w:val="16"/>
          <w:vertAlign w:val="superscript"/>
        </w:rPr>
        <w:t>1,2</w:t>
      </w:r>
      <w:r>
        <w:rPr>
          <w:rFonts w:ascii="Calibri" w:hAnsi="Calibri"/>
          <w:b w:val="0"/>
          <w:color w:val="555555"/>
          <w:sz w:val="20"/>
        </w:rPr>
        <w:t xml:space="preserve">, </w:t>
      </w:r>
      <w:r>
        <w:rPr>
          <w:rFonts w:ascii="Calibri" w:hAnsi="Calibri"/>
          <w:b w:val="0"/>
          <w:color w:val="555555"/>
          <w:sz w:val="20"/>
        </w:rPr>
        <w:t>Alessia Vignoli</w:t>
      </w:r>
      <w:r>
        <w:rPr>
          <w:rFonts w:ascii="Calibri" w:hAnsi="Calibri"/>
          <w:b w:val="0"/>
          <w:color w:val="555555"/>
          <w:sz w:val="16"/>
          <w:vertAlign w:val="superscript"/>
        </w:rPr>
        <w:t>3,4</w:t>
      </w:r>
      <w:r>
        <w:rPr>
          <w:rFonts w:ascii="Calibri" w:hAnsi="Calibri"/>
          <w:b w:val="0"/>
          <w:color w:val="555555"/>
          <w:sz w:val="20"/>
        </w:rPr>
        <w:t xml:space="preserve">, </w:t>
      </w:r>
      <w:r>
        <w:rPr>
          <w:rFonts w:ascii="Calibri" w:hAnsi="Calibri"/>
          <w:b w:val="0"/>
          <w:color w:val="555555"/>
          <w:sz w:val="20"/>
        </w:rPr>
        <w:t>Leonardo Tenori</w:t>
      </w:r>
      <w:r>
        <w:rPr>
          <w:rFonts w:ascii="Calibri" w:hAnsi="Calibri"/>
          <w:b w:val="0"/>
          <w:color w:val="555555"/>
          <w:sz w:val="16"/>
          <w:vertAlign w:val="superscript"/>
        </w:rPr>
        <w:t>3,4</w:t>
      </w:r>
      <w:r>
        <w:rPr>
          <w:rFonts w:ascii="Calibri" w:hAnsi="Calibri"/>
          <w:b w:val="0"/>
          <w:color w:val="555555"/>
          <w:sz w:val="20"/>
        </w:rPr>
        <w:t xml:space="preserve">, and </w:t>
      </w:r>
      <w:r>
        <w:rPr>
          <w:rFonts w:ascii="Calibri" w:hAnsi="Calibri"/>
          <w:b w:val="0"/>
          <w:color w:val="555555"/>
          <w:sz w:val="20"/>
        </w:rPr>
        <w:t>Stefano Cacciatore</w:t>
      </w:r>
      <w:r>
        <w:rPr>
          <w:rFonts w:ascii="Calibri" w:hAnsi="Calibri"/>
          <w:b w:val="0"/>
          <w:color w:val="555555"/>
          <w:sz w:val="16"/>
          <w:vertAlign w:val="superscript"/>
        </w:rPr>
        <w:t>1,2</w:t>
      </w:r>
    </w:p>
    <w:p>
      <w:pPr>
        <w:spacing w:after="20" w:line="240" w:lineRule="auto"/>
      </w:pPr>
      <w:r>
        <w:rPr>
          <w:rFonts w:ascii="Calibri" w:hAnsi="Calibri"/>
          <w:b w:val="0"/>
          <w:color w:val="555555"/>
          <w:sz w:val="15"/>
          <w:vertAlign w:val="superscript"/>
        </w:rPr>
        <w:t>1</w:t>
      </w:r>
      <w:r>
        <w:rPr>
          <w:rFonts w:ascii="Calibri" w:hAnsi="Calibri"/>
          <w:b w:val="0"/>
          <w:color w:val="555555"/>
          <w:sz w:val="17"/>
        </w:rPr>
        <w:t xml:space="preserve"> Bioinformatics Unit, International Center for Genetic Engineering and Biotechnology, Cape Town 7925, South Africa.</w:t>
      </w:r>
    </w:p>
    <w:p>
      <w:pPr>
        <w:spacing w:after="20" w:line="240" w:lineRule="auto"/>
      </w:pPr>
      <w:r>
        <w:rPr>
          <w:rFonts w:ascii="Calibri" w:hAnsi="Calibri"/>
          <w:b w:val="0"/>
          <w:color w:val="555555"/>
          <w:sz w:val="15"/>
          <w:vertAlign w:val="superscript"/>
        </w:rPr>
        <w:t>2</w:t>
      </w:r>
      <w:r>
        <w:rPr>
          <w:rFonts w:ascii="Calibri" w:hAnsi="Calibri"/>
          <w:b w:val="0"/>
          <w:color w:val="555555"/>
          <w:sz w:val="17"/>
        </w:rPr>
        <w:t xml:space="preserve"> Department of Integrative Biomedical Sciences, Institute of Infectious Disease &amp; Molecular Medicine (IDM), University of Cape Town, Cape Town 7925, South Africa.</w:t>
      </w:r>
    </w:p>
    <w:p>
      <w:pPr>
        <w:spacing w:after="20" w:line="240" w:lineRule="auto"/>
      </w:pPr>
      <w:r>
        <w:rPr>
          <w:rFonts w:ascii="Calibri" w:hAnsi="Calibri"/>
          <w:b w:val="0"/>
          <w:color w:val="555555"/>
          <w:sz w:val="15"/>
          <w:vertAlign w:val="superscript"/>
        </w:rPr>
        <w:t>3</w:t>
      </w:r>
      <w:r>
        <w:rPr>
          <w:rFonts w:ascii="Calibri" w:hAnsi="Calibri"/>
          <w:b w:val="0"/>
          <w:color w:val="555555"/>
          <w:sz w:val="17"/>
        </w:rPr>
        <w:t xml:space="preserve"> Department of Chemistry "Ugo Schiff", University of Florence, Sesto Fiorentino, Italy.</w:t>
      </w:r>
    </w:p>
    <w:p>
      <w:pPr>
        <w:spacing w:after="20" w:line="240" w:lineRule="auto"/>
      </w:pPr>
      <w:r>
        <w:rPr>
          <w:rFonts w:ascii="Calibri" w:hAnsi="Calibri"/>
          <w:b w:val="0"/>
          <w:color w:val="555555"/>
          <w:sz w:val="15"/>
          <w:vertAlign w:val="superscript"/>
        </w:rPr>
        <w:t>4</w:t>
      </w:r>
      <w:r>
        <w:rPr>
          <w:rFonts w:ascii="Calibri" w:hAnsi="Calibri"/>
          <w:b w:val="0"/>
          <w:color w:val="555555"/>
          <w:sz w:val="17"/>
        </w:rPr>
        <w:t xml:space="preserve"> Magnetic Resonance Center (CERM), University of Florence, Sesto Fiorentino, Italy.</w:t>
      </w:r>
    </w:p>
    <w:p>
      <w:pPr>
        <w:spacing w:before="40" w:after="200"/>
      </w:pPr>
      <w:r>
        <w:rPr>
          <w:rFonts w:ascii="Calibri" w:hAnsi="Calibri"/>
          <w:b w:val="0"/>
          <w:color w:val="555555"/>
          <w:sz w:val="17"/>
        </w:rPr>
        <w:t>Corresponding author: Stefano Cacciatore, stefano.cacciatore@icgeb.org</w:t>
      </w:r>
    </w:p>
    <w:p>
      <w:pPr>
        <w:pStyle w:val="Heading1"/>
      </w:pPr>
      <w:r>
        <w:t>Abstract</w:t>
      </w:r>
    </w:p>
    <w:p>
      <w:r>
        <w:t>KODAMA searches for latent structure by maximizing the cross-validated predictability of an evolving label vector. We present kodama-cpp, a standalone C++17 implementation that preserves this objective while reformulating its numerical execution for multicore CPU, NVIDIA CUDA, and Apple Metal systems. The novelty is not a replacement objective: it is an accelerator-native software design in which one typed core owns float32 data, fold assignments, evolving labels, classifier workspaces, and graph outputs instead of repeatedly crossing an R-package boundary. The CUDA backend provides package-owned exact and recall-tuned IVF-Flat nearest-neighbor search, GPU k-means, label-aware SIMPLS cross-products, reusable device workspaces, and latent-space LDA. The Metal backend provides native exact and IVF-Flat search, GPU k-means, and MPS-assisted SIMPLS projection while retaining the same KNN and PLS-LDA contracts. KODAMA runs remain independent, requested feasible PLS component counts are evaluated directly, and unavailable accelerators raise errors rather than silently executing a CPU substitute. The resulting library exposes KNN and PLS-LDA cross-validation, label optimization, KODAMA matrix construction from data or supplied neighbor graphs, float32 randomized PCA, and visualization primitives through wrapper-independent APIs. We validate mathematical parity, backend identity, runtime, memory behavior, and external-label diagnostics separately so that acceleration claims are not conflated with the internal cross-validation objective.</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The repeated classifier fits inside KODAMA create a systems problem that is not resolved by translating individual R expressions into C++. Neighbor indices, fold matrices, class encodings, latent projections, and evolving labels must be reused across many cross-validation calls without changing the accepted label trajectory. A useful accelerator implementation must therefore preserve the mathematical state machine while changing where that state lives and how it moves.</w:t>
      </w:r>
    </w:p>
    <w:p>
      <w:r>
        <w:t>kodama-cpp addresses this problem with a standalone C++17 core and explicit CPU, CUDA, and Apple Metal backends. It currently supports two classifier families in the KODAMA optimization layer: KNN for local neighborhood consistency and PLS-LDA for low-rank linear discrimination. R and Python wrappers call the same typed API, so fold construction, proposals, acceptance decisions, and result metadata are not reimplemented by each language interface.</w:t>
      </w:r>
    </w:p>
    <w:p>
      <w:r>
        <w:t>The principal software novelty has four parts. First, analysis matrices and repeated workspaces are float32-native. Second, nearest-neighbor search, k-means initialization, randomized PCA, SIMPLS, and LDA have backend-specific implementations rather than hidden CPU fallbacks. Third, KODAMA-specific invariants such as independent M runs, one CV evaluation per proposal cycle, constrained groups, and requested PLS component counts remain shared. Fourth, backend identity, timings, memory, search parameters, and prediction diagnostics are returned as data, making heterogeneous execution testable from thin wrappers.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spacing w:after="40" w:line="264" w:lineRule="auto"/>
            </w:pPr>
            <w:r>
              <w:rPr>
                <w:rFonts w:ascii="Calibri" w:hAnsi="Calibri"/>
                <w:b/>
                <w:sz w:val="17"/>
              </w:rPr>
              <w:t>Role in kodama-cpp</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Mathematical continuity</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Preserves cross-validated label predictability, independent M runs, constrained proposals, and the derived KODAMA graph or dissimilarity.</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Standalone implementation</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Moves data ownership and label evolution into a C++17 library so R and Python wrappers share one implementation.</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CUDA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Combines exact/IVF-Flat KNN, k-means, label-aware SIMPLS, latent LDA, and reusable device workspaces without FAISS, cuVS, or RAFT runtime links.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Metal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Implements exact/IVF-Flat KNN and k-means with Metal kernels and accelerates SIMPLS projections with Metal Performance Shaders.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KODAMA-specific reuse</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Caches fold data, compacts active labels, reuses neighbor structures, and keeps M runs independent without changing the objective.</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Testable backend contract</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Returns typed predictions, labels, graphs, timings, memory, search parameters, and actual backend identity, with no silent fallback.</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It samples a number of movable groups according to the adaptive proposal-size schedule. Early cycles can alter many groups, allowing coarse movement through label space. Later cycles alter fewer groups, turning the search into local refinement. For each sampled group, the replacement label is drawn from the empirical distribution of the previous CV predictions among the non-fixed members of that group.</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For the PLS-LDA path, an additional automatic coarsening proposal may be applied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rule tied to CV confusion rather than to external labels.</w:t>
      </w:r>
    </w:p>
    <w:p>
      <w:r>
        <w:t>After these proposal moves, the proposed vector is evaluated by exactly one new CV pass. The resulting raw accuracy is stored for the best accepted vector, while the acceptance score may include generic guards against degenerate labelings. With guarded diversity, S starts as A sqrt(1 - sum_k p_k^2), where A is raw CV accuracy and p_k is the class proportion. With automatic coarsening, S is reduced by (1 - A) max(H / log n, fragmentation / (1 + fragmentation)). These score terms steer the search away from trivial or excessively fragmented vectors without changing the underlying CV classifier.</w:t>
      </w:r>
    </w:p>
    <w:p>
      <w:r>
        <w:t>The best vector is updated whenever the proposal score improves. In evolutionary mode, a separate current vector is also maintained. A worse proposal can become the current vector with probability exp((score_new - score_current) / tau_t), where tau_t cools toward zero as cycles progress and is also smaller when current accuracy is already high. This simulated-annealing-style rule permits early exploration but makes late-cycle changes conservative. Repeating this process for M independent runs gives an ensemble of high-accuracy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guarded diversity factor and class-coarsening penalties are therefore part of the current standard KODAMA search score in kodama-cpp: they change which proposals are accepted, while the reported accuracy remains the raw held-out classifier accuracy.</w:t>
      </w:r>
    </w:p>
    <w:p>
      <w:r>
        <w:t>The same distinction also clarifies how to compare KNN and PLS-LDA. KNN can produce very stable local partitions with high raw accuracy, whereas PLS-LDA can favor labelings that are predictable in a low-dimensional discriminant space. For that reason, the benchmark reports both raw CV accuracy and label-quality diagnostics, rather than treating any single scalar as a complete measure of KODAMA quality.</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spacing w:after="40" w:line="264" w:lineRule="auto"/>
            </w:pPr>
            <w:r>
              <w:rPr>
                <w:rFonts w:ascii="Calibri" w:hAnsi="Calibri"/>
                <w:b/>
                <w:sz w:val="16"/>
              </w:rPr>
              <w:t>Role in the algorithm</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M / runs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Tcycle / cycles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landmarks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Maximum number of samples optimized directly in one run. The default is 10000; if the requested value is at least n, the implementation uses ceil(0.75 n), then caps the value to [2, n-1].</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splitting</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Initial number of label classes for each run. If not supplied, splitting is 100 for n &lt; 40000 and 300 otherwise. The run initializes labels by k-means with min(splitting, number of landmarks) clusters.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constrain</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fixed</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binary vector. Fixed samples are included in CV but are not relabeled by proposal moves.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graph_neighbors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For each run r = 1,...,M, create a random generator with seed seed + r. Copy the input matrix into float32 working storage. Select up to landmarks representative samples by running k-means on all rows with landmarks centers for 10 iterations, then sampling one representative from each non-empty cluster.</w:t>
      </w:r>
    </w:p>
    <w:p>
      <w:pPr>
        <w:pStyle w:val="ListNumber"/>
        <w:numPr>
          <w:ilvl w:val="0"/>
          <w:numId w:val="10"/>
        </w:numPr>
        <w:spacing w:after="80"/>
      </w:pPr>
      <w:r>
        <w:rPr>
          <w:rFonts w:ascii="Calibri" w:hAnsi="Calibri"/>
        </w:rPr>
        <w:t>Initialize the label vector on the selected landmarks. If starting labels are supplied, subset them to the landmarks and apply constrained-majority relabeling when constraints are present. Otherwise run k-means on the landmark matrix with init_k = max(2, min(splitting, number of landmarks)) for 10 iterations.</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With adaptive proposal size enabled, p_t = (t + 1) / (Tcycle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class-level transition proposals. The transition matrix has entries N_ab = #{i: current label a, CV prediction b}. The many-to-one proposal selects targets with positive surplus over the independence expectation n_a n_b / n and relabels one or more unstable source classes into the selected target, while rejecting moves that collapse to one class or fail to reduce the class count.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The implementation records the raw accuracy attached to the selected best vector, while the default KODAMA.matrix acceptance score guards against degenerate labelings by multiplying A_t by sqrt(1 - sum_k p_k^2), where p_k is the current class proportion. When class coarsening is enabled, an additional parsimony term based on label entropy and effective class count is subtracted.</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 + 1) / 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First, it constructs a global KNN graph on the original samples using the selected metric and graph_neighbors. This unmodified graph is returned as base_knn.</w:t>
      </w:r>
    </w:p>
    <w:p>
      <w:r>
        <w:t>Let c_i^(r) be the final label of sample i from run r. For each retained edge (i,j) with original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1"/>
      </w:pPr>
      <w:r>
        <w:t>3. Implementation architecture</w:t>
      </w:r>
    </w:p>
    <w:p>
      <w:r>
        <w:t>The core library exposes C++ functions rather than wrapper-specific entry points. A MatrixView accepts double or float inputs, but all analysis paths convert to and retain float32 matrices and workspaces. The core owns fold assignments, compact class encodings, current and best label vectors, classifier buffers, and typed result metadata. The public API is grouped into cross-validation kernels, core label optimization, KODAMA matrix construction, PCA, graph construction, and embedding utilities.</w:t>
      </w:r>
    </w:p>
    <w:p>
      <w:r>
        <w:t>Backend selection is strict and observable. CPU, CUDA, and Metal entry points report the backend that actually executed, and an unavailable accelerator raises an error. This rule is essential for reproducible benchmarking because a nominal GPU call that silently falls back to CPU would preserve outputs while invalidating performance claims.</w:t>
      </w:r>
    </w:p>
    <w:p>
      <w:r>
        <w:t>KNN kernels have backend-specific implementations under one voting contract. The dependency-light CPU path uses a package-owned float32 HNSW implementation. CUDA provides package-owned exact and recall-tuned IVF-Flat search plus GPU k-means using CUDA Toolkit libraries. Apple Metal provides native exact and recall-tuned IVF-Flat search plus GPU k-means using Metal compute kernels. Neighbor structures are reused where the mathematics permits, avoiding repeated wrapper-level index construction.</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The library also exposes float32 randomized PCA as a preprocessing and embedding-initialization primitive. A Gaussian range sketch, backend-specific automatic oversampling and power-iteration policy, orthonormal basis, and compact eigensolve produce scores, loadings, singular values, and explained variance. CPU, CUDA, and Metal entry points share this contract. The implementation follows the current fastEmbedR/fastPLS strategy but is standalone and does not link either package, Armadillo, Eigen, or RAFT.</w:t>
      </w:r>
    </w:p>
    <w:p>
      <w:r>
        <w:t>UMAP and openTSNE are direct standalone ports of the pinned current fastEmbedR implementation. UMAP builds binary or fuzzy graphs directly in float32 CSR form, including the smooth-kNN bandwidth calculation and epochs-per-sample schedule; openTSNE uses the matching sparse affinities and exact or FFT-grid repulsion. The CUDA path reuses pooled workspaces, and neither path links fastEmbedR or R.</w:t>
      </w:r>
    </w:p>
    <w:p>
      <w:r>
        <w:t>For graph inputs, where neighbor indices and distances are supplied by the caller, KODAMA keeps the KNN optimizer directly on the supplied graph and avoids rebuilding the neighbor search. If the PLS-LDA optimizer is requested without the original feature matrix, the graph is converted into a PLS-compatible float32 representation with the standard self-tuning normalized Laplacian transform: local row-wise distance scales define edge weights, the graph is symmetrized and degree-normalized, and randomized power iterations produce features for the same PLS-LDA core. This is the only supported graph-to-feature path in the public API.</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Implementation novelty</w:t>
      </w:r>
    </w:p>
    <w:p>
      <w:r>
        <w:t>kodama-cpp is an algorithm-preserving systems redesign rather than a new KODAMA objective. The original R implementation remains the reference for accuracy maximization and the ensemble construction. The new contribution is that numerical state previously recreated across wrapper calls is represented once in typed C++ objects and reused across folds, proposal cycles, and independent runs.</w:t>
      </w:r>
    </w:p>
    <w:p>
      <w:r>
        <w:t>This distinction matters because the runtime of KODAMA is the product of several nested operations: M independent searches, Tcycle proposal steps, cross-validation folds, and a classifier fit or vote inside each fold. Accelerating only one matrix multiplication leaves allocation, format conversion, index construction, and host-device traffic in the dominant loop. The implementation therefore optimizes the lifecycle of the complete CV state while retaining one objective evaluation per proposal.</w:t>
      </w:r>
    </w:p>
    <w:p>
      <w:r>
        <w:t>The backends share mathematical invariants but not source-level execution strategies. KNN uses the same metric and voting rules with different search engines. PLS-LDA uses the same SIMPLS deflation and latent LDA model while each accelerator maps the dominant operations to its own memory and matrix-compute model. This separation avoids benchmark-specific branches inside the classifier and makes CPU/accelerator parity an explicit test target.</w:t>
      </w:r>
    </w:p>
    <w:p>
      <w:pPr>
        <w:pStyle w:val="Heading2"/>
      </w:pPr>
      <w:r>
        <w:t>CUDA backend</w:t>
      </w:r>
    </w:p>
    <w:p>
      <w:r>
        <w:t>The CUDA path is package-owned and uses only CUDA Toolkit libraries. Input matrices are materialized as contiguous float32 buffers. Exact KNN evaluates the requested metric directly, whereas IVF-Flat builds GPU k-means centroids and inverted lists and selects nprobe from an exact pilot query when recall tuning is enabled. The selected nlist, nprobe, pilot recall, and device id are returned with the result. Exact Lloyd assignment uses a bounded 256 MiB score workspace per independent M lane and batches rows when necessary; every row still evaluates every centroid with the same distance and tie rules.</w:t>
      </w:r>
    </w:p>
    <w:p>
      <w:r>
        <w:t>For PLS-LDA, class labels are encoded compactly and the centered X'Y cross-product is formed from class sums on the GPU, avoiding a dense n-by-K one-hot response. Float32 SIMPLS uses reusable thread-local device workspaces that grow to the required capacity. Separate CUDA kernels compute latent projections, class sums, covariance terms, and LDA scores, while fold caches retain train/validation layouts and reusable Gram information.</w:t>
      </w:r>
    </w:p>
    <w:p>
      <w:r>
        <w:t>The CUDA backend reduces allocation and transfer costs but the present release does not claim that the complete M-run ensemble is permanently device resident. Independent runs are scheduled without changing their seeds or proposal trajectories, and small control decisions remain host orchestrated. Fully batched resident M execution is therefore treated as future engineering work, not as evidence used in the current speedup claims.</w:t>
      </w:r>
    </w:p>
    <w:p>
      <w:pPr>
        <w:pStyle w:val="Heading2"/>
      </w:pPr>
      <w:r>
        <w:t>Apple Metal backend</w:t>
      </w:r>
    </w:p>
    <w:p>
      <w:r>
        <w:t>The Apple backend is implemented in Objective-C++ on Metal rather than emulating CUDA. A persistent Metal state owns the device, command queue, and compute pipelines. Native kernels implement exact KNN, projected IVF-Flat search, Lloyd k-means assignment and centroid updates, and the buffer operations needed by KODAMA initialization and graph construction.</w:t>
      </w:r>
    </w:p>
    <w:p>
      <w:r>
        <w:t>The Metal PLS-LDA path uses float32 class-label cross-products and the same SIMPLS component limit as CPU and CUDA. Metal Performance Shaders execute the dominant Xw and X't matrix products through MPSMatrixMultiplication. The comparatively small response-space power iterations and SIMPLS deflation updates remain host operations. This division is stated explicitly because a native Metal backend does not imply that every scalar operation is a GPU kernel.</w:t>
      </w:r>
    </w:p>
    <w:p>
      <w:r>
        <w:t>Metal is a first-class backend contract: it has named KNNCV, PLSLDACV, CoreKNN, CorePLSLDA, and KODAMAMatrix entry points, reports Metal in result metadata, and is covered by dedicated parity tests. Unsupported Metal operations fail explicitly instead of being relabeled CPU execution. This makes Apple GPU results auditable in the same manner as CUDA results.</w:t>
      </w:r>
    </w:p>
    <w:p>
      <w:pPr>
        <w:pStyle w:val="Heading2"/>
      </w:pPr>
      <w:r>
        <w:t>Shared accelerator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Invariant</w:t>
            </w:r>
          </w:p>
        </w:tc>
        <w:tc>
          <w:tcPr>
            <w:tcW w:type="dxa" w:w="3744"/>
            <w:vAlign w:val="center"/>
            <w:tcMar>
              <w:top w:w="80" w:type="dxa"/>
              <w:bottom w:w="80" w:type="dxa"/>
              <w:start w:w="120" w:type="dxa"/>
              <w:end w:w="120" w:type="dxa"/>
            </w:tcMar>
            <w:shd w:fill="E8EEF5"/>
          </w:tcPr>
          <w:p>
            <w:pPr>
              <w:spacing w:after="40" w:line="264" w:lineRule="auto"/>
            </w:pPr>
            <w:r>
              <w:rPr>
                <w:rFonts w:ascii="Calibri" w:hAnsi="Calibri"/>
                <w:b/>
                <w:sz w:val="15"/>
              </w:rPr>
              <w:t>CUDA realization</w:t>
            </w:r>
          </w:p>
        </w:tc>
        <w:tc>
          <w:tcPr>
            <w:tcW w:type="dxa" w:w="3744"/>
            <w:vAlign w:val="center"/>
            <w:tcMar>
              <w:top w:w="80" w:type="dxa"/>
              <w:bottom w:w="80" w:type="dxa"/>
              <w:start w:w="120" w:type="dxa"/>
              <w:end w:w="120" w:type="dxa"/>
            </w:tcMar>
            <w:shd w:fill="E8EEF5"/>
          </w:tcPr>
          <w:p>
            <w:pPr>
              <w:spacing w:after="40" w:line="264" w:lineRule="auto"/>
            </w:pPr>
            <w:r>
              <w:rPr>
                <w:rFonts w:ascii="Calibri" w:hAnsi="Calibri"/>
                <w:b/>
                <w:sz w:val="15"/>
              </w:rPr>
              <w:t>Metal realization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Internal precision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Contiguous float32 host/device matrices and reusable CUDA buffers.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Float32 shared MTLBuffers and MPSMatrix objects.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GPU k-means and returned search metadata.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native Metal k-means.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GPU label cross-products, SIMPLS workspace, projection, class summaries, and LDA scoring.</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Label-aware cross-product with MPS-accelerated X projections and shared SIMPLS/LDA semantics.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evolution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Failure semantics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CUDA entry points throw; no CPU fallback is labeled CUDA.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Metal entry points throw; no CPU fallback is labeled Metal.</w:t>
            </w:r>
          </w:p>
        </w:tc>
      </w:tr>
    </w:tbl>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7"/>
              </w:rPr>
              <w:t>Purpose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Cross-validation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KNNCV, PLSLDACV</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Fold assignment, prediction, fold accuracies, confusion matrices, timing, memory, and backend metadata.</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Core optimization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CoreKNN, CorePLSLDA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Independent label-evolution runs that maximize KNN or PLS-LDA cross-validated accuracy.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KODAMA matrix</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 / KODAMAMatrix</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Landmark selection, splitting, M runs, optimized label vectors, KODAMA dissimilarity, and graph output.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Graph-input KODAMA</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KODAMA.matrix.graph / KODAMAMatrixFromGraph</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Principal components</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PCA / KODAMA.pca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Float32 randomized PCA scores, loadings, singular values, explained variance, preprocessing vectors, backend identity, and runtime on CPU, CUDA, or Metal.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Visualization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KODAMA.visualization</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Current fastEmbedR UMAP and openTSNE ports from standard or KODAMA-corrected neighbor graphs; direct float32 CSR construction and binary/fuzzy UMAP graph modes are explicit.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 and clustering</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makeSNNGraph equivalent and random-walk clustering</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CPU, CUDA, or Metal neighbor-graph construction followed by an explicit CPU random-walk clustering kernel.</w:t>
            </w:r>
          </w:p>
        </w:tc>
      </w:tr>
    </w:tbl>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Implementation implication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runs</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M independent runs, each with Tcycle proposal cycles plus one initial CV pass.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Embarrassingly parallel over M; each cycle performs exactly one CV evaluation.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Graph-input KNN removes the search/build term and reuses supplied indices and distances.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Tcycle folds C_PLS(n_train, p, h)) for h requested components, plus latent-space LDA scoring.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Float32 label-aware SIMPLS and fold buffers reduce constants but do not change the repeated-CV structure.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E) agreement counting for E retained graph edges, followed by row-wise neighbor sorting.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Sparse by default; dense n by n dissimilarities are avoided for scalability.</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Visualization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Runs on the base or KODAMA-corrected sparse graph using UMAP/openTSNE helpers.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spacing w:after="40" w:line="264" w:lineRule="auto"/>
            </w:pPr>
            <w:r>
              <w:rPr>
                <w:rFonts w:ascii="Calibri" w:hAnsi="Calibri"/>
                <w:b/>
                <w:sz w:val="14"/>
              </w:rPr>
              <w:t>Interpretation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KNN graph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Uses supplied neighbor indices/distances directly in CoreKNNGraph and KODAMAMatrixFromGraph.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Accepted as the graph-input path because it preserves the KNN voting mathematics and removes repeated search work.</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 input with X</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Equivalent classifier path to data-input PLS-LDA; graph handling is an input-format extension.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graph-only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X is unavailable, the graph is transformed into self-tuning normalized Laplacian features before CorePLSLDA.</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Exposed as an optional fallback, not as evidence that graph-only PLS-LDA matches data-input PLS-LDA in all datasets.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Validation boundary</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The manuscript does not use graph-only PLS-LDA results to support data-input KODAMA performance claims.</w:t>
            </w:r>
          </w:p>
        </w:tc>
      </w:tr>
    </w:tbl>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held-out label predictability remains the central signal and the output roles can be mapped, while exact trajectories need not match because the current standard adds grouped adaptive proposals, transition-driven coarsening, and a disclosed degeneracy guard. Float32 storage, package-owned CPU/CUDA/Metal search, accelerator kernels, and wrapper-independent graph objects are additional implementation changes.</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spacing w:after="40" w:line="264" w:lineRule="auto"/>
            </w:pPr>
            <w:r>
              <w:rPr>
                <w:rFonts w:ascii="Calibri" w:hAnsi="Calibri"/>
                <w:b/>
                <w:sz w:val="17"/>
              </w:rPr>
              <w:t>kodama-cpp</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Objective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KODAMA maximizes cross-validated accuracy of an evolving label vector.</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Held-out label predictability remains the classifier signal and raw accuracy is reported; the standard search ranks proposals with a disclosed label-only degeneracy guard.</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Search dynamics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historical core evolves labels through its published stochastic accuracy-maximization procedure.</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Grouped adaptive moves and transition-driven coarsening are explicit search extensions; they use CV predictions but never reference labels.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Independent runs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R documentation reports M iterative processes and Tcycle optimization cycles.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KODAMAMatrixOptions exposes runs and cycles; runs remain independent across CPU, CUDA, and Metal backends.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Sample selection</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documented FUN_SAM default selects 75% of samples per iterative process.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Landmark and splitting controls preserve the same sampling role while exposing it in typed options.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Classifiers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documents KNN and PLS-DA classifiers.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KODAMA optimizer exposes KNN and SIMPLS + PLS-LDA; component count is explicit.</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Output contract</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interface returns dissimilarity, accuracy, proximity, label vectors, scores, entropy, and landmarks.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 result returns optimized labels, accuracies, graphs, timings, memory, and backend metadata for wrappers.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Architecture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is built around R workflows and R dependencies.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core is R/Python independent, CMake-installable, and accelerated where available.</w:t>
            </w:r>
          </w:p>
        </w:tc>
      </w:tr>
    </w:tbl>
    <w:p>
      <w:pPr>
        <w:pStyle w:val="Heading2"/>
      </w:pPr>
      <w:r>
        <w:t>Implementation novelty relative to the R package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6"/>
              </w:rPr>
              <w:t>Innovation</w:t>
            </w:r>
          </w:p>
        </w:tc>
        <w:tc>
          <w:tcPr>
            <w:tcW w:type="dxa" w:w="6912"/>
            <w:vAlign w:val="center"/>
            <w:tcMar>
              <w:top w:w="80" w:type="dxa"/>
              <w:bottom w:w="80" w:type="dxa"/>
              <w:start w:w="120" w:type="dxa"/>
              <w:end w:w="120" w:type="dxa"/>
            </w:tcMar>
            <w:shd w:fill="E8EEF5"/>
          </w:tcPr>
          <w:p>
            <w:pPr>
              <w:spacing w:after="40" w:line="264" w:lineRule="auto"/>
            </w:pPr>
            <w:r>
              <w:rPr>
                <w:rFonts w:ascii="Calibri" w:hAnsi="Calibri"/>
                <w:b/>
                <w:sz w:val="16"/>
              </w:rPr>
              <w:t>What changes in kodama-cpp</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State ownership</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Moves folds, labels, classifier workspaces, and graph outputs from repeated R-level calls into reusable C++ objects.</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Backend-native classifiers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KNN and PLS-LDA mathematically shared but implements their dominant operations separately for CPU, CUDA, and Metal.</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Float32 execution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Uses float32 analysis matrices and accelerator workspaces end to end while accepting wrapper-provided double inputs at the boundary.</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Label-aware SIMPLS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Computes PLS-LDA response cross-products from compact labels instead of dense one-hot matrices and evaluates the requested feasible component count.</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Accelerated search</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Provides package-owned CPU HNSW, CUDA exact/recall-tuned IVF-Flat search, and Metal exact/recall-tuned IVF-Flat search.</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Reproducible heterogeneity</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M runs independent and reports actual backend and search metadata so acceleration can be tested without altering the objective.</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Search evolution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Makes grouped adaptive proposals, transition-driven class moves, and the label-only degeneracy guard explicit and separately reports their raw CV accuracy and acceptance score.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5"/>
              </w:rPr>
              <w:t>Role of KODAMA</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Semi-supervised graph learning</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Label propagation and local-global consistency start from observed labels and smooth them on a graph.</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starts from synthetic or supplied candidate labels and optimizes their cross-validated predictability.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Pseudo-labeling and weak supervision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Pseudo-labeling and data programming create imperfect labels to train predictive models.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treats the label vector as the object being discovered; the classifier is the measuring instrument.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Cluster stability and prediction strength</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Stability methods evaluate whether clusters survive perturbation or prediction on held-out samples.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turns held-out predictability into an optimization objective, then reports external diagnostics separately.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Manifold visualization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UMAP and t-SNE optimize low-dimensional layouts from neighbor or affinity structures.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supplies a corrected graph to the same visualization step; it does not replace those embedding objectives.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Open-source ML software</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JMLR software papers emphasize clear APIs, reproducibility, tests, licensing, and benchmark transparency.</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Held-out CV accuracy is the internal classifier signal, while the current standard ranks proposals with the disclosed label-only acceptance score. Neither quantity is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 Toolkit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6"/>
              </w:rPr>
              <w:t>Value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2026-07-18 UTC for release-candidate CUDA visualization validation; M/Tcycle validation dated 2026-07-16 UTC; earlier broad kernel snapshot dated 2026-07-06 UTC</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GPU</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NVIDIA GeForce RTX 5060 Ti, 16 GB device memory, driver 595.71.05</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Build validation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Fresh CUDA 13.2 build succeeded; CTest passed 4/4 configured tests in 1.91 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Runtime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CUDA Toolkit only for native search/PLS paths; no FAISS, cuVS, RAFT, RMM, or Armadillo link</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Data format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RData lists exported to contiguous float32 row-major matrices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CPU setting</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Single-thread CPU kernels unless otherwise stated</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CV kernels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KNNCV and PLSLDACV measured independently from the full matrix pipeline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Core optimizer</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Three seeds per dataset for CoreKNN and CorePLSLDA medians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Reported metrics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Wall time, peak memory where available, CV accuracy, ARI, and active class count</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Classes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COIL20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1,440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16,384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FashionMNIST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FlowRepository</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5,220,347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13</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Macosko2015_retina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44,808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873</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375</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TabulaMuris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70,118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256</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1,000,021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imagenet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1,281,167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1,024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mass41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965,282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17</w:t>
            </w:r>
          </w:p>
        </w:tc>
      </w:tr>
    </w:tbl>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spacing w:after="40" w:line="264" w:lineRule="auto"/>
            </w:pPr>
            <w:r>
              <w:rPr>
                <w:rFonts w:ascii="Calibri" w:hAnsi="Calibri"/>
                <w:b/>
                <w:sz w:val="15"/>
              </w:rPr>
              <w:t>Evidence reported or controlled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Circularity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CV accuracy is the internal objective, not an external truth score.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Report ARI, silhouette, local purity, active classes, and standard embedding baselines after optimization.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Overclaiming</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Present kodama-cpp as a KODAMA implementation and acceleration library, not a new universal learning paradigm.</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State methodological continuity with the 2014 and 2017 KODAMA publications and limit novelty claims to architecture and numerics.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Parameter dependence</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M, Tcycle, landmarks, splitting, KNN k, graph k, and PLS components can affect results.</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Use predefined sensitivity experiments and report parameter settings in every benchmark table and plot.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Visualization bias</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A visually appealing layout is not itself evidence of label quality.</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Run classic UMAP/openTSNE and KODAMA-corrected UMAP/openTSNE with the same implementation and record compactness metrics.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Runtime attribution</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End-to-end speedups can hide which kernel produced the benefit.</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Separate CV kernels, core optimizer, KODAMA.matrix, graph construction, and visualization timings.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Reproducibility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Wrapper behavior must match the standalone 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5"/>
              </w:rPr>
              <w:t>Question answered</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evolution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Raw-accuracy proposals versus the standard grouped/guarded search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the current search extension from backend acceleration and from the unchanged CV classifiers.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Classifier</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KNN versus PLS-LDA</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Tests whether local-neighbor and latent-linear predictability give complementary label vectors.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Standard graph versus KODAMA-corrected graph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Isolates whether the optimized label ensemble improves downstream UMAP/openTSNE structure.</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depth</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Tcycle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additional proposal cycles improve CV accuracy or reduce fragmentation.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Ensemble size</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M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more independent runs stabilize the final graph and best-run diagnostics.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Landmark and splitting controls</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Predeclared values, not per-dataset visual tuning</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Checks sensitivity of the initial label space and directly optimized sample subset.</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Backend</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Single-core CPU, 4-core MultiCPU, CUDA, and Apple Metal where available</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mathematical equivalence from scheduling and hardware acceleration.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Wrapper parity</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C++ core, R wrapper, Python wrapper</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CUDA and OpenMP disabled. The CPU build therefore measures the package-owned HNSW and float32 SIMPLS/LDA implementations, while the Metal build links only Apple system frameworks. Exact CPU/Metal equality of the reported classification metrics is the primary acceptance criterion; timings are secondary evidence.</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spacing w:after="40" w:line="264" w:lineRule="auto"/>
            </w:pPr>
            <w:r>
              <w:rPr>
                <w:rFonts w:ascii="Calibri" w:hAnsi="Calibri"/>
                <w:b/>
                <w:sz w:val="13"/>
              </w:rPr>
              <w:t>Quality CPU / Metal</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KNNCV</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11.145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0.026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425x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0.827033 / 0.827033</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PLSLDACV, 50 components</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3.395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1.054</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3.2x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0.991982 / 0.991982</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KNN,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21.709</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0.171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0.978626; ARI 0.093922; 15 classes</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PLS-LDA,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178.403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78.746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0.983206; ARI 0.835153; 32 classes</w:t>
            </w:r>
          </w:p>
        </w:tc>
      </w:tr>
    </w:tbl>
    <w:p>
      <w:pPr>
        <w:pStyle w:val="Heading2"/>
      </w:pPr>
      <w:r>
        <w:t>CUDA workstation validation</w:t>
      </w:r>
    </w:p>
    <w:p>
      <w:r>
        <w:t>The benchmark run used copied float32 RData datasets spanning n = 873 to 5,220,347 samples and p = 11 to 16,384 variables. The CUDA machine first rebuilt the release candidate with CUDA 13.2 and reran CTest; all four configured tests passed. The broad kernel and core tables retain the earlier release-validation snapshot for continuity, whereas the native-CUDA table reports the dependency-distilled search implementation introduced afterward.</w:t>
      </w:r>
    </w:p>
    <w:p>
      <w:r>
        <w:t>The current package-owned CUDA IVF-Flat path was checked on MNIST70k and MetRef with five-fold cosine KNNCV and k = 10. On MNIST70k it produced accuracy 0.973857 in 4.233 s with nlist = 237 and maximum nprobe = 32, compared with 0.973029 in 4.753 s for the recorded former FAISS/cuVS row. On MetRef it produced 0.816724 in 0.195 s, compared with 0.814433 in 0.297 s. These are implementation spot checks rather than repeated-run performance estimates.</w:t>
      </w:r>
    </w:p>
    <w:p>
      <w:r>
        <w:t>The M = 100, Tcycle = 100 MetRef validation shows why cross-validated accuracy is reported together with label-quality diagnostics. Both optimizers reached best CV accuracy 1.000, but KNN selected only three classes and had ARI 0.052. PLS-LDA selected 21 classes against 22 reference classes, attained ARI 0.770, and increased truth-label UMAP silhouette from 0.129 for the classic graph to 0.783 for the KODAMA graph. These reference labels were never supplied to optimization. We therefore report CV accuracy, active classes, external-label agreement when available, and downstream compactness as complementary rather than interchangeable diagnostics.</w:t>
      </w:r>
    </w:p>
    <w:p>
      <w:r>
        <w:t>The dependency-distilled CUDA build links CUDA Toolkit libraries but no FAISS, cuVS, RAFT, or RMM soname. Binary wrappers therefore need to locate the CUDA runtime selected at build time, but do not need to provision the removed search libraries.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Accuracy</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4"/>
              </w:rPr>
              <w:t>nlist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4"/>
              </w:rPr>
              <w:t>max nprobe</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4"/>
              </w:rPr>
              <w:t>pilot recall</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MNIST70k</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0.973857</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4.233</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237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32</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0.994531</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0.816724</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0.195</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20</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0.991406</w:t>
            </w:r>
          </w:p>
        </w:tc>
      </w:tr>
    </w:tbl>
    <w:p>
      <w:pPr>
        <w:pStyle w:val="Heading3"/>
      </w:pPr>
      <w:r>
        <w:t>Earlier accelerator validation snapshot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spacing w:after="40" w:line="264" w:lineRule="auto"/>
            </w:pPr>
            <w:r>
              <w:rPr>
                <w:rFonts w:ascii="Calibri" w:hAnsi="Calibri"/>
                <w:b/>
                <w:sz w:val="12"/>
              </w:rPr>
              <w:t>Comp.</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COIL20</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5.455</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1.435</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0.917/0.916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-0.000695</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MNIST</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76.769</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4.753</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16.2x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0.974/0.973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-0.000928</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0.163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0.297</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0.6x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0.821/0.814</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-0.006873</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3.196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0.118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27.2x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0.992/0.992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0.000000</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2.273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0.429</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5.3x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0.688/0.688</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-0.000819</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3.760</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0.158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0.684/0.687</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+0.002727</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mass41</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366.883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3.692</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99.4x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0.912/0.912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-0.000066</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23"/>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0.963/0.947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0.271/0.313</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16/16</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26.5x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0.885/0.838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0.357/0.366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53/48</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9.4x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0.969/0.968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0.216/0.240</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59/53</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10.4x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0.938/0.910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0.140/0.146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Scope</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0.271</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0.947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0.313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0.885</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0.357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0.366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0.969</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0.216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59</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80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0.910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77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bl>
    <w:p>
      <w:pPr>
        <w:pStyle w:val="Heading3"/>
      </w:pPr>
      <w:r>
        <w:t>Legacy KNN-compatible predecessor comparison</w:t>
      </w:r>
    </w:p>
    <w:p>
      <w:r>
        <w:t>A legacy KNN-compatible predecessor experiment used MetRef, KNN, M = 100, Tcycle = 100, 655 effective landmarks under the historical 75% rule, splitting = 50, k = 30, graph k = 100, and seed 1234. Splitting = 50 matches the internal k-means initialization in KODAMA R 2.4.1. This legacy release is used because it exposes the selectable KNN path needed for a KNN-to-KNN comparison; it is not presented as the current CRAN release. PLS is excluded because the historical PLS-DA decoder and current SIMPLS plus latent-space LDA are different classifiers.</w:t>
      </w:r>
    </w:p>
    <w:p>
      <w:r>
        <w:t>The current grouped and guarded proposals extend the historical stochastic search, so this is a matched-settings predecessor and systems comparison rather than label-trajectory parity. Current single-core execution was 1.58 times slower than KODAMA R 2.4.1 on this small case, whereas four-core execution was 2.59 times faster and CUDA was 258.6 times faster. Every row reached best raw CV accuracy 1.000; the different median scores and label diagnostics are reported rather than interpreted as backend equivalence.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3"/>
              </w:rPr>
              <w:t>Implementation</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Speedup vs legacy R</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Best/median CV</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classes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 R 2.4.1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610.543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1.00x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0.000/0.054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2/6</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965.348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0.63x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235.547</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2.59x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2.361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258.6x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1.000/0.882</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0.052/0.069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3/8.5</w:t>
            </w:r>
          </w:p>
        </w:tc>
      </w:tr>
    </w:tbl>
    <w:p>
      <w:pPr>
        <w:pStyle w:val="Heading3"/>
      </w:pPr>
      <w:r>
        <w:t>KODAMA.matrix MetRef validation benchmark</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Elapsed s</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Runtime 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Best/median CV acc</w:t>
            </w:r>
          </w:p>
        </w:tc>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4"/>
              </w:rPr>
              <w:t>Best/median ARI</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Med. classes</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 range</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3.115</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2.646</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1.0000/0.8809</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0.0517/0.0613</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9</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2-52</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584.089</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584.074</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0.7700/0.7048</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24</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15-34</w:t>
            </w:r>
          </w:p>
        </w:tc>
      </w:tr>
    </w:tbl>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release-validation panel used CUDA with M = 100, Tcycle = 100, landmarks = 100000 subject to the historical 75% rule, KNN predictor k = 30, graph k = 100, embedding k = 30, openTSNE perplexity = 30, and seed 1234. It evaluated MetRef, PBMC3K PCA50, OptDigits, USPS, and Macosko2015 retina with both KNN and PLS-LDA. Reference labels were withheld from optimization and used only for the reported ARI, silhouette, purity, and compactness diagnostics.</w:t>
      </w:r>
    </w:p>
    <w:p>
      <w:r>
        <w:t>The result is deliberately mixed. PLS-LDA increased truth-label silhouette on both embeddings for MetRef (UMAP 0.105 to 0.815; openTSNE 0.067 to 0.530) and PBMC3K PCA50 (0.410 to 0.484; 0.349 to 0.402), but reduced it on OptDigits, USPS, and Macosko2015 retina. KNN reduced silhouette on all five datasets despite best CV accuracy between 0.9927 and 1.0000. Thus a highly predictable optimized label vector is not sufficient evidence of improved external-label recovery or visualization, and no universal visualization-improvement claim is made.</w:t>
      </w:r>
    </w:p>
    <w:p>
      <w:r>
        <w:t>Complete KODAMA.matrix wall time ranged from 2.967 to 97.295 seconds for KNN and from 486.707 to 708.579 seconds for PLS-LDA. The paired embeddings themselves required less than 0.88 seconds each in this panel, so the reported timing distinction correctly attributes the dominant cost to label optimization rather than to UMAP or openTSNE.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81"/>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Embedding</w:t>
            </w:r>
          </w:p>
        </w:tc>
        <w:tc>
          <w:tcPr>
            <w:tcW w:type="dxa" w:w="1757"/>
            <w:vAlign w:val="center"/>
            <w:tcMar>
              <w:top w:w="80" w:type="dxa"/>
              <w:bottom w:w="80" w:type="dxa"/>
              <w:start w:w="120" w:type="dxa"/>
              <w:end w:w="120" w:type="dxa"/>
            </w:tcMar>
            <w:shd w:fill="E8EEF5"/>
          </w:tcPr>
          <w:p>
            <w:pPr>
              <w:spacing w:after="40" w:line="264" w:lineRule="auto"/>
            </w:pPr>
            <w:r>
              <w:rPr>
                <w:rFonts w:ascii="Calibri" w:hAnsi="Calibri"/>
                <w:b/>
                <w:sz w:val="13"/>
              </w:rPr>
              <w:t>Sil. classic -&gt; KODAMA</w:t>
            </w:r>
          </w:p>
        </w:tc>
        <w:tc>
          <w:tcPr>
            <w:tcW w:type="dxa" w:w="893"/>
            <w:vAlign w:val="center"/>
            <w:tcMar>
              <w:top w:w="80" w:type="dxa"/>
              <w:bottom w:w="80" w:type="dxa"/>
              <w:start w:w="120" w:type="dxa"/>
              <w:end w:w="120" w:type="dxa"/>
            </w:tcMar>
            <w:shd w:fill="E8EEF5"/>
          </w:tcPr>
          <w:p>
            <w:pPr>
              <w:spacing w:after="40" w:line="264" w:lineRule="auto"/>
            </w:pPr>
            <w:r>
              <w:rPr>
                <w:rFonts w:ascii="Calibri" w:hAnsi="Calibri"/>
                <w:b/>
                <w:sz w:val="13"/>
              </w:rPr>
              <w:t>Delta sil.</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3"/>
              </w:rPr>
              <w:t>Purity classic -&gt; KODAMA</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ARI / classes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KODAMA s</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0.016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0.575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0.018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-0.049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0.608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0.815</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+0.709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0.966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0.530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+0.463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0.904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0.387</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-0.023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0.796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0.336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-0.013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0.805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0.484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0.820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0.402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0.825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0.600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-0.100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0.446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-0.117</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0.548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0.470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-0.094</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0.960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0.071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-0.081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0.651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0.090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-0.121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0.672</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0.082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0.598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0.081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-0.131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0.183</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-0.286</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-0.022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0.176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0.060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bl>
    <w:p>
      <w:pPr>
        <w:spacing w:before="120" w:after="80"/>
        <w:jc w:val="center"/>
      </w:pPr>
      <w:r>
        <w:drawing>
          <wp:inline xmlns:a="http://schemas.openxmlformats.org/drawingml/2006/main" xmlns:pic="http://schemas.openxmlformats.org/drawingml/2006/picture">
            <wp:extent cx="5897880" cy="3563303"/>
            <wp:docPr id="2" name="Picture 2"/>
            <wp:cNvGraphicFramePr>
              <a:graphicFrameLocks noChangeAspect="1"/>
            </wp:cNvGraphicFramePr>
            <a:graphic>
              <a:graphicData uri="http://schemas.openxmlformats.org/drawingml/2006/picture">
                <pic:pic>
                  <pic:nvPicPr>
                    <pic:cNvPr id="0" name="nonspatial_visualization_validation.png"/>
                    <pic:cNvPicPr/>
                  </pic:nvPicPr>
                  <pic:blipFill>
                    <a:blip r:embed="rId10"/>
                    <a:stretch>
                      <a:fillRect/>
                    </a:stretch>
                  </pic:blipFill>
                  <pic:spPr>
                    <a:xfrm>
                      <a:off x="0" y="0"/>
                      <a:ext cx="5897880" cy="3563303"/>
                    </a:xfrm>
                    <a:prstGeom prst="rect"/>
                  </pic:spPr>
                </pic:pic>
              </a:graphicData>
            </a:graphic>
          </wp:inline>
        </w:drawing>
      </w:r>
    </w:p>
    <w:p>
      <w:pPr>
        <w:spacing w:after="160"/>
        <w:jc w:val="center"/>
      </w:pPr>
      <w:r>
        <w:rPr>
          <w:rFonts w:ascii="Calibri" w:hAnsi="Calibri"/>
          <w:b w:val="0"/>
          <w:color w:val="555555"/>
          <w:sz w:val="18"/>
        </w:rPr>
        <w:t>Figure 2. Fixed M = 100 and Tcycle = 100 nonspatial visualization validation. Panels A and B compare truth-label silhouette; panel C reports complete KODAMA.matrix wall time on a logarithmic scale; panel D reports selected-run ARI. Reference labels were used only after optimization.</w:t>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named release-validation experiment uses MetRef and USPS with both KODAMA classifiers: fixing M = 100 while varying Tcycle in {20, 50, 100}, and fixing Tcycle = 100 while varying M in {20, 50, 100}. It uses landmarks = 100000 subject to the historical 75% rule when n is no larger than landmarks, the default splitting rule, ncomp = 50, knn.k = 30, and a recorded seed.</w:t>
      </w:r>
    </w:p>
    <w:p>
      <w:r>
        <w:t>The Tcycle sweep reports best and median cross-validated accuracy, adjusted Rand index against reference labels used only after optimization, active-class count, and runtime. On USPS, increasing Tcycle from 20 to 100 raised best/median CV accuracy from 0.9662/0.9414 to 0.9997/0.9925 for KNN and from 0.9383/0.9220 to 0.9612/0.9520 for PLS-LDA; median class counts fell from 61 to 32 and from 88.5 to 71. On MetRef, PLS-LDA likewise improved its median CV accuracy from 0.9504 to 0.9924 and reduced median classes from 34 to 24, whereas KNN changed little and remained over-coarsened. Tcycle = 100 is therefore retained as a conservative search-depth setting, not as a claim of universal optimality; the MetRef PLS-LDA selected-run ARI was highest at Tcycle = 50.</w:t>
      </w:r>
    </w:p>
    <w:p>
      <w:r>
        <w:t>The M sweep has a different interpretation. Increasing M raises the number of independent solutions entering the final agreement graph; it is not a search-depth parameter and is not expected to improve the externally scored best run monotonically. Each edge weight is the fraction of runs assigning its two samples to the same label. Its Bernoulli worst-case Monte Carlo standard error is 1/(2 sqrt(M)): 0.1118 at M = 20, 0.0707 at M = 50, and 0.0500 at M = 100. Empirically, the graph-weight RMSE relative to the M = 100 ensemble fell between M = 20 and M = 50 for every dataset/classifier pair, reaching 0.0180-0.0407 at M = 50 with correlations of 0.9888-0.9988. M = 100 is retained to bound ensemble uncertainty, while the nonmonotone selected-run ARI is reported rather than used to tune M.</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5"/>
              </w:rPr>
              <w:t>Median classes T20 -&gt; T100</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0.9924 -&gt;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0.8847 -&gt; 0.8809</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7 -&gt; 9</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3.116 -&gt;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0.9786 -&gt;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0.9504 -&gt; 0.9924</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34 -&gt; 24</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119.790 -&gt;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0.9662 -&gt; 0.9997</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0.9414 -&gt; 0.9925</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61 -&gt; 32</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15.336 -&gt;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0.9383 -&gt; 0.9612</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0.9220 -&gt; 0.9520</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88.5 -&gt; 71</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139.135 -&gt; 636.650</w:t>
            </w:r>
          </w:p>
        </w:tc>
      </w:tr>
    </w:tbl>
    <w:p>
      <w:pPr>
        <w:spacing w:after="60"/>
      </w:pP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Selected ARI</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1.0000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0.9229 / 0.8931 / 0.8809</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0.0517 / 0.0517 / 0.0517</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0.464 / 1.235 /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0.9985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0.9901 / 0.9939 / 0.9924</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0.8257 / 0.8439 / 0.7700</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113.381 / 277.456 /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0.9976 / 0.9976 / 0.9997</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0.9947 / 0.9925 / 0.9925</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0.3370 / 0.3370 / 0.3139</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3.431 / 8.227 /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0.9639 / 0.9602 / 0.9612</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0.9534 / 0.9503 / 0.9520</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0.1098 / 0.1080 / 0.1156</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123.851 / 319.838 / 636.650</w:t>
            </w:r>
          </w:p>
        </w:tc>
      </w:tr>
    </w:tbl>
    <w:p>
      <w:pPr>
        <w:spacing w:before="120" w:after="80"/>
        <w:jc w:val="center"/>
      </w:pPr>
      <w:r>
        <w:drawing>
          <wp:inline xmlns:a="http://schemas.openxmlformats.org/drawingml/2006/main" xmlns:pic="http://schemas.openxmlformats.org/drawingml/2006/picture">
            <wp:extent cx="5897880" cy="3753196"/>
            <wp:docPr id="3" name="Picture 3"/>
            <wp:cNvGraphicFramePr>
              <a:graphicFrameLocks noChangeAspect="1"/>
            </wp:cNvGraphicFramePr>
            <a:graphic>
              <a:graphicData uri="http://schemas.openxmlformats.org/drawingml/2006/picture">
                <pic:pic>
                  <pic:nvPicPr>
                    <pic:cNvPr id="0" name="kodama_m_tcycle_sensitivity.png"/>
                    <pic:cNvPicPr/>
                  </pic:nvPicPr>
                  <pic:blipFill>
                    <a:blip r:embed="rId11"/>
                    <a:stretch>
                      <a:fillRect/>
                    </a:stretch>
                  </pic:blipFill>
                  <pic:spPr>
                    <a:xfrm>
                      <a:off x="0" y="0"/>
                      <a:ext cx="5897880" cy="3753196"/>
                    </a:xfrm>
                    <a:prstGeom prst="rect"/>
                  </pic:spPr>
                </pic:pic>
              </a:graphicData>
            </a:graphic>
          </wp:inline>
        </w:drawing>
      </w:r>
    </w:p>
    <w:p>
      <w:pPr>
        <w:spacing w:after="160"/>
        <w:jc w:val="center"/>
      </w:pPr>
      <w:r>
        <w:rPr>
          <w:rFonts w:ascii="Calibri" w:hAnsi="Calibri"/>
          <w:b w:val="0"/>
          <w:color w:val="555555"/>
          <w:sz w:val="18"/>
        </w:rPr>
        <w:t>Figure 3. Sensitivity of KODAMA quality and runtime to Tcycle and M on named nonspatial datasets.</w:t>
      </w:r>
    </w:p>
    <w:p>
      <w:pPr>
        <w:pStyle w:val="Heading3"/>
      </w:pPr>
      <w:r>
        <w:t>Agreement-graph convergence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RMSE to M100 at M10/M20/M50</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Correlation at M50</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0.1377 / 0.0783 / 0.0407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0.9888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0.0588 / 0.0453 / 0.0180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0.1011 / 0.0617 / 0.0319</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0.9955</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0.1191 / 0.0803 / 0.0380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0.9926</w:t>
            </w:r>
          </w:p>
        </w:tc>
      </w:tr>
    </w:tbl>
    <w:p>
      <w:pPr>
        <w:spacing w:before="120" w:after="80"/>
        <w:jc w:val="center"/>
      </w:pPr>
      <w:r>
        <w:drawing>
          <wp:inline xmlns:a="http://schemas.openxmlformats.org/drawingml/2006/main" xmlns:pic="http://schemas.openxmlformats.org/drawingml/2006/picture">
            <wp:extent cx="5897880" cy="2621280"/>
            <wp:docPr id="4" name="Picture 4"/>
            <wp:cNvGraphicFramePr>
              <a:graphicFrameLocks noChangeAspect="1"/>
            </wp:cNvGraphicFramePr>
            <a:graphic>
              <a:graphicData uri="http://schemas.openxmlformats.org/drawingml/2006/picture">
                <pic:pic>
                  <pic:nvPicPr>
                    <pic:cNvPr id="0" name="ensemble_convergence.png"/>
                    <pic:cNvPicPr/>
                  </pic:nvPicPr>
                  <pic:blipFill>
                    <a:blip r:embed="rId12"/>
                    <a:stretch>
                      <a:fillRect/>
                    </a:stretch>
                  </pic:blipFill>
                  <pic:spPr>
                    <a:xfrm>
                      <a:off x="0" y="0"/>
                      <a:ext cx="5897880" cy="2621280"/>
                    </a:xfrm>
                    <a:prstGeom prst="rect"/>
                  </pic:spPr>
                </pic:pic>
              </a:graphicData>
            </a:graphic>
          </wp:inline>
        </w:drawing>
      </w:r>
    </w:p>
    <w:p>
      <w:pPr>
        <w:spacing w:after="160"/>
        <w:jc w:val="center"/>
      </w:pPr>
      <w:r>
        <w:rPr>
          <w:rFonts w:ascii="Calibri" w:hAnsi="Calibri"/>
          <w:b w:val="0"/>
          <w:color w:val="555555"/>
          <w:sz w:val="18"/>
        </w:rPr>
        <w:t>Figure 4. Convergence of edge-agreement weights as independent KODAMA runs are added. RMSE is measured against the M = 100 ensemble; the right panel shows the Bernoulli worst-case Monte Carlo standard error.</w:t>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4"/>
              </w:rPr>
              <w:t>Benchmark proving benefit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numerical paths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The benchmark suite loads contiguous float32 matrices and records CPU, CUDA, and Metal runtime and accuracy separately.</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Package-owned CPU HNSW</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src/native_knn.cpp implements float32 HNSW search used by KNNCV, CoreKNN, graph construction, and KODAMA.matrix without linking FAISS.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Dependency-free CPU CTest covers folds, prediction accuracy, graph construction, and KODAMA optimization; no FAISS build option remains.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MetRef, native CPU KNNCV reproduced accuracy 0.827033; runtime evidence is reported independently from accelerator paths.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CUDA nearest-neighbor search</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src/native_cuda_backend.cu implements package-owned float32 exact KNN, signed-hash IVF-Flat, GPU k-means, resident inverted lists, exact-pilot recall tuning, and bounded row-batched exact k-means assignment; KNNCV_CUDA and CoreKNN call it directly.</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CUDA tests explicitly exercise exact and IVF index types, tuning metadata, constrained folds, float32 CoreKNN, and end-to-end KODAMAMatrix_CUDA initialization. A clean build and ldd audit exclude FAISS/cuVS/RAFT/RMM; the 44,808-sample release run activates the bounded assignment path across four lanes.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Native IVF spot checks produced 0.973857 in 4.233 s on MNIST70k and 0.816724 in 0.195 s on MetRef. Macosko2015 retina completed M=100/Tcycle=100 in 97.295 s for KNN and 708.579 s for PLS-LDA on a 16 GiB GPU.</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Label-aware SIMPLS PLS-LDA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CUDA PLSLDACV rows report 27.2x speedup on MetRef; Metal reproduced 50-component MetRef accuracy exactly with a 3.2x speedup over the dependency-free CPU build.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Reusable fold and data buffers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CorePLSLDA rows report 26.5x speedup on MetRef and 10.4x speedup on USPS for the CUDA core path.</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Native Apple Metal backend</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Graph-input KODAMA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randomized PCA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src/pca.cpp supplies package-owned float32 preprocessing, sketching, QR, compact eigensolve, orientation, and variance reporting; src/pca_cuda.cu and the Metal matrix-multiply adapter execute dominant products on the selected accelerator.</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dimensions, finite values, centered scores, orthonormal loadings, ordered singular values, determinism, float/double input parity, and CUDA agreement; tests/test_metal.cpp checks Metal agreement; R and Python tests exercise the public wrappers.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PCA is an auxiliary public primitive rather than part of the KODAMA objective. Performance claims will be reported separately from KODAMA.matrix timings when a matched PCA benchmark is archived.</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7"/>
              </w:rPr>
              <w:t>Current evidence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Correctness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Numerics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Performance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Kernel-level KNNCV/PLSLDACV timings are separated from core optimizer and KODAMA.matrix timings in the benchmark outputs.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Release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CMake install targets, wrapper build scripts, benchmark drivers, SPDX source headers, a pinned provenance matrix, retained third-party license texts, and a checksum-backed license audit are present. The final clean tag, commit hash, archive digest, and DOI are required by RELEASE_CHECKLIST.md and will be inserted only after they are created.</w:t>
            </w:r>
          </w:p>
        </w:tc>
      </w:tr>
    </w:tbl>
    <w:p>
      <w:pPr>
        <w:pStyle w:val="Heading1"/>
      </w:pPr>
      <w:r>
        <w:t>6. Availability and reproducibility</w:t>
      </w:r>
    </w:p>
    <w:p>
      <w:r>
        <w:t>kodama-cpp is intended for release in the public tkcaccia/kodama-cpp GitHub repository. Original project code is licensed under MIT, while identified compatible third-party portions retain their upstream terms. In particular, the Metal backend is marked MIT AND Apache-2.0 because its fastEmbedR lineage retains the Faiss-mlx fused list-scan/top-k organization under Apache-2.0. The recommended project split is a standalone C++17 core repository, an R wrapper repository, and a Python wrapper repository.</w:t>
      </w:r>
    </w:p>
    <w:p>
      <w:r>
        <w:t>Reproducibility is supported through CMake builds, CPU, CUDA, and Metal tests, wrapper validation tests, benchmark scripts, and explicit recording of backend parameters. The C++ core does not depend on R data readers; wrapper packages are responsible for translating host-language objects into contiguous matrices before calling the library.</w:t>
      </w:r>
    </w:p>
    <w:p>
      <w:r>
        <w:t>A versioned provenance audit maps every shipped source-like file to an SPDX license identifier and records pinned KODAMA, fastPLS, fastEmbedR, faissR, FAISS, Faiss-mlx, and cuVS snapshots. Stefano Cacciatore confirmed that tkcaccia is his historical Git identity and separately authorized MIT distribution of the KODAMA and fastPLS-derived portions whose copyright he owns. The audit preserves publication coauthor credit, third-party notices, and full license texts, and is enforced by a release-time source-header and retained-license checksum test.</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spacing w:after="40" w:line="264" w:lineRule="auto"/>
            </w:pPr>
            <w:r>
              <w:rPr>
                <w:rFonts w:ascii="Calibri" w:hAnsi="Calibri"/>
                <w:b/>
                <w:sz w:val="14"/>
              </w:rPr>
              <w:t>Command or check</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CPU</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Configure with CMake using KODAMA_ENABLE_CUDA=OFF and KODAMA_ENABLE_METAL=OFF; then build, test, and install the exported target.</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Metal</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On macOS, configure with KODAMA_ENABLE_METAL=ON while CUDA is off; then build and run CTest. Apple system frameworks are linked automatically.</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CUDA</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Activate an environment containing the CUDA toolkit; configure with KODAMA_ENABLE_CUDA=ON; then build and run CTest. FAISS, cuVS, RAFT, RMM, Armadillo, and external graph-clustering libraries are not required.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Set KODAMA_CPP_ROOT and KODAMA_CPP_BUILD_DIR, then run R CMD INSTALL kodama-r. The wrapper links the installed or selected core build.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Python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Pass KODAMA_CPP_ROOT and KODAMA_CPP_BUILD_DIR as CMake config settings to pip when installing kodama-python.</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Runtime check</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Run ctest for the core library; in R call KODAMA.diagnostics(); in Python import kodama and run the package validation tests.</w:t>
            </w:r>
          </w:p>
        </w:tc>
      </w:tr>
    </w:tbl>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160"/>
            <w:vAlign w:val="center"/>
            <w:tcMar>
              <w:top w:w="80" w:type="dxa"/>
              <w:bottom w:w="80" w:type="dxa"/>
              <w:start w:w="120" w:type="dxa"/>
              <w:end w:w="120" w:type="dxa"/>
            </w:tcMar>
            <w:shd w:fill="E8EEF5"/>
          </w:tcPr>
          <w:p>
            <w:pPr>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spacing w:after="40" w:line="264" w:lineRule="auto"/>
            </w:pPr>
            <w:r>
              <w:rPr>
                <w:rFonts w:ascii="Calibri" w:hAnsi="Calibri"/>
                <w:b/>
                <w:sz w:val="16"/>
              </w:rPr>
              <w:t>Validation result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Dependency-free release-candidate build passed 4/4 configured tests on macOS, including the source/license audit and frozen public-API snapshot.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Apple Metal</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Native Metal release-candidate build passed 5/5 configured tests, including the source/license audit and frozen public-API snapshot; a clean external CMake consumer linked the installed package and selected Metal.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CUDA</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A fresh CUDA 13.2 release-candidate build without FAISS, cuVS, RAFT, RMM, or Armadillo succeeded on chiamaka and CTest passed 4/4, including the source/license audit, core tests, frozen public-API test, and float32 install-consumer smoke test. The linked-soname audit found none of the removed dependencies, and the CMake cache contained no corresponding package option, target, header, or library entry; only the CUDA Toolkit environment directory retained a legacy faissgpu-cuvs label.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R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R CMD build followed by R CMD check --as-cran --no-manual passed on the source tarball in a UTF-8 locale with only the expected new-submission NOTE.</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Python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Temporary virtual-environment install against the local CPU build passed pytest: 4/4 tests.</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spacing w:after="40" w:line="264" w:lineRule="auto"/>
            </w:pPr>
            <w:r>
              <w:rPr>
                <w:rFonts w:ascii="Calibri" w:hAnsi="Calibri"/>
                <w:b/>
                <w:sz w:val="16"/>
              </w:rPr>
              <w:t>Release note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kodama-cpp project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with SPDX copyright assigned to Stefano Cacciatore; historical Git identity tkcaccia.</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 (&gt;= 2); local portions whose copyright Stefano Cacciatore owns are separately authorized under MIT. KODAMA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fastPLS-derived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GPL-3; local SIMPLS/LDA portions whose copyright Stefano Cacciatore owns are separately authorized under MIT. fastPLS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fastEmbedR and faissR</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snapshots pinned for randomized-PCA policy, UMAP/openTSNE, HNSW, Metal, and exact 2D/3D grid-KNN lineage.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CPU HNSW</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Direct FAISS-derived organization under MIT; Meta and Stefano Cacciatore notices and the complete FAISS license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Apple Metal</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AND Apache-2.0 for the combined file; Meta, Faiss-mlx, and modification notices plus both full licenses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CUDA</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Package-owned exact/IVF KNN, k-means, and SIMPLS/LDA use CUDA Toolkit libraries without FAISS, cuVS, RAFT, RMM, Armadillo, or external graph-clustering links.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Audit enforcement</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All tracked source-like files carry SPDX identifiers; official license texts are SHA-256 checked by tools/check_license_headers.sh.</w:t>
            </w:r>
          </w:p>
        </w:tc>
      </w:tr>
    </w:tbl>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CUDA kernels, and native Metal KNN and PLS-LDA kernels, but full accelerator-resident batching of independent M runs remains an engineering extension rather than a claim of the current manuscript.</w:t>
      </w:r>
    </w:p>
    <w:p>
      <w:r>
        <w:br w:type="page"/>
      </w:r>
    </w:p>
    <w:p>
      <w:pPr>
        <w:pStyle w:val="Heading1"/>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r>
        <w:br w:type="page"/>
      </w:r>
    </w:p>
    <w:p>
      <w:pPr>
        <w:pStyle w:val="Heading1"/>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G0 &lt;- KNNGraph(X32, graph_neighbors)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SelectLandmarks(X32,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InitialLabels(X32[L], starting_labels[L],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0" w:line="211" w:lineRule="auto"/>
        <w:ind w:left="230" w:right="230"/>
        <w:shd w:fill="F7F9FC"/>
      </w:pPr>
      <w:r>
        <w:rPr>
          <w:rFonts w:ascii="Courier New" w:hAnsi="Courier New"/>
          <w:sz w:val="14"/>
        </w:rPr>
        <w:t>return C, A, G_K</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r>
        <w:br w:type="page"/>
      </w:r>
    </w:p>
    <w:p>
      <w:pPr>
        <w:pStyle w:val="Heading1"/>
      </w:pPr>
      <w:r>
        <w:t>Algorithm 3: KODAMA.matrix.graph pseudocode</w:t>
      </w:r>
    </w:p>
    <w:p>
      <w:r>
        <w:t>The graph-input routine keeps the same label-evolution objective while replacing the initial neighbor search with caller-supplied indices and distances. KNN uses the supplied graph directly; PLS-LDA uses self-tuning Laplacian features only when the original feature matrix is not supplied.</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 if F == PLS-LDA then</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empty</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