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Reviewer-style self-assessment of the kodama-cpp JMLR manuscript</w:t>
      </w:r>
    </w:p>
    <w:p>
      <w:pPr>
        <w:spacing w:after="120"/>
      </w:pPr>
      <w:r>
        <w:rPr>
          <w:rFonts w:ascii="Calibri" w:hAnsi="Calibri"/>
          <w:i/>
          <w:sz w:val="22"/>
        </w:rPr>
        <w:t>Internal review memo and addressed revisions</w:t>
      </w:r>
    </w:p>
    <w:p>
      <w:pPr>
        <w:spacing w:after="240"/>
      </w:pPr>
      <w:r>
        <w:rPr>
          <w:rFonts w:ascii="Calibri" w:hAnsi="Calibri"/>
          <w:b w:val="0"/>
          <w:color w:val="555555"/>
          <w:sz w:val="20"/>
        </w:rPr>
        <w:t>Prepared with the current manuscript.</w:t>
      </w:r>
    </w:p>
    <w:p>
      <w:pPr>
        <w:pStyle w:val="Heading1"/>
      </w:pPr>
      <w:r>
        <w:t>Reviewer Summary</w:t>
      </w:r>
    </w:p>
    <w:p>
      <w:r>
        <w:t>The manuscript now reads as a software-methods submission rather than a checklist. It formalizes KODAMA as cross-validated accuracy maximization, separates raw CV accuracy from proposal acceptance scores and external diagnostics, compares the portable C++ library with the public R-package literature, and distinguishes methodological continuity from implementation novelty. The KODAMA.matrix procedure is specified with label-vector search mechanics, proposal, temperature, M/Tcycle, landmark, splitting, constraint, graph-correction rules, and explicit pseudocode at both the single-run and matrix-ensemble levels. The revision adds literature context from semi-supervised learning, weak supervision, cluster validation, circular-analysis warnings, visualization, and open-source ML reproducibility. Implementation claims are mapped to source locations, tests, and current benchmark evidence. The revision also narrows the graph-input KODAMA claim: graph input is documented and wrapper-validated as an optional API, while graph-only PLS-LDA is not presented as equivalent to data-input PLS-LDA without matched benchmarks.</w:t>
      </w:r>
    </w:p>
    <w:p>
      <w:pPr>
        <w:pStyle w:val="Heading1"/>
      </w:pPr>
      <w:r>
        <w:t>Major Comments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Legacy KNN comparison: a matched MetRef benchmark reports the KNN-capable KODAMA 2.4.1 release and current single-core CPU, four-core CPU, and CUDA paths. It is explicitly labeled as a legacy KNN-to-KNN comparison, not as the current CRAN baseline. A separate comparison with current CRAN KODAMA 3.3 remains necessary and must disclose that its automatic PLS-DA path is not classifier-parity with latent-space PLS-LDA.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Continuous integration and coverage: the manually executed CPU, CUDA, Metal, R, and Python checks are substantial, but the repository does not yet contain a cross-platform CI workflow or a measured source-coverage report. Both remain release work under the JMLR MLOSS review criteria.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User documentation: installation and wrapper references are present, but the standalone C++ and Python interfaces still need one compact end-to-end tutorial and a browsable generated API site.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Public API and release identity: version 0.1.0, semantic-versioning policy, wrapper versions, and a compile-link API snapshot test are complete. The final tag, commit, source archive, and DOI remain external release actions and are not fabricated.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Licensing and provenance: pinned origins, SPDX identifiers, retained license texts, checksums, and the Metal Apache-2.0 exception are frozen in release documents. The residual coauthor-contribution confirmation is stated explicitly.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MLOSS format: the official-style main paper now occupies four description pages plus references; the detailed manuscript is retained as a technical supplement.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Visualization evidence: a fixed CUDA M=100/Tcycle=100 panel now reports both classifiers, both embeddings, runtime, ARI, active classes, silhouette, and local purity on five named nonspatial datasets. Its positive and negative outcomes, including the 44,808-sample scale case, are retained. Matched backend and historical-wrapper matrices remain required before broad empirical claims.</w:t>
      </w:r>
    </w:p>
    <w:p>
      <w:pPr>
        <w:pStyle w:val="Heading1"/>
      </w:pPr>
      <w:r>
        <w:t>Revisions Applied</w:t>
      </w:r>
    </w:p>
    <w:p>
      <w:pPr>
        <w:pStyle w:val="ListBullet"/>
        <w:spacing w:after="80"/>
      </w:pPr>
      <w:r>
        <w:rPr>
          <w:rFonts w:ascii="Calibri" w:hAnsi="Calibri"/>
        </w:rPr>
        <w:t>Removed application-specific discussion and focused the paper on the KODAMA principle and implementation.</w:t>
      </w:r>
    </w:p>
    <w:p>
      <w:pPr>
        <w:pStyle w:val="ListBullet"/>
        <w:spacing w:after="80"/>
      </w:pPr>
      <w:r>
        <w:rPr>
          <w:rFonts w:ascii="Calibri" w:hAnsi="Calibri"/>
        </w:rPr>
        <w:t>Removed unsupported experimental paths and described only KNN and PLS-LDA as KODAMA classifiers.</w:t>
      </w:r>
    </w:p>
    <w:p>
      <w:pPr>
        <w:pStyle w:val="ListBullet"/>
        <w:spacing w:after="80"/>
      </w:pPr>
      <w:r>
        <w:rPr>
          <w:rFonts w:ascii="Calibri" w:hAnsi="Calibri"/>
        </w:rPr>
        <w:t>Added theory framing for cross-validated label predictability.</w:t>
      </w:r>
    </w:p>
    <w:p>
      <w:pPr>
        <w:pStyle w:val="ListBullet"/>
        <w:spacing w:after="80"/>
      </w:pPr>
      <w:r>
        <w:rPr>
          <w:rFonts w:ascii="Calibri" w:hAnsi="Calibri"/>
        </w:rPr>
        <w:t>Expanded the description of how high cross-validated accuracy label vectors are found: CV predictions guide group proposals, class-transition proposals aggregate unstable label movement, one CV pass evaluates each proposal, and a cooling acceptance rule maintains exploration.</w:t>
      </w:r>
    </w:p>
    <w:p>
      <w:pPr>
        <w:pStyle w:val="ListBullet"/>
        <w:spacing w:after="80"/>
      </w:pPr>
      <w:r>
        <w:rPr>
          <w:rFonts w:ascii="Calibri" w:hAnsi="Calibri"/>
        </w:rPr>
        <w:t>Expanded the mathematical description into a reproducible KODAMA.matrix procedure, including M runs, Tcycle, landmark selection, splitting, constrained groups, proposal rules, temperature acceptance, and KODAMA graph correction.</w:t>
      </w:r>
    </w:p>
    <w:p>
      <w:pPr>
        <w:pStyle w:val="ListBullet"/>
        <w:spacing w:after="80"/>
      </w:pPr>
      <w:r>
        <w:rPr>
          <w:rFonts w:ascii="Calibri" w:hAnsi="Calibri"/>
        </w:rPr>
        <w:t>Added KODAMA pseudocode that makes the initial CV evaluation, one-CV-per-cycle proposal loop, acceptance rule, projection step, and final graph reweighting explicit.</w:t>
      </w:r>
    </w:p>
    <w:p>
      <w:pPr>
        <w:pStyle w:val="ListBullet"/>
        <w:spacing w:after="80"/>
      </w:pPr>
      <w:r>
        <w:rPr>
          <w:rFonts w:ascii="Calibri" w:hAnsi="Calibri"/>
        </w:rPr>
        <w:t>Added a focused single-run pseudocode block showing one independent M run as the stochastic unit repeated by the ensemble.</w:t>
      </w:r>
    </w:p>
    <w:p>
      <w:pPr>
        <w:pStyle w:val="ListBullet"/>
        <w:spacing w:after="80"/>
      </w:pPr>
      <w:r>
        <w:rPr>
          <w:rFonts w:ascii="Calibri" w:hAnsi="Calibri"/>
        </w:rPr>
        <w:t>Completed a pinned licensing and provenance audit with per-file SPDX identifiers, retained third-party notices and license checksums, explicit KODAMA/fastPLS relicensing scope, and the MIT/Apache-2.0 Metal exception.</w:t>
      </w:r>
    </w:p>
    <w:p>
      <w:pPr>
        <w:pStyle w:val="ListBullet"/>
        <w:spacing w:after="80"/>
      </w:pPr>
      <w:r>
        <w:rPr>
          <w:rFonts w:ascii="Calibri" w:hAnsi="Calibri"/>
        </w:rPr>
        <w:t>Added a public-literature comparison against the original KODAMA paper, the Bioinformatics R-package paper, and the documented R interface.</w:t>
      </w:r>
    </w:p>
    <w:p>
      <w:pPr>
        <w:pStyle w:val="ListBullet"/>
        <w:spacing w:after="80"/>
      </w:pPr>
      <w:r>
        <w:rPr>
          <w:rFonts w:ascii="Calibri" w:hAnsi="Calibri"/>
        </w:rPr>
        <w:t>Added a related-work section positioning KODAMA relative to semi-supervised graph learning, pseudo-labeling, weak supervision, clustering stability, prediction strength, UMAP, t-SNE, and open-source ML reproducibility.</w:t>
      </w:r>
    </w:p>
    <w:p>
      <w:pPr>
        <w:pStyle w:val="ListBullet"/>
        <w:spacing w:after="80"/>
      </w:pPr>
      <w:r>
        <w:rPr>
          <w:rFonts w:ascii="Calibri" w:hAnsi="Calibri"/>
        </w:rPr>
        <w:t>Added a compact architecture figure showing R/Python wrappers, the C++17 core, CPU, CUDA, and Metal backends, graph/embedding/clustering utilities, and typed outputs.</w:t>
      </w:r>
    </w:p>
    <w:p>
      <w:pPr>
        <w:pStyle w:val="ListBullet"/>
        <w:spacing w:after="80"/>
      </w:pPr>
      <w:r>
        <w:rPr>
          <w:rFonts w:ascii="Calibri" w:hAnsi="Calibri"/>
        </w:rPr>
        <w:t>Reframed the implementation contribution around backend-native state ownership and added separate CUDA and Apple Metal subsections with explicit host/device boundaries, reusable workspaces, strict backend identity, and a shared parity contract.</w:t>
      </w:r>
    </w:p>
    <w:p>
      <w:pPr>
        <w:pStyle w:val="ListBullet"/>
        <w:spacing w:after="80"/>
      </w:pPr>
      <w:r>
        <w:rPr>
          <w:rFonts w:ascii="Calibri" w:hAnsi="Calibri"/>
        </w:rPr>
        <w:t>Added implementation details on float32 storage, label-aware SIMPLS, package-owned CPU/CUDA/Metal neighbor search, independent M cycles, typed outputs, and release validation.</w:t>
      </w:r>
    </w:p>
    <w:p>
      <w:pPr>
        <w:pStyle w:val="ListBullet"/>
        <w:spacing w:after="80"/>
      </w:pPr>
      <w:r>
        <w:rPr>
          <w:rFonts w:ascii="Calibri" w:hAnsi="Calibri"/>
        </w:rPr>
        <w:t>Replaced the installed FAISS/cuVS CUDA search path with package-owned exact/IVF KNN and k-means, and added clean-build, CTest, soname-audit, MNIST70k, and MetRef evidence.</w:t>
      </w:r>
    </w:p>
    <w:p>
      <w:pPr>
        <w:pStyle w:val="ListBullet"/>
        <w:spacing w:after="80"/>
      </w:pPr>
      <w:r>
        <w:rPr>
          <w:rFonts w:ascii="Calibri" w:hAnsi="Calibri"/>
        </w:rPr>
        <w:t>Added an implementation-evidence matrix linking each claim to source files, tests, and measured benchmark rows.</w:t>
      </w:r>
    </w:p>
    <w:p>
      <w:pPr>
        <w:pStyle w:val="ListBullet"/>
        <w:spacing w:after="80"/>
      </w:pPr>
      <w:r>
        <w:rPr>
          <w:rFonts w:ascii="Calibri" w:hAnsi="Calibri"/>
        </w:rPr>
        <w:t>Added evaluation guardrails that explicitly address circularity, parameter dependence, visualization bias, runtime attribution, and wrapper reproducibility.</w:t>
      </w:r>
    </w:p>
    <w:p>
      <w:pPr>
        <w:pStyle w:val="ListBullet"/>
        <w:spacing w:after="80"/>
      </w:pPr>
      <w:r>
        <w:rPr>
          <w:rFonts w:ascii="Calibri" w:hAnsi="Calibri"/>
        </w:rPr>
        <w:t>Added an ablation matrix specifying the required classifier, graph-correction, M/Tcycle, landmark/splitting, backend, and wrapper-parity comparisons.</w:t>
      </w:r>
    </w:p>
    <w:p>
      <w:pPr>
        <w:pStyle w:val="ListBullet"/>
        <w:spacing w:after="80"/>
      </w:pPr>
      <w:r>
        <w:rPr>
          <w:rFonts w:ascii="Calibri" w:hAnsi="Calibri"/>
        </w:rPr>
        <w:t>Added exact benchmark protocol, dataset coverage, and installation commands for the C++ core plus R and Python wrappers.</w:t>
      </w:r>
    </w:p>
    <w:p>
      <w:pPr>
        <w:pStyle w:val="ListBullet"/>
        <w:spacing w:after="80"/>
      </w:pPr>
      <w:r>
        <w:rPr>
          <w:rFonts w:ascii="Calibri" w:hAnsi="Calibri"/>
        </w:rPr>
        <w:t>Added an explicit distinction between raw CV accuracy, proposal acceptance score, and external diagnostics.</w:t>
      </w:r>
    </w:p>
    <w:p>
      <w:pPr>
        <w:pStyle w:val="ListBullet"/>
        <w:spacing w:after="80"/>
      </w:pPr>
      <w:r>
        <w:rPr>
          <w:rFonts w:ascii="Calibri" w:hAnsi="Calibri"/>
        </w:rPr>
        <w:t>Added a frozen 0.1.0 public API contract, version header, compile-link API test, changelog, contribution guide, prior-version delta, release checklist, and clean-tag archive script.</w:t>
      </w:r>
    </w:p>
    <w:p>
      <w:pPr>
        <w:pStyle w:val="ListBullet"/>
        <w:spacing w:after="80"/>
      </w:pPr>
      <w:r>
        <w:rPr>
          <w:rFonts w:ascii="Calibri" w:hAnsi="Calibri"/>
        </w:rPr>
        <w:t>Separated the submission into an official four-page MLOSS paper plus references and a detailed technical supplement.</w:t>
      </w:r>
    </w:p>
    <w:p>
      <w:pPr>
        <w:pStyle w:val="ListBullet"/>
        <w:spacing w:after="80"/>
      </w:pPr>
      <w:r>
        <w:rPr>
          <w:rFonts w:ascii="Calibri" w:hAnsi="Calibri"/>
        </w:rPr>
        <w:t>Added a track-specific cover-letter draft and a reviewer-comment response matrix with all author-only and external release fields left explicit.</w:t>
      </w:r>
    </w:p>
    <w:p>
      <w:pPr>
        <w:pStyle w:val="ListBullet"/>
        <w:spacing w:after="80"/>
      </w:pPr>
      <w:r>
        <w:rPr>
          <w:rFonts w:ascii="Calibri" w:hAnsi="Calibri"/>
        </w:rPr>
        <w:t>Added resumable release-validation, nonspatial M/Tcycle sensitivity, historical-R, backend, and six-panel UMAP/openTSNE benchmark drivers.</w:t>
      </w:r>
    </w:p>
    <w:p>
      <w:pPr>
        <w:pStyle w:val="ListBullet"/>
        <w:spacing w:after="80"/>
      </w:pPr>
      <w:r>
        <w:rPr>
          <w:rFonts w:ascii="Calibri" w:hAnsi="Calibri"/>
        </w:rPr>
        <w:t>Inserted completed current-validation results from the CUDA workstation: CV kernel speedups, CoreKNN/CorePLSLDA optimization medians, and the MetRef KODAMA.matrix validation benchmark.</w:t>
      </w:r>
    </w:p>
    <w:p>
      <w:pPr>
        <w:pStyle w:val="ListBullet"/>
        <w:spacing w:after="80"/>
      </w:pPr>
      <w:r>
        <w:rPr>
          <w:rFonts w:ascii="Calibri" w:hAnsi="Calibri"/>
        </w:rPr>
        <w:t>Completed the named MetRef/USPS M/Tcycle sensitivity experiment on CUDA and inserted the numerical tables and curve figure.</w:t>
      </w:r>
    </w:p>
    <w:p>
      <w:pPr>
        <w:pStyle w:val="ListBullet"/>
        <w:spacing w:after="80"/>
      </w:pPr>
      <w:r>
        <w:rPr>
          <w:rFonts w:ascii="Calibri" w:hAnsi="Calibri"/>
        </w:rPr>
        <w:t>Added an agreement-graph convergence analysis showing why M controls Monte Carlo precision rather than single-run optimization quality; reported empirical RMSE/correlation and the 1/(2 sqrt(M)) worst-case standard-error bound.</w:t>
      </w:r>
    </w:p>
    <w:p>
      <w:pPr>
        <w:pStyle w:val="ListBullet"/>
        <w:spacing w:after="80"/>
      </w:pPr>
      <w:r>
        <w:rPr>
          <w:rFonts w:ascii="Calibri" w:hAnsi="Calibri"/>
        </w:rPr>
        <w:t>Updated the end-to-end MetRef evidence to M=100/Tcycle=100 and reported the KNN collapse alongside the much stronger PLS-LDA external-label and visualization diagnostics.</w:t>
      </w:r>
    </w:p>
    <w:p>
      <w:pPr>
        <w:pStyle w:val="ListBullet"/>
        <w:spacing w:after="80"/>
      </w:pPr>
      <w:r>
        <w:rPr>
          <w:rFonts w:ascii="Calibri" w:hAnsi="Calibri"/>
        </w:rPr>
        <w:t>Replaced the obsolete short-run visualization preview with a reproducible five-dataset CUDA panel at M=100/Tcycle=100, archived its complete CSV and six-panel plots, and added a balanced silhouette/runtime/ARI figure that retains negative results.</w:t>
      </w:r>
    </w:p>
    <w:p>
      <w:pPr>
        <w:pStyle w:val="ListBullet"/>
        <w:spacing w:after="80"/>
      </w:pPr>
      <w:r>
        <w:rPr>
          <w:rFonts w:ascii="Calibri" w:hAnsi="Calibri"/>
        </w:rPr>
        <w:t>Bounded each independent CUDA k-means assignment workspace at 256 MiB and row-batched exact centroid scoring, allowing the 44,808-sample nonspatial panel to complete with four concurrent M lanes on a 16 GiB GPU.</w:t>
      </w:r>
    </w:p>
    <w:p>
      <w:pPr>
        <w:pStyle w:val="ListBullet"/>
        <w:spacing w:after="80"/>
      </w:pPr>
      <w:r>
        <w:rPr>
          <w:rFonts w:ascii="Calibri" w:hAnsi="Calibri"/>
        </w:rPr>
        <w:t>Completed the matched MetRef legacy KNN comparison: current single-core, four-core, and CUDA wall times are reported against KODAMA R 2.4.1, with explicit disclosure that it is not the current CRAN release and that proposal trajectories differ.</w:t>
      </w:r>
    </w:p>
    <w:p>
      <w:pPr>
        <w:pStyle w:val="ListBullet"/>
        <w:spacing w:after="80"/>
      </w:pPr>
      <w:r>
        <w:rPr>
          <w:rFonts w:ascii="Calibri" w:hAnsi="Calibri"/>
        </w:rPr>
        <w:t>Removed draft-status boxes and footer language from the manuscript.</w:t>
      </w:r>
    </w:p>
    <w:p>
      <w:pPr>
        <w:pStyle w:val="Heading1"/>
      </w:pPr>
      <w:r>
        <w:t>Remaining Work</w:t>
      </w:r>
    </w:p>
    <w:p>
      <w:pPr>
        <w:pStyle w:val="ListBullet"/>
        <w:spacing w:after="80"/>
      </w:pPr>
      <w:r>
        <w:rPr>
          <w:rFonts w:ascii="Calibri" w:hAnsi="Calibri"/>
        </w:rPr>
        <w:t>Extend the completed five-dataset visualization panel to additional data domains and run the remaining matched backend and release-ablation matrices on the release hardware.</w:t>
      </w:r>
    </w:p>
    <w:p>
      <w:pPr>
        <w:pStyle w:val="ListBullet"/>
        <w:spacing w:after="80"/>
      </w:pPr>
      <w:r>
        <w:rPr>
          <w:rFonts w:ascii="Calibri" w:hAnsi="Calibri"/>
        </w:rPr>
        <w:t>Add Linux and macOS continuous-integration jobs for the standalone core and wrappers, retain accelerator validation as a separately documented hardware job, and publish a measured line/branch coverage report.</w:t>
      </w:r>
    </w:p>
    <w:p>
      <w:pPr>
        <w:pStyle w:val="ListBullet"/>
        <w:spacing w:after="80"/>
      </w:pPr>
      <w:r>
        <w:rPr>
          <w:rFonts w:ascii="Calibri" w:hAnsi="Calibri"/>
        </w:rPr>
        <w:t>Publish a compact C++/R/Python end-to-end tutorial and generated API documentation at a stable project URL.</w:t>
      </w:r>
    </w:p>
    <w:p>
      <w:pPr>
        <w:pStyle w:val="ListBullet"/>
        <w:spacing w:after="80"/>
      </w:pPr>
      <w:r>
        <w:rPr>
          <w:rFonts w:ascii="Calibri" w:hAnsi="Calibri"/>
        </w:rPr>
        <w:t>Create and push the clean v0.1.0 tag, archive it, record the SHA-256 digest, and deposit it for an archival DOI.</w:t>
      </w:r>
    </w:p>
    <w:p>
      <w:pPr>
        <w:pStyle w:val="ListBullet"/>
        <w:spacing w:after="80"/>
      </w:pPr>
      <w:r>
        <w:rPr>
          <w:rFonts w:ascii="Calibri" w:hAnsi="Calibri"/>
        </w:rPr>
        <w:t>Obtain coauthor consent; complete funding, competing-interest, action-editor, reviewer, and current user-community fields in the cover letter; and confirm that no adapted KODAMA or fastPLS code was supplied outside the inspected Git history, or retain the relevant permission.</w:t>
      </w:r>
    </w:p>
    <w:p>
      <w:pPr>
        <w:pStyle w:val="Heading1"/>
      </w:pPr>
      <w:r>
        <w:t>Reviewer Recommendation</w:t>
      </w:r>
    </w:p>
    <w:p>
      <w:r>
        <w:t>Recommendation: promising JMLR MLOSS submission after the listed release-engineering actions. The four-page paper is focused, the KODAMA search is reproducible from the text, the heterogeneous architecture is a non-trivial software contribution, and limitations and negative results are stated with unusual clarity. Additional theory is not the priority.</w:t>
      </w:r>
    </w:p>
    <w:p>
      <w:r>
        <w:t>The principal desk-review risks are the absence of committed cross-platform CI and measured coverage, the lack of a stable hosted tutorial/API site, and incomplete tag, DOI, community-metric, and author declarations. Broader benchmarks strengthen impact, but these software-quality items are at least as important under the published MLOSS criteria.</w:t>
      </w:r>
    </w:p>
    <w:sectPr w:rsidR="00FC693F" w:rsidRPr="0006063C" w:rsidSect="00034616">
      <w:pgSz w:w="12240" w:h="15840"/>
      <w:pgMar w:top="1037" w:right="1296" w:bottom="1037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