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to Journal of Translational Medicine</w:t>
      </w:r>
    </w:p>
    <w:p>
      <w:r>
        <w:rPr>
          <w:b/>
        </w:rPr>
        <w:t xml:space="preserve">Date: </w:t>
      </w:r>
      <w:r>
        <w:t xml:space="preserve"> 21 October 2026</w:t>
      </w:r>
    </w:p>
    <w:p>
      <w:r>
        <w:rPr>
          <w:b/>
        </w:rPr>
        <w:t xml:space="preserve">To: </w:t>
      </w:r>
      <w:r>
        <w:t xml:space="preserve"> Editors, Journal of Translational Medicine</w:t>
      </w:r>
    </w:p>
    <w:p>
      <w:r>
        <w:rPr>
          <w:b/>
        </w:rPr>
        <w:t xml:space="preserve">Article type: </w:t>
      </w:r>
      <w:r>
        <w:t xml:space="preserve"> Research Article, Molecular Pathology</w:t>
      </w:r>
    </w:p>
    <w:p>
      <w:r>
        <w:rPr>
          <w:b/>
        </w:rPr>
        <w:t xml:space="preserve">Manuscript: </w:t>
      </w:r>
      <w:r>
        <w:t xml:space="preserve"> Patient-level comparison of three released pathology slide representations with a common PLS-based probe across TCGA cancers</w:t>
      </w:r>
    </w:p>
    <w:p>
      <w:r>
        <w:t>Dear Editors,</w:t>
      </w:r>
    </w:p>
    <w:p>
      <w:r>
        <w:t>We submit this manuscript for consideration in Journal of Translational Medicine. We compare slide representations from TITAN, Giga-SSL and Prov-GigaPath using the same slides and patient-level validation folds across 30 jointly represented TCGA cancers. The study evaluates direct genomic alterations separately from sequencing-derived burdens, transcriptomic signatures, computationally inferred immune-cell fractions and composite genomic-context scores.</w:t>
      </w:r>
    </w:p>
    <w:p>
      <w:r>
        <w:t>The work provides a reproducible translational research prioritisation resource. Its principal contribution is the matched use of identical patients, slides, outcomes and folds across the three representations, combined with patient-level slide pooling, alternative-partition analyses, grouping by TCGA tissue-source-site code and explicit reporting of negative, ineligible and sample-size-limited results. PathoFMPred provides a secondary R interface and registry for applying compatible fitted research models; it does not add validation evidence.</w:t>
      </w:r>
    </w:p>
    <w:p>
      <w:r>
        <w:t>We believe the manuscript fits the journal's interests in Medical Bioinformatics, Molecular Pathology, Disease Biomarkers and Translational Imaging. It identifies tumour-feature associations that merit locked independent testing while showing where representation choice, downstream probe and cohort structure alter prioritisation. The study does not claim clinical validation, assay replacement or transportability beyond TCGA. We state the absence of an independent external cohort prominently and position every output as an internally derived research estimate.</w:t>
      </w:r>
    </w:p>
    <w:p>
      <w:r>
        <w:t>The Supplement, two patient-report examples and a machine-readable results archive accompany the manuscript. Together, they document outcome provenance, validation, pathology and molecular-slide linkage, and software access conditions. The authors declare no competing interests. We hope this benchmark will help researchers select candidates for independent translational validation.</w:t>
      </w:r>
    </w:p>
    <w:p>
      <w:r>
        <w:t>Sincerely,</w:t>
      </w:r>
    </w:p>
    <w:p>
      <w:r>
        <w:t>Stefano Cacciatore, PhD</w:t>
        <w:br/>
        <w:t>Corresponding author</w:t>
        <w:br/>
        <w:t>Bioinformatics Unit, International Centre for Genetic Engineering and Biotechnology</w:t>
        <w:br/>
        <w:t>Cape Town, South Africa</w:t>
        <w:br/>
        <w:t>stefano.cacciatore@icgeb.org</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64"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