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Patient-level comparison of three released pathology slide representations with a common PLS-based probe across TCGA cancers</w:t>
      </w:r>
    </w:p>
    <w:p>
      <w:pPr>
        <w:spacing w:before="0" w:after="0" w:line="240" w:lineRule="auto"/>
        <w:jc w:val="center"/>
      </w:pPr>
      <w:r>
        <w:rPr>
          <w:b/>
          <w:sz w:val="19"/>
        </w:rPr>
        <w:t>Aamilah Ismail</w:t>
      </w:r>
      <w:r>
        <w:rPr>
          <w:sz w:val="19"/>
          <w:vertAlign w:val="superscript"/>
        </w:rPr>
        <w:t>1,*</w:t>
      </w:r>
      <w:r>
        <w:rPr>
          <w:sz w:val="19"/>
        </w:rPr>
        <w:t xml:space="preserve">, </w:t>
      </w:r>
      <w:r>
        <w:rPr>
          <w:b/>
          <w:sz w:val="19"/>
        </w:rPr>
        <w:t>Martin Ocharo</w:t>
      </w:r>
      <w:r>
        <w:rPr>
          <w:sz w:val="19"/>
          <w:vertAlign w:val="superscript"/>
        </w:rPr>
        <w:t>2,3,*</w:t>
      </w:r>
      <w:r>
        <w:rPr>
          <w:sz w:val="19"/>
        </w:rPr>
        <w:t xml:space="preserve">, </w:t>
      </w:r>
      <w:r>
        <w:rPr>
          <w:b/>
          <w:sz w:val="19"/>
        </w:rPr>
        <w:t>Giulia Canarutto</w:t>
      </w:r>
      <w:r>
        <w:rPr>
          <w:sz w:val="19"/>
          <w:vertAlign w:val="superscript"/>
        </w:rPr>
        <w:t>4,5</w:t>
      </w:r>
      <w:r>
        <w:rPr>
          <w:sz w:val="19"/>
        </w:rPr>
        <w:t xml:space="preserve">, </w:t>
      </w:r>
      <w:r>
        <w:rPr>
          <w:b/>
          <w:sz w:val="19"/>
        </w:rPr>
        <w:t>Moussa Kassim Mohamed</w:t>
      </w:r>
      <w:r>
        <w:rPr>
          <w:sz w:val="19"/>
          <w:vertAlign w:val="superscript"/>
        </w:rPr>
        <w:t>2,3</w:t>
      </w:r>
      <w:r>
        <w:rPr>
          <w:sz w:val="19"/>
        </w:rPr>
        <w:t xml:space="preserve">, </w:t>
      </w:r>
      <w:r>
        <w:rPr>
          <w:b/>
          <w:sz w:val="19"/>
        </w:rPr>
        <w:t>Dalia Ahmed</w:t>
      </w:r>
      <w:r>
        <w:rPr>
          <w:sz w:val="19"/>
          <w:vertAlign w:val="superscript"/>
        </w:rPr>
        <w:t>2</w:t>
      </w:r>
      <w:r>
        <w:rPr>
          <w:sz w:val="19"/>
        </w:rPr>
        <w:t xml:space="preserve">, </w:t>
      </w:r>
      <w:r>
        <w:rPr>
          <w:b/>
          <w:sz w:val="19"/>
        </w:rPr>
        <w:t>Brendon Price</w:t>
      </w:r>
      <w:r>
        <w:rPr>
          <w:sz w:val="19"/>
          <w:vertAlign w:val="superscript"/>
        </w:rPr>
        <w:t>6</w:t>
      </w:r>
      <w:r>
        <w:rPr>
          <w:sz w:val="19"/>
        </w:rPr>
        <w:t xml:space="preserve">, </w:t>
      </w:r>
      <w:r>
        <w:rPr>
          <w:b/>
          <w:sz w:val="19"/>
        </w:rPr>
        <w:t>Dupe Ojo</w:t>
      </w:r>
      <w:r>
        <w:rPr>
          <w:sz w:val="19"/>
          <w:vertAlign w:val="superscript"/>
        </w:rPr>
        <w:t>2</w:t>
      </w:r>
      <w:r>
        <w:rPr>
          <w:sz w:val="19"/>
        </w:rPr>
        <w:t xml:space="preserve">, </w:t>
      </w:r>
      <w:r>
        <w:rPr>
          <w:b/>
          <w:sz w:val="19"/>
        </w:rPr>
        <w:t>Ekene Emmanuel Nweke</w:t>
      </w:r>
      <w:r>
        <w:rPr>
          <w:sz w:val="19"/>
          <w:vertAlign w:val="superscript"/>
        </w:rPr>
        <w:t>7</w:t>
      </w:r>
      <w:r>
        <w:rPr>
          <w:sz w:val="19"/>
        </w:rPr>
        <w:t xml:space="preserve">, </w:t>
      </w:r>
      <w:r>
        <w:rPr>
          <w:b/>
          <w:sz w:val="19"/>
        </w:rPr>
        <w:t>Alessia Vignoli</w:t>
      </w:r>
      <w:r>
        <w:rPr>
          <w:sz w:val="19"/>
          <w:vertAlign w:val="superscript"/>
        </w:rPr>
        <w:t>8,9</w:t>
      </w:r>
      <w:r>
        <w:rPr>
          <w:sz w:val="19"/>
        </w:rPr>
        <w:t xml:space="preserve">, </w:t>
      </w:r>
      <w:r>
        <w:rPr>
          <w:b/>
          <w:sz w:val="19"/>
        </w:rPr>
        <w:t>Silvano Piazza</w:t>
      </w:r>
      <w:r>
        <w:rPr>
          <w:sz w:val="19"/>
          <w:vertAlign w:val="superscript"/>
        </w:rPr>
        <w:t>4,10</w:t>
      </w:r>
      <w:r>
        <w:rPr>
          <w:sz w:val="19"/>
        </w:rPr>
        <w:t xml:space="preserve">, </w:t>
      </w:r>
      <w:r>
        <w:rPr>
          <w:b/>
          <w:sz w:val="19"/>
        </w:rPr>
        <w:t>Dinesh Gupta</w:t>
      </w:r>
      <w:r>
        <w:rPr>
          <w:sz w:val="19"/>
          <w:vertAlign w:val="superscript"/>
        </w:rPr>
        <w:t>11</w:t>
      </w:r>
      <w:r>
        <w:rPr>
          <w:sz w:val="19"/>
        </w:rPr>
        <w:t xml:space="preserve">, </w:t>
      </w:r>
      <w:r>
        <w:rPr>
          <w:b/>
          <w:sz w:val="19"/>
        </w:rPr>
        <w:t>Leonardo Tenori</w:t>
      </w:r>
      <w:r>
        <w:rPr>
          <w:sz w:val="19"/>
          <w:vertAlign w:val="superscript"/>
        </w:rPr>
        <w:t>8,9</w:t>
      </w:r>
      <w:r>
        <w:rPr>
          <w:sz w:val="19"/>
        </w:rPr>
        <w:t xml:space="preserve">, </w:t>
      </w:r>
      <w:r>
        <w:rPr>
          <w:b/>
          <w:sz w:val="19"/>
        </w:rPr>
        <w:t>Stefano Cacciatore</w:t>
      </w:r>
      <w:r>
        <w:rPr>
          <w:sz w:val="19"/>
          <w:vertAlign w:val="superscript"/>
        </w:rPr>
        <w:t>2,3,†</w:t>
      </w:r>
    </w:p>
    <w:p>
      <w:pPr>
        <w:spacing w:before="0" w:after="0" w:line="240" w:lineRule="auto"/>
        <w:jc w:val="center"/>
      </w:pPr>
      <w:r>
        <w:rPr>
          <w:b/>
          <w:sz w:val="17"/>
        </w:rPr>
        <w:t xml:space="preserve">1 </w:t>
      </w:r>
      <w:r>
        <w:rPr>
          <w:sz w:val="17"/>
        </w:rPr>
        <w:t>Division of Engineering, New York University Abu Dhabi, Abu Dhabi, United Arab Emirates</w:t>
      </w:r>
    </w:p>
    <w:p>
      <w:pPr>
        <w:spacing w:before="0" w:after="0" w:line="240" w:lineRule="auto"/>
        <w:jc w:val="center"/>
      </w:pPr>
      <w:r>
        <w:rPr>
          <w:b/>
          <w:sz w:val="17"/>
        </w:rPr>
        <w:t xml:space="preserve">2 </w:t>
      </w:r>
      <w:r>
        <w:rPr>
          <w:sz w:val="17"/>
        </w:rPr>
        <w:t>Bioinformatics Unit, International Centre for Genetic Engineering and Biotechnology (ICGEB), Cape Town 7925, South Africa</w:t>
      </w:r>
    </w:p>
    <w:p>
      <w:pPr>
        <w:spacing w:before="0" w:after="0" w:line="240" w:lineRule="auto"/>
        <w:jc w:val="center"/>
      </w:pPr>
      <w:r>
        <w:rPr>
          <w:b/>
          <w:sz w:val="17"/>
        </w:rPr>
        <w:t xml:space="preserve">3 </w:t>
      </w:r>
      <w:r>
        <w:rPr>
          <w:sz w:val="17"/>
        </w:rPr>
        <w:t>Department of Integrative Biomedical Sciences, Institute of Infectious Disease &amp; Molecular Medicine (IDM), University of Cape Town, Cape Town 7925, South Africa</w:t>
      </w:r>
    </w:p>
    <w:p>
      <w:pPr>
        <w:spacing w:before="0" w:after="0" w:line="240" w:lineRule="auto"/>
        <w:jc w:val="center"/>
      </w:pPr>
      <w:r>
        <w:rPr>
          <w:b/>
          <w:sz w:val="17"/>
        </w:rPr>
        <w:t xml:space="preserve">4 </w:t>
      </w:r>
      <w:r>
        <w:rPr>
          <w:sz w:val="17"/>
        </w:rPr>
        <w:t>Computational Biology Group, International Centre for Genetic Engineering and Biotechnology (ICGEB), Trieste, Italy</w:t>
      </w:r>
    </w:p>
    <w:p>
      <w:pPr>
        <w:spacing w:before="0" w:after="0" w:line="240" w:lineRule="auto"/>
        <w:jc w:val="center"/>
      </w:pPr>
      <w:r>
        <w:rPr>
          <w:b/>
          <w:sz w:val="17"/>
        </w:rPr>
        <w:t xml:space="preserve">5 </w:t>
      </w:r>
      <w:r>
        <w:rPr>
          <w:sz w:val="17"/>
        </w:rPr>
        <w:t>Life Science Department (DSV), University of Trieste, Trieste, Italy</w:t>
      </w:r>
    </w:p>
    <w:p>
      <w:pPr>
        <w:spacing w:before="0" w:after="0" w:line="240" w:lineRule="auto"/>
        <w:jc w:val="center"/>
      </w:pPr>
      <w:r>
        <w:rPr>
          <w:b/>
          <w:sz w:val="17"/>
        </w:rPr>
        <w:t xml:space="preserve">6 </w:t>
      </w:r>
      <w:r>
        <w:rPr>
          <w:sz w:val="17"/>
        </w:rPr>
        <w:t>Division of Anatomical Pathology, University of Cape Town and National Health Laboratory Service, Observatory, Cape Town, South Africa</w:t>
      </w:r>
    </w:p>
    <w:p>
      <w:pPr>
        <w:spacing w:before="0" w:after="0" w:line="240" w:lineRule="auto"/>
        <w:jc w:val="center"/>
      </w:pPr>
      <w:r>
        <w:rPr>
          <w:b/>
          <w:sz w:val="17"/>
        </w:rPr>
        <w:t xml:space="preserve">7 </w:t>
      </w:r>
      <w:r>
        <w:rPr>
          <w:sz w:val="17"/>
        </w:rPr>
        <w:t>Department of Surgery, School of Clinical Medicine, Faculty of Health Sciences, University of the Witwatersrand, Johannesburg, Gauteng, South Africa</w:t>
      </w:r>
    </w:p>
    <w:p>
      <w:pPr>
        <w:spacing w:before="0" w:after="0" w:line="240" w:lineRule="auto"/>
        <w:jc w:val="center"/>
      </w:pPr>
      <w:r>
        <w:rPr>
          <w:b/>
          <w:sz w:val="17"/>
        </w:rPr>
        <w:t xml:space="preserve">8 </w:t>
      </w:r>
      <w:r>
        <w:rPr>
          <w:sz w:val="17"/>
        </w:rPr>
        <w:t>Department of Chemistry "Ugo Schiff", University of Florence, Sesto Fiorentino, Italy</w:t>
      </w:r>
    </w:p>
    <w:p>
      <w:pPr>
        <w:spacing w:before="0" w:after="0" w:line="240" w:lineRule="auto"/>
        <w:jc w:val="center"/>
      </w:pPr>
      <w:r>
        <w:rPr>
          <w:b/>
          <w:sz w:val="17"/>
        </w:rPr>
        <w:t xml:space="preserve">9 </w:t>
      </w:r>
      <w:r>
        <w:rPr>
          <w:sz w:val="17"/>
        </w:rPr>
        <w:t>Magnetic Resonance Center (CERM), University of Florence, Sesto Fiorentino, Italy</w:t>
      </w:r>
    </w:p>
    <w:p>
      <w:pPr>
        <w:spacing w:before="0" w:after="0" w:line="240" w:lineRule="auto"/>
        <w:jc w:val="center"/>
      </w:pPr>
      <w:r>
        <w:rPr>
          <w:b/>
          <w:sz w:val="17"/>
        </w:rPr>
        <w:t xml:space="preserve">10 </w:t>
      </w:r>
      <w:r>
        <w:rPr>
          <w:sz w:val="17"/>
        </w:rPr>
        <w:t>Bioinformatics Facility, Department of Cellular, Computational and Integrative Biology - CIBIO, University of Trento, Trento, Italy</w:t>
      </w:r>
    </w:p>
    <w:p>
      <w:pPr>
        <w:spacing w:before="0" w:after="0" w:line="240" w:lineRule="auto"/>
        <w:jc w:val="center"/>
      </w:pPr>
      <w:r>
        <w:rPr>
          <w:b/>
          <w:sz w:val="17"/>
        </w:rPr>
        <w:t xml:space="preserve">11 </w:t>
      </w:r>
      <w:r>
        <w:rPr>
          <w:sz w:val="17"/>
        </w:rPr>
        <w:t>Translational Bioinformatics Group, International Centre for Genetic Engineering and Biotechnology (ICGEB), Aruna Asaf Ali Marg, New Delhi 110067, India</w:t>
      </w:r>
    </w:p>
    <w:p>
      <w:pPr>
        <w:spacing w:before="0" w:after="0" w:line="240" w:lineRule="auto"/>
        <w:jc w:val="center"/>
      </w:pPr>
      <w:r>
        <w:rPr>
          <w:i/>
          <w:sz w:val="17"/>
        </w:rPr>
        <w:t>* These authors contributed equally.</w:t>
      </w:r>
    </w:p>
    <w:p>
      <w:pPr>
        <w:spacing w:before="0" w:after="0" w:line="240" w:lineRule="auto"/>
        <w:jc w:val="center"/>
      </w:pPr>
      <w:r>
        <w:rPr>
          <w:i/>
          <w:sz w:val="17"/>
        </w:rPr>
        <w:t>† Corresponding author: Stefano Cacciatore (stefano.cacciatore@icgeb.org).</w:t>
      </w:r>
    </w:p>
    <w:p>
      <w:pPr>
        <w:spacing w:before="0" w:after="0" w:line="240" w:lineRule="auto"/>
        <w:jc w:val="center"/>
      </w:pPr>
      <w:r>
        <w:rPr>
          <w:sz w:val="17"/>
        </w:rPr>
        <w:t>Research article: Molecular Pathology | Journal of Translational Medicine</w:t>
      </w:r>
    </w:p>
    <w:p>
      <w:pPr>
        <w:pStyle w:val="Heading1"/>
      </w:pPr>
      <w:r>
        <w:t>Abstract</w:t>
      </w:r>
    </w:p>
    <w:p>
      <w:r>
        <w:rPr>
          <w:b/>
        </w:rPr>
        <w:t>Background.</w:t>
      </w:r>
      <w:r>
        <w:t xml:space="preserve"> Haematoxylin-and-eosin (H&amp;E) slides can reveal tumour genetics and tissue context, but it remains unclear which features can be estimated consistently from different pathology foundation-model representations. We compared slide representations from TITAN, Giga-SSL and Prov-GigaPath across cancer-specific genomic and computationally derived phenotypes.</w:t>
      </w:r>
    </w:p>
    <w:p>
      <w:r>
        <w:rPr>
          <w:b/>
        </w:rPr>
        <w:t>Methods.</w:t>
      </w:r>
      <w:r>
        <w:t xml:space="preserve"> We analysed 8,241 patients across 30 cancer types in The Cancer Genome Atlas (TCGA). TITAN, Giga-SSL and Prov-GigaPath slide representations were compared for 3,389 cancer-endpoint pairs using the same patients, slides, outcomes and nested cross-validation folds. Held-out Q² assessed continuous outcomes and area under the receiver operating characteristic curve (AUROC) assessed binary outcomes. We also examined alternative folds and grouping by TCGA tissue-source-site code.</w:t>
      </w:r>
    </w:p>
    <w:p>
      <w:r>
        <w:rPr>
          <w:b/>
        </w:rPr>
        <w:t>Results.</w:t>
      </w:r>
      <w:r>
        <w:t xml:space="preserve"> For molecular and immune reference data derived independently of the H&amp;E images, Q² reached the descriptive threshold of 0.20 for 658/2,952 TITAN, 340/2,952 Giga-SSL and 428/2,952 Prov-GigaPath continuous pairs. AUROC reached 0.60 for 235/426, 161/426 and 179/426 binary pairs, respectively. Examples shared by all three representations included GTF2I mutation in thymoma (AUROC 0.875 to 0.911 across models), strict microsatellite instability in colon cancer (AUROC 0.846 to 0.909) and the RNA-derived TGF-beta response signature in testicular germ-cell tumours (Q² 0.575 to 0.681). Grouping by tissue-source-site code changed which associations remained above these descriptive thresholds. We developed PathoFMPred, an R package that organizes fitted research models and applies them to compatible slide features.</w:t>
      </w:r>
    </w:p>
    <w:p>
      <w:r>
        <w:rPr>
          <w:b/>
        </w:rPr>
        <w:t>Conclusions.</w:t>
      </w:r>
      <w:r>
        <w:t xml:space="preserve"> Histology captured several cancer-specific genetic and derived tissue programmes, but performance depended on the representation and validation partition. The atlas can help prioritize models for independent testing. All performance estimates remain internal to TCGA and do not support clinical use.</w:t>
      </w:r>
    </w:p>
    <w:p>
      <w:r>
        <w:t>Keywords: computational pathology; whole-slide imaging; foundation model; mutation; inflammation; microsatellite instability; gene fusion; aneuploidy; partial least squares; linear discriminant analysis</w:t>
      </w:r>
    </w:p>
    <w:p>
      <w:pPr>
        <w:pStyle w:val="Heading1"/>
      </w:pPr>
      <w:r>
        <w:t>Background</w:t>
      </w:r>
    </w:p>
    <w:p>
      <w:r>
        <w:t>A haematoxylin-and-eosin (H&amp;E) slide shows tumour architecture, cell morphology and the surrounding tissue. A foundation model first learns visual patterns from large image collections without being trained for each molecular question. DINOv2 illustrates this self-supervised approach in general computer vision [1]. Pathology models adapt it to tissue images and, in some cases, aggregate information across an entire slide. Their output is a numerical representation, not a mutation call: a separate model must learn the link between that representation and an outcome measured in labelled patients. This separation lets us ask, using the same slides, whether morphology carries information about genotype, immune-related programmes or genomic context.</w:t>
      </w:r>
    </w:p>
    <w:p>
      <w:r>
        <w:t>Histology-based prediction already has a substantial literature. Coudray and colleagues predicted lung-cancer mutations [2], and subsequent studies estimated microsatellite instability, including in externally tested colorectal cohorts [3-4]. Fu et al. screened 17,355 slides across 28 cancers [5]; Kather et al. analysed more than 5,000 patients across 14 cancers [6]; and Arslan et al. trained 12,093 models for 4,031 biomarkers in 8,890 TCGA patients across 32 cancers [7]. Other work examined RNA expression [8-9], cross-institution mutation performance [10-11], gene fusions [12-13], homologous-recombination deficiency [14] and tumour-microenvironment phenotypes [15]. These studies establish the field, but their cohorts, endpoint catalogues and image representations differ, which makes feature-level comparisons difficult.</w:t>
      </w:r>
    </w:p>
    <w:p>
      <w:r>
        <w:t>We asked which tumour features can be estimated from H&amp;E using three released slide representations of the same TCGA patients. For each cancer-specific outcome, we compared TITAN, Giga-SSL and Prov-GigaPath on identical slide sets and patient-level validation folds. We retained unsuccessful and sample-size-ineligible outcomes, examined the stability of estimates across new fold assignments, and tested sensitivity to grouping by TCGA tissue-source-site code. We also developed PathoFMPred, an R package for storing and applying compatible fitted research models. The biological comparison is the central contribution.</w:t>
      </w:r>
    </w:p>
    <w:p>
      <w:r>
        <w:t>The three slide representations differ in how they were trained and constructed. TITAN combines visual self-supervision with vision-language alignment; its reported Mass-340K pretraining corpus excluded TCGA, although TCGA was used for downstream evaluation [16]. Giga-SSL provides self-supervised whole-slide embeddings and used TCGA during development, so exposure to the evaluated images cannot be excluded [17]. Prov-GigaPath combines a tile encoder with a long-context slide encoder trained on Providence health-system pathology data; we used its released final-layer TCGA embeddings [18]. We did not fine-tune these encoders or use molecular labels to learn the representations. Our comparison includes differences in preprocessing, resolution, training exposure and output layer under one PLS-based downstream analysis. It does not isolate intrinsic foundation-model quality.</w:t>
      </w:r>
    </w:p>
    <w:p>
      <w:r>
        <w:t>A cancer-endpoint pair combines one cancer type with one outcome, such as APC mutation in COAD or an RNA wound-healing signature in LIHC. Each pair defines a separate cancer-specific task; we never pooled cancers into one prediction model. The catalogue included mutations, fusions, microsatellite instability, genome doubling and oncogenic-pathway alterations, as well as sequencing-derived burdens, transcriptomic inflammatory programmes, inferred immune-cell fractions and genomic-context scores. Throughout this article, predictability means held-out statistical agreement with the supplied reference phenotype, not causality or assay replacement.</w:t>
      </w:r>
    </w:p>
    <w:p>
      <w:pPr>
        <w:pStyle w:val="Heading1"/>
      </w:pPr>
      <w:r>
        <w:t>Methods</w:t>
      </w:r>
    </w:p>
    <w:p>
      <w:pPr>
        <w:pStyle w:val="Heading2"/>
      </w:pPr>
      <w:r>
        <w:t>Study design, slides and patient unit</w:t>
      </w:r>
    </w:p>
    <w:p>
      <w:r>
        <w:t>The released datasets contained 11,449 TITAN slides from 9,404 patients, 11,427 Giga-SSL slides from 9,378 patients and 10,328 Prov-GigaPath slides from 8,393 patients. The matched benchmark included 8,241 patients represented in all three datasets. For each patient, only slide identifiers available in all three representations were retained, giving the same 10,165 slides to each representation. Supplementary Table S1 summarizes analysis scope, and Supplementary Table S2 describes representation coverage.</w:t>
      </w:r>
    </w:p>
    <w:p>
      <w:r>
        <w:t>Within each representation, the matched primary-tumour diagnostic slides were averaged before outcomes were joined. Each patient contributed one observation and was assigned to one cross-validation fold.</w:t>
      </w:r>
    </w:p>
    <w:p>
      <w:r>
        <w:t>Generated slide narratives mentioned no residual tumour for six patients. These patients were retained because the generated text was not an independent pathology assessment. Molecular outcomes were linked at participant or sample-barcode level; neither identifier establishes that the slide and assay sampled the same block or tumour region. The affected patient identifiers and linkage audit are given in Supplementary Table S3.</w:t>
      </w:r>
    </w:p>
    <w:p>
      <w:pPr>
        <w:pStyle w:val="Heading2"/>
      </w:pPr>
      <w:r>
        <w:t>Predictors and outcomes</w:t>
      </w:r>
    </w:p>
    <w:p>
      <w:r>
        <w:t>TITAN and Prov-GigaPath supplied 768-dimensional slide vectors; Giga-SSL supplied 512-dimensional vectors. These three published resources were selected because fixed-length TCGA slide representations, traceable slide identifiers, sufficient common-patient coverage and reproducible release metadata were available without WSI reprocessing [17-20]. Other resources that lacked one or more of these elements are listed in the supplementary inclusion audit. Upstream preprocessing, resolution and training exposure were not harmonised, so the comparison concerns the released slide representations rather than isolated foundation-model quality. Giga-SSL development used TCGA images, although downstream molecular labels were held out.</w:t>
      </w:r>
    </w:p>
    <w:p>
      <w:r>
        <w:t>Published TCGA outcomes were linked to patient-level slide representations by the 12-character participant barcode. Only participant identifiers were supplied by the PanImmune workbook of Thorsson et al. [21]. For sources with sample barcodes, primary-tumour sample type 01 was retained before participant-level aggregation.</w:t>
      </w:r>
    </w:p>
    <w:p>
      <w:r>
        <w:t>Immune, inflammatory and genomic-context features were obtained from the PanImmune_MS sheet published by Thorsson et al. [21]. Fifty published non-survival, non-subtype and non-aggregate fields were selected; their participant-level values were imported rather than recalculated. They included 22 CIBERSORT LM22 fractions inferred from bulk RNA sequencing [22], a methylation-derived leukocyte fraction, ten bulk-RNA immune and inflammatory signatures, six BCR/TCR repertoire quantities, two somatic mutation rates, two in-silico neoantigen burdens, six genomic-context quantities and the Saltz H&amp;E-derived TIL Regional Fraction [23]. Silent and nonsilent mutation rates, SNV and indel neoantigen counts and number of segments were analysed after log1p transformation; other PanImmune values kept their published scale. The PanImmune field named 'Aneuploidy Score' and the Taylor et al. arm-level burden named 'Aneuploidy score' were retained as separate outcomes with separate source labels in the case reports. CIBERSORT fractions and inflammatory signatures were interpreted as agreement with computational reference phenotypes, not direct tissue measurements.</w:t>
      </w:r>
    </w:p>
    <w:p>
      <w:r>
        <w:t>RNA pathway-activity outcomes were constructed from the batch-adjusted TCGA Pan-Cancer RNA-sequencing matrix downloaded from UCSC Xena [24] and the MSigDB 2026.1.Hs gene-set release [25]. Fifty Hallmark gene sets, the Reactome glutathione synthesis and recycling set and the Gene Ontology vitamin B6 metabolic-process set were used. Primary-tumour sample type 01 was retained, expression was averaged across multiple primary-tumour aliquots from the same participant, and genes were standardized within each cancer. Each pathway score was calculated as the mean standardized expression of its measured member genes. The scores are therefore RNA-derived computational reference phenotypes and not direct biochemical measurements of pathway flux, glutathione concentration or pyridoxine metabolism. Source URLs, checksums, gene-set membership and per-cancer measured-gene counts are reported in the supplementary source audit.</w:t>
      </w:r>
    </w:p>
    <w:p>
      <w:r>
        <w:t>Mutation labels were constructed from TCGA MC3 calls [26] accessed through the pinned TCGAmutations package, and tested genes were restricted to the tissue-specific driver catalogue in Bailey et al. Table S1 [27]. Primary-tumour samples, PASS variants and protein-altering missense, nonsense, nonstop, splice-site, translation-start, frameshift and in-frame changes were retained. COADREAD drivers were mapped to both COAD and READ. A participant was classified as mutated when a qualifying variant in the gene was present in any matched profiled primary sample. Wild type was assigned only when profiling of a primary-tumour sample was confirmed by MC3 clinical metadata and no qualifying variant was present; participants without an MC3-profiled primary tumour remained missing.</w:t>
      </w:r>
    </w:p>
    <w:p>
      <w:r>
        <w:t>Pathway status was imported from the Pathway level sheet of Sanchez-Vega et al. Table S4 [28]. Binary alterations in ten oncogenic signalling pathways are reported in the published matrix. Sample type 01 was retained, and a participant was defined as altered when any covered primary sample was altered in that pathway; participants absent from the table remained missing. The Taylor aneuploidy score, deleted-arm count, amplified-arm count and genome-doubling indicator were obtained from Table S2 [29]; continuous values were averaged across primary samples, and genome doubling was assigned when any primary sample was positive. Fusion calls and the assayed denominator were obtained from the two relevant sheets of Gao et al. Table S1 [30]; unique calls were collapsed by participant, zero was assigned only within the study sample list and fusion burden was log1p-transformed. Finally, MANTIS and MSIsensor fields were downloaded from the cBioPortal TCGA PanCancer Atlas clinical-sample files [31-32]; finite primary-sample scores were averaged, and missingness was retained when every primary-sample score was absent. A value greater than 0.4 was used for MSI-H in the main MANTIS definition; in the strict sensitivity, a value greater than 0.6 was used for MSI-H, a value less than 0.4 was used for MSS and intermediate scores were excluded.</w:t>
      </w:r>
    </w:p>
    <w:p>
      <w:pPr>
        <w:pStyle w:val="Heading2"/>
      </w:pPr>
      <w:r>
        <w:t>PLS models and validation</w:t>
      </w:r>
    </w:p>
    <w:p>
      <w:r>
        <w:t>Each cancer-endpoint pair was modelled separately with PLS regression or PLS-LDA [33-34]. TITAN, Giga-SSL and Prov-GigaPath used identical patients and nested patient-level five-fold splits within each pair. Fold-training data alone were used to centre features, select 1 to 20 PLS components and choose the binary decision threshold. Inner out-of-fold root-mean-square error selected components for continuous PLS regression; held-out Q² was the primary metric, with RMSE and Spearman correlation secondary. Inner AUROC selected components for PLS-LDA; outer AUROC was primary, with PR-AUC and class-call metrics reported at a threshold chosen to maximise balanced accuracy in the training data. Ties favoured fewer components, and LDA scores were not interpreted as probabilities. Eligibility required at least 50 labelled patients for continuous outcomes or 20 patients in each binary class.</w:t>
      </w:r>
    </w:p>
    <w:p>
      <w:r>
        <w:t>Descriptive follow-up cutoffs were Q²≥0.20, equivalent to 20% less squared error than a mean-reference prediction, and AUROC≥0.60, indicating modest discrimination above chance. Their sensitivity to nearby cutoffs and alternative binary decision rules was examined. These cutoffs did not define statistically significant discoveries. A fixed-subset ridge comparison assessed dependence on the downstream model.</w:t>
      </w:r>
    </w:p>
    <w:p>
      <w:pPr>
        <w:pStyle w:val="Heading2"/>
      </w:pPr>
      <w:r>
        <w:t>Robustness analyses</w:t>
      </w:r>
    </w:p>
    <w:p>
      <w:r>
        <w:t>Five alternative nested patient partitions were used to assess the stability of 1360 pairs that crossed or approached an effect threshold. For all 1004 pairs crossing in at least one representation, complete TCGA tissue-source-site codes were held apart in both inner and outer validation. Matched-random folds controlled for test-set size and binary class counts. Performance was calculated from pooled patient-level held-out predictions, and sparse grouped folds were flagged. Full fold-adequacy and component-selection audits are reported in the Supplement.</w:t>
      </w:r>
    </w:p>
    <w:p>
      <w:r>
        <w:t>Sensitivity analyses used the same rules for all three slide representations. Continuous outcomes were assessed by held-out Q² and binary outcomes by AUROC. The effect thresholds organized follow-up analyses; they were not used as significance tests.</w:t>
      </w:r>
    </w:p>
    <w:p>
      <w:r>
        <w:t>Final coefficients and representation schemas were retained as model objects. The analyses were performed in R 4.6.0 using fastPLS 0.4. No independent cohort was evaluated.</w:t>
      </w:r>
    </w:p>
    <w:p>
      <w:pPr>
        <w:pStyle w:val="Heading1"/>
      </w:pPr>
      <w:r>
        <w:t>Results</w:t>
      </w:r>
    </w:p>
    <w:p>
      <w:pPr>
        <w:pStyle w:val="Heading2"/>
      </w:pPr>
      <w:r>
        <w:t>Matched cohort and slide representations</w:t>
      </w:r>
    </w:p>
    <w:p>
      <w:r>
        <w:t>We included 8,241 patients and 3,389 cancer-endpoint pairs shared across TITAN, Giga-SSL and Prov-GigaPath. These comprised 2,963 continuous and 426 binary pairs across 30 cancers. Every representation used the same 10,165 slide identifiers, patients, outcomes, folds, seeds and tuning rules. The released datasets already agreed on the complete slide set for 8,207 of these patients; for the other 34, slides unavailable in one or more datasets were removed from all three representations before pooling. A secondary analysis used every available slide for these patients to assess the effect of this choice. The comparison still includes differences in upstream preprocessing, resolution, representation-learning exposure and released layer.</w:t>
      </w:r>
    </w:p>
    <w:p>
      <w:r>
        <w:t>We analysed 768-dimensional TITAN, 512-dimensional Giga-SSL and 768-dimensional Prov-GigaPath whole-slide vectors. TITAN combined a CONCH v1.5 tile encoder with its region-of-interest workflow and released slide layer. Giga-SSL combined a ResNet-18 tile encoder with a sparse-convolutional slide encoder, while Prov-GigaPath combined a DINOv2-style tile encoder with its final long-context slide layer. The reported TITAN Mass-340K and Prov-GigaPath Providence pretraining corpora excluded TCGA. Giga-SSL development used TCGA, so direct exposure to evaluated slides cannot be excluded. All three downstream analyses withheld molecular labels. We therefore interpret every comparison as a result for the released slide representations and the processes used to produce them, not an image-unseen test of isolated foundation-model quality.</w:t>
      </w:r>
    </w:p>
    <w:p>
      <w:r>
        <w:t>Using all slides available for each patient, rather than only slide identifiers shared by the three representations, provided a sensitivity check on tissue-input matching. The primary comparison kept slide identifiers identical across representations; paired changes are reported with the other sensitivity analyses in the Supplement.</w:t>
      </w:r>
    </w:p>
    <w:p>
      <w:pPr>
        <w:jc w:val="center"/>
      </w:pPr>
      <w:r>
        <w:drawing>
          <wp:inline xmlns:a="http://schemas.openxmlformats.org/drawingml/2006/main" xmlns:pic="http://schemas.openxmlformats.org/drawingml/2006/picture">
            <wp:extent cx="5806440" cy="4112895"/>
            <wp:docPr id="1" name="Picture 1"/>
            <wp:cNvGraphicFramePr>
              <a:graphicFrameLocks noChangeAspect="1"/>
            </wp:cNvGraphicFramePr>
            <a:graphic>
              <a:graphicData uri="http://schemas.openxmlformats.org/drawingml/2006/picture">
                <pic:pic>
                  <pic:nvPicPr>
                    <pic:cNvPr id="0" name="Figure1_patient_overlap_venn.png"/>
                    <pic:cNvPicPr/>
                  </pic:nvPicPr>
                  <pic:blipFill>
                    <a:blip r:embed="rId23"/>
                    <a:stretch>
                      <a:fillRect/>
                    </a:stretch>
                  </pic:blipFill>
                  <pic:spPr>
                    <a:xfrm>
                      <a:off x="0" y="0"/>
                      <a:ext cx="5806440" cy="4112895"/>
                    </a:xfrm>
                    <a:prstGeom prst="rect"/>
                  </pic:spPr>
                </pic:pic>
              </a:graphicData>
            </a:graphic>
          </wp:inline>
        </w:drawing>
      </w:r>
    </w:p>
    <w:p>
      <w:pPr>
        <w:pStyle w:val="Caption"/>
        <w:jc w:val="center"/>
      </w:pPr>
      <w:r>
        <w:t>Figure 1. Patient and slide overlap across the three released TCGA representation datasets. TITAN contained 11,449 slides from 9,404 patients, Giga-SSL contained 11,427 slides from 9,378 patients and Prov-GigaPath contained 10,328 slides from 8,393 patients. The matched analysis used 8,241 patients. The exact common-slide intersection contained 10,165 slides, and 8,207 patients had identical slide sets across all three datasets. Region areas are schematic.</w:t>
      </w:r>
    </w:p>
    <w:p>
      <w:pPr>
        <w:pStyle w:val="Heading2"/>
      </w:pPr>
      <w:r>
        <w:t>Predictable tumour features and biological patterns</w:t>
      </w:r>
    </w:p>
    <w:p>
      <w:r>
        <w:t>The matched benchmark revealed its strongest and broadest biological signal in direct genomic alterations. At least one representation crossed the descriptive AUROC threshold in 157/243 mutation or fusion tasks, and all three crossed in 60/243. Composite genomic-context status, including MSI, genome doubling and oncogenic-pathway states, crossed in at least one representation for 119/183 tasks and in all three for 54/183. The continuous layer was more selective: at least one representation crossed for 40/413 sequencing-derived burdens, 105/279 transcriptomic signatures, 502/1456 RNA-derived pathway activities, 34/638 computationally inferred immune-cell fractions and 36/166 continuous genomic-context scores. All three crossed for 11, 45, 205, 13 and 11 tasks in these five classes. Figure 2 shows both class-level breadth and named cancer-specific examples.</w:t>
      </w:r>
    </w:p>
    <w:p>
      <w:r>
        <w:t>We first compared paired Q² and AUROC values without thresholding. Relative to TITAN, Giga-SSL effects had Spearman correlations of 0.815 for continuous tasks and 0.621 for binary tasks; the corresponding Prov-GigaPath correlations were 0.812 and 0.720. Median alternative-minus-TITAN differences were -0.044 Q² and -0.038 AUROC for Giga-SSL, and -0.047 Q² and -0.023 AUROC for Prov-GigaPath. The full paired distributions remain in the machine-readable comparison table; Figure 2 presents biological classes and named examples.</w:t>
      </w:r>
    </w:p>
    <w:p>
      <w:r>
        <w:t>We also examined TITAN and Prov-GigaPath separately because their reported pretraining corpora excluded TCGA. For continuous tasks, both slide representations crossed Q² 0.20 in 388/2,963 pairs, TITAN alone crossed in 281 and Prov-GigaPath alone in 51. TITAN had the higher Q² in 2,156 pairs and Prov-GigaPath in 807; the median Prov-GigaPath-minus-TITAN difference was -0.047 with a descriptive 95% cancer-cluster interval from -0.055 to -0.037. For binary tasks, both crossed AUROC 0.60 in 152/426 pairs, TITAN alone in 83 and Prov-GigaPath alone in 27. TITAN had the higher AUROC in 286 pairs and Prov-GigaPath in 140; the median difference was -0.023 (-0.033 to -0.014). These cancer-cluster intervals describe paired task effects and are not confidence intervals for external generalisation. This comparison reduces one known difference in reported training exposure but still compares the full process used to generate each slide representation.</w:t>
      </w:r>
    </w:p>
    <w:p>
      <w:r>
        <w:t>Normalising by eligible tasks, distinct feature definitions, endpoint family and cancer preserved the broad ordering of the three representations, but the rates varied because catalogue families differ in size and contain correlated outcomes. Table 1 and the machine-readable comparison give the denominators and full stratified results.</w:t>
      </w:r>
    </w:p>
    <w:p>
      <w:r>
        <w:t>At least one representation crossed the descriptive threshold for 1004/3,389 cancer-endpoint pairs (29.6%), covering 194/239 distinct feature definitions. Two or more crossed for 620 pairs, and all three for 410. These catalogue-dependent counts are not independent biological discoveries.</w:t>
      </w:r>
    </w:p>
    <w:p>
      <w:r>
        <w:t>The cross-representation genomic core included GTF2I, BRAF, IDH1, TP53, ATRX, CIC, FGFR3, APC and PTEN mutations, any called fusion, MSI status, genome doubling and several oncogenic-pathway states. These associations concentrated in biologically recognisable cancer contexts. The glioma results linked histology to IDH1, TP53, ATRX and CIC alterations and to TP53, HIPPO, WNT and RTK-RAS pathway states. Thyroid carcinoma showed strong BRAF and RTK-RAS signals, thymoma showed a strong GTF2I signal, bladder carcinoma retained FGFR3, and endometrial cancer retained PTEN, TP53, fusion and genome-doubling signals. COAD and STAD retained both strict and broader MSI definitions.</w:t>
      </w:r>
    </w:p>
    <w:p>
      <w:r>
        <w:t>Several direct or sequence-derived examples combined strong discrimination with agreement across representations and retention after TCGA tissue-source-site code grouping. THYM GTF2I mutation reached AUROC 0.911, 0.875, 0.879 for TITAN, Giga-SSL and Prov-GigaPath, respectively. THCA BRAF reached 0.888, 0.857, 0.870, LGG TP53 reached 0.908, 0.868, 0.867 and LGG IDH1 reached 0.837, 0.783, 0.815. COAD strict MSI reached AUROC 0.900, 0.846, 0.909 and PR-AUC 0.737, 0.612, 0.703, compared with a prevalence and no-skill PR-AUC reference of 0.150. Supplementary Table S4 reports the selected binary tumour-feature results.</w:t>
      </w:r>
    </w:p>
    <w:p>
      <w:r>
        <w:t>Fusion prediction produced a distinct set of results. Among 26 eligible binary fusion cancer-endpoint pairs, 13, 11, 11 crossed AUROC 0.60 with TITAN, Giga-SSL and Prov-GigaPath, respectively. All three crossed for 9 binary fusion pairs. For UCEC any called fusion, the matched cohort contained 80 positive cases among 152 patients; the AUROCs were 0.779, 0.678, 0.673. The complete fusion table also distinguishes called-fusion status, individual recurrent pairs and continuous fusion burden. These internally estimated signals prioritise cancer-specific fusion tasks for external testing rather than support one general fusion detector.</w:t>
      </w:r>
    </w:p>
    <w:p>
      <w:r>
        <w:t>The continuous results linked histology to selected inflammatory and tissue-context programmes rather than to every tested immune feature. For example, signals crossing in all three representations included TGCT TGF-beta response (Q² 0.575 to 0.681); THYM Th17 programme (Q² 0.448 to 0.596); BLCA leukocyte fraction (Q² 0.348 to 0.391); KIRP leukocyte fraction (Q² 0.367 to 0.413); THYM TCR diversity (Q² 0.332 to 0.442); each range spans the three representations. We treated these as agreement with bulk-transcriptomic, methylation-derived, repertoire or composite reference phenotypes rather than direct recovery of immune-cell abundance. The same-H&amp;E TIL Regional Fraction contributed 11 eligible tasks, which we excluded from the default cross-modal summary. Supplementary Table S5 reports selected continuous results, Supplementary Table S6 summarizes predictability by feature family, and Supplementary Table S7 provides the literature context for each tumour-feature class.</w:t>
      </w:r>
    </w:p>
    <w:p>
      <w:pPr>
        <w:jc w:val="center"/>
      </w:pPr>
      <w:r>
        <w:drawing>
          <wp:inline xmlns:a="http://schemas.openxmlformats.org/drawingml/2006/main" xmlns:pic="http://schemas.openxmlformats.org/drawingml/2006/picture">
            <wp:extent cx="5806440" cy="7377594"/>
            <wp:docPr id="2" name="Picture 2"/>
            <wp:cNvGraphicFramePr>
              <a:graphicFrameLocks noChangeAspect="1"/>
            </wp:cNvGraphicFramePr>
            <a:graphic>
              <a:graphicData uri="http://schemas.openxmlformats.org/drawingml/2006/picture">
                <pic:pic>
                  <pic:nvPicPr>
                    <pic:cNvPr id="0" name="Figure2_biological_predictability_map.png"/>
                    <pic:cNvPicPr/>
                  </pic:nvPicPr>
                  <pic:blipFill>
                    <a:blip r:embed="rId18"/>
                    <a:stretch>
                      <a:fillRect/>
                    </a:stretch>
                  </pic:blipFill>
                  <pic:spPr>
                    <a:xfrm>
                      <a:off x="0" y="0"/>
                      <a:ext cx="5806440" cy="7377594"/>
                    </a:xfrm>
                    <a:prstGeom prst="rect"/>
                  </pic:spPr>
                </pic:pic>
              </a:graphicData>
            </a:graphic>
          </wp:inline>
        </w:drawing>
      </w:r>
    </w:p>
    <w:p>
      <w:pPr>
        <w:pStyle w:val="Caption"/>
        <w:jc w:val="center"/>
      </w:pPr>
      <w:r>
        <w:t>Figure 2. Tumour-feature classes and selected cancer-specific examples. Panel A shows eligible pairs crossing Q²≥0.20 or AUROC≥0.60 in at least one or all three representations; 11 same-H&amp;E TIL-fraction tasks were excluded. Panels B and C show selected genomic and derived tissue-context outcomes that crossed in all three and retained the threshold after TCGA tissue-source-site code grouping. Blue, orange and green denote TITAN, Giga-SSL and Prov-GigaPath; right-hand labels name the highest observed effect. Grouped retention is an internal sensitivity, not external validation.</w:t>
      </w:r>
    </w:p>
    <w:p>
      <w:r>
        <w:t>The binary decision rule changed how many models met a balanced-accuracy threshold of 0.60. With empirical class priors, the counts were 87, 60 and 75 for TITAN, Giga-SSL and Prov-GigaPath. Equal priors gave 187, 116 and 119; training-derived thresholds gave 181, 112 and 126. AUROC and PR-AUC did not change because the underlying held-out scores were unchanged. Supplementary Table S8 summarizes this audit; full operating-point estimates, including predictive values, are available in the machine-readable results.</w:t>
      </w:r>
    </w:p>
    <w:p>
      <w:r>
        <w:t>Table 1. Tumour-feature classes with descriptive effect-threshold crossings. Percentages use eligible cancer-endpoint pairs within each class; values in brackets show distinct feature definitions. We evaluated some definitions in several cancers, so task counts are catalogue-dependent and do not represent independent biological discoveries.</w:t>
      </w:r>
    </w:p>
    <w:tbl>
      <w:tblPr>
        <w:tblStyle w:val="TableGrid"/>
        <w:tblW w:type="dxa" w:w="8276"/>
        <w:jc w:val="left"/>
        <w:tblLayout w:type="fixed"/>
        <w:tblLook w:firstColumn="1" w:firstRow="1" w:lastColumn="0" w:lastRow="0" w:noHBand="0" w:noVBand="1" w:val="04A0"/>
        <w:tblLayout w:type="fixed"/>
        <w:tblInd w:type="dxa" w:w="0"/>
      </w:tblPr>
      <w:tblGrid>
        <w:gridCol w:w="1644"/>
        <w:gridCol w:w="737"/>
        <w:gridCol w:w="1417"/>
        <w:gridCol w:w="1417"/>
        <w:gridCol w:w="3061"/>
      </w:tblGrid>
      <w:tr>
        <w:trPr>
          <w:tblHeader w:val="true"/>
          <w:cantSplit/>
        </w:trPr>
        <w:tc>
          <w:tcPr>
            <w:tcW w:type="dxa" w:w="1644"/>
            <w:shd w:fill="D9EAF7"/>
          </w:tcPr>
          <w:p>
            <w:pPr>
              <w:spacing w:line="240" w:lineRule="auto" w:after="0"/>
            </w:pPr>
            <w:r>
              <w:rPr>
                <w:b/>
                <w:sz w:val="16"/>
              </w:rPr>
              <w:t>Tumour-feature class</w:t>
            </w:r>
          </w:p>
        </w:tc>
        <w:tc>
          <w:tcPr>
            <w:tcW w:type="dxa" w:w="737"/>
            <w:shd w:fill="D9EAF7"/>
          </w:tcPr>
          <w:p>
            <w:pPr>
              <w:spacing w:line="240" w:lineRule="auto" w:after="0"/>
            </w:pPr>
            <w:r>
              <w:rPr>
                <w:b/>
                <w:sz w:val="16"/>
              </w:rPr>
              <w:t>N</w:t>
            </w:r>
          </w:p>
        </w:tc>
        <w:tc>
          <w:tcPr>
            <w:tcW w:type="dxa" w:w="1417"/>
            <w:shd w:fill="D9EAF7"/>
          </w:tcPr>
          <w:p>
            <w:pPr>
              <w:spacing w:line="240" w:lineRule="auto" w:after="0"/>
            </w:pPr>
            <w:r>
              <w:rPr>
                <w:b/>
                <w:sz w:val="16"/>
              </w:rPr>
              <w:t>Crossing in at least 1, n/N (%) [features]</w:t>
            </w:r>
          </w:p>
        </w:tc>
        <w:tc>
          <w:tcPr>
            <w:tcW w:type="dxa" w:w="1417"/>
            <w:shd w:fill="D9EAF7"/>
          </w:tcPr>
          <w:p>
            <w:pPr>
              <w:spacing w:line="240" w:lineRule="auto" w:after="0"/>
            </w:pPr>
            <w:r>
              <w:rPr>
                <w:b/>
                <w:sz w:val="16"/>
              </w:rPr>
              <w:t>Crossing in all 3, n/N (%) [features]</w:t>
            </w:r>
          </w:p>
        </w:tc>
        <w:tc>
          <w:tcPr>
            <w:tcW w:type="dxa" w:w="3061"/>
            <w:shd w:fill="D9EAF7"/>
          </w:tcPr>
          <w:p>
            <w:pPr>
              <w:spacing w:line="240" w:lineRule="auto" w:after="0"/>
            </w:pPr>
            <w:r>
              <w:rPr>
                <w:b/>
                <w:sz w:val="16"/>
              </w:rPr>
              <w:t>Examples shared by all 3</w:t>
            </w:r>
          </w:p>
        </w:tc>
      </w:tr>
      <w:tr>
        <w:trPr>
          <w:cantSplit/>
        </w:trPr>
        <w:tc>
          <w:tcPr>
            <w:tcW w:type="dxa" w:w="1644"/>
            <w:vAlign w:val="center"/>
          </w:tcPr>
          <w:p>
            <w:pPr>
              <w:spacing w:line="240" w:lineRule="auto" w:after="0"/>
            </w:pPr>
            <w:r>
              <w:rPr>
                <w:sz w:val="15"/>
              </w:rPr>
              <w:t>Direct genomic alterations</w:t>
            </w:r>
          </w:p>
        </w:tc>
        <w:tc>
          <w:tcPr>
            <w:tcW w:type="dxa" w:w="737"/>
            <w:vAlign w:val="center"/>
          </w:tcPr>
          <w:p>
            <w:pPr>
              <w:spacing w:line="240" w:lineRule="auto" w:after="0"/>
            </w:pPr>
            <w:r>
              <w:rPr>
                <w:sz w:val="15"/>
              </w:rPr>
              <w:t>243</w:t>
            </w:r>
          </w:p>
        </w:tc>
        <w:tc>
          <w:tcPr>
            <w:tcW w:type="dxa" w:w="1417"/>
            <w:vAlign w:val="center"/>
          </w:tcPr>
          <w:p>
            <w:pPr>
              <w:spacing w:line="240" w:lineRule="auto" w:after="0"/>
            </w:pPr>
            <w:r>
              <w:rPr>
                <w:sz w:val="15"/>
              </w:rPr>
              <w:t>157/243 (64.6%) [88]</w:t>
            </w:r>
          </w:p>
        </w:tc>
        <w:tc>
          <w:tcPr>
            <w:tcW w:type="dxa" w:w="1417"/>
            <w:vAlign w:val="center"/>
          </w:tcPr>
          <w:p>
            <w:pPr>
              <w:spacing w:line="240" w:lineRule="auto" w:after="0"/>
            </w:pPr>
            <w:r>
              <w:rPr>
                <w:sz w:val="15"/>
              </w:rPr>
              <w:t>60/243 (24.7%) [17]</w:t>
            </w:r>
          </w:p>
        </w:tc>
        <w:tc>
          <w:tcPr>
            <w:tcW w:type="dxa" w:w="3061"/>
            <w:vAlign w:val="center"/>
          </w:tcPr>
          <w:p>
            <w:pPr>
              <w:spacing w:line="240" w:lineRule="auto" w:after="0"/>
            </w:pPr>
            <w:r>
              <w:rPr>
                <w:sz w:val="15"/>
              </w:rPr>
              <w:t>GTF2I, BRAF, IDH1, TP53, ATRX, CIC, FGFR3, APC, PTEN and called fusions</w:t>
            </w:r>
          </w:p>
        </w:tc>
      </w:tr>
      <w:tr>
        <w:trPr>
          <w:cantSplit/>
        </w:trPr>
        <w:tc>
          <w:tcPr>
            <w:tcW w:type="dxa" w:w="1644"/>
            <w:vAlign w:val="center"/>
          </w:tcPr>
          <w:p>
            <w:pPr>
              <w:spacing w:line="240" w:lineRule="auto" w:after="0"/>
            </w:pPr>
            <w:r>
              <w:rPr>
                <w:sz w:val="15"/>
              </w:rPr>
              <w:t>Composite genomic-context status</w:t>
            </w:r>
          </w:p>
        </w:tc>
        <w:tc>
          <w:tcPr>
            <w:tcW w:type="dxa" w:w="737"/>
            <w:vAlign w:val="center"/>
          </w:tcPr>
          <w:p>
            <w:pPr>
              <w:spacing w:line="240" w:lineRule="auto" w:after="0"/>
            </w:pPr>
            <w:r>
              <w:rPr>
                <w:sz w:val="15"/>
              </w:rPr>
              <w:t>183</w:t>
            </w:r>
          </w:p>
        </w:tc>
        <w:tc>
          <w:tcPr>
            <w:tcW w:type="dxa" w:w="1417"/>
            <w:vAlign w:val="center"/>
          </w:tcPr>
          <w:p>
            <w:pPr>
              <w:spacing w:line="240" w:lineRule="auto" w:after="0"/>
            </w:pPr>
            <w:r>
              <w:rPr>
                <w:sz w:val="15"/>
              </w:rPr>
              <w:t>119/183 (65.0%) [7]</w:t>
            </w:r>
          </w:p>
        </w:tc>
        <w:tc>
          <w:tcPr>
            <w:tcW w:type="dxa" w:w="1417"/>
            <w:vAlign w:val="center"/>
          </w:tcPr>
          <w:p>
            <w:pPr>
              <w:spacing w:line="240" w:lineRule="auto" w:after="0"/>
            </w:pPr>
            <w:r>
              <w:rPr>
                <w:sz w:val="15"/>
              </w:rPr>
              <w:t>54/183 (29.5%) [7]</w:t>
            </w:r>
          </w:p>
        </w:tc>
        <w:tc>
          <w:tcPr>
            <w:tcW w:type="dxa" w:w="3061"/>
            <w:vAlign w:val="center"/>
          </w:tcPr>
          <w:p>
            <w:pPr>
              <w:spacing w:line="240" w:lineRule="auto" w:after="0"/>
            </w:pPr>
            <w:r>
              <w:rPr>
                <w:sz w:val="15"/>
              </w:rPr>
              <w:t>MSI, genome doubling and TP53, RTK-RAS, HIPPO, WNT and NOTCH pathway status</w:t>
            </w:r>
          </w:p>
        </w:tc>
      </w:tr>
      <w:tr>
        <w:trPr>
          <w:cantSplit/>
        </w:trPr>
        <w:tc>
          <w:tcPr>
            <w:tcW w:type="dxa" w:w="1644"/>
            <w:vAlign w:val="center"/>
          </w:tcPr>
          <w:p>
            <w:pPr>
              <w:spacing w:line="240" w:lineRule="auto" w:after="0"/>
            </w:pPr>
            <w:r>
              <w:rPr>
                <w:sz w:val="15"/>
              </w:rPr>
              <w:t>Sequencing-derived burdens</w:t>
            </w:r>
          </w:p>
        </w:tc>
        <w:tc>
          <w:tcPr>
            <w:tcW w:type="dxa" w:w="737"/>
            <w:vAlign w:val="center"/>
          </w:tcPr>
          <w:p>
            <w:pPr>
              <w:spacing w:line="240" w:lineRule="auto" w:after="0"/>
            </w:pPr>
            <w:r>
              <w:rPr>
                <w:sz w:val="15"/>
              </w:rPr>
              <w:t>413</w:t>
            </w:r>
          </w:p>
        </w:tc>
        <w:tc>
          <w:tcPr>
            <w:tcW w:type="dxa" w:w="1417"/>
            <w:vAlign w:val="center"/>
          </w:tcPr>
          <w:p>
            <w:pPr>
              <w:spacing w:line="240" w:lineRule="auto" w:after="0"/>
            </w:pPr>
            <w:r>
              <w:rPr>
                <w:sz w:val="15"/>
              </w:rPr>
              <w:t>40/413 (9.7%) [7]</w:t>
            </w:r>
          </w:p>
        </w:tc>
        <w:tc>
          <w:tcPr>
            <w:tcW w:type="dxa" w:w="1417"/>
            <w:vAlign w:val="center"/>
          </w:tcPr>
          <w:p>
            <w:pPr>
              <w:spacing w:line="240" w:lineRule="auto" w:after="0"/>
            </w:pPr>
            <w:r>
              <w:rPr>
                <w:sz w:val="15"/>
              </w:rPr>
              <w:t>11/413 (2.7%) [8]</w:t>
            </w:r>
          </w:p>
        </w:tc>
        <w:tc>
          <w:tcPr>
            <w:tcW w:type="dxa" w:w="3061"/>
            <w:vAlign w:val="center"/>
          </w:tcPr>
          <w:p>
            <w:pPr>
              <w:spacing w:line="240" w:lineRule="auto" w:after="0"/>
            </w:pPr>
            <w:r>
              <w:rPr>
                <w:sz w:val="15"/>
              </w:rPr>
              <w:t>MANTIS, aneuploidy, TCR diversity and SNV neoantigens</w:t>
            </w:r>
          </w:p>
        </w:tc>
      </w:tr>
      <w:tr>
        <w:trPr>
          <w:cantSplit/>
        </w:trPr>
        <w:tc>
          <w:tcPr>
            <w:tcW w:type="dxa" w:w="1644"/>
            <w:vAlign w:val="center"/>
          </w:tcPr>
          <w:p>
            <w:pPr>
              <w:spacing w:line="240" w:lineRule="auto" w:after="0"/>
            </w:pPr>
            <w:r>
              <w:rPr>
                <w:sz w:val="15"/>
              </w:rPr>
              <w:t>Transcriptomic signatures</w:t>
            </w:r>
          </w:p>
        </w:tc>
        <w:tc>
          <w:tcPr>
            <w:tcW w:type="dxa" w:w="737"/>
            <w:vAlign w:val="center"/>
          </w:tcPr>
          <w:p>
            <w:pPr>
              <w:spacing w:line="240" w:lineRule="auto" w:after="0"/>
            </w:pPr>
            <w:r>
              <w:rPr>
                <w:sz w:val="15"/>
              </w:rPr>
              <w:t>279</w:t>
            </w:r>
          </w:p>
        </w:tc>
        <w:tc>
          <w:tcPr>
            <w:tcW w:type="dxa" w:w="1417"/>
            <w:vAlign w:val="center"/>
          </w:tcPr>
          <w:p>
            <w:pPr>
              <w:spacing w:line="240" w:lineRule="auto" w:after="0"/>
            </w:pPr>
            <w:r>
              <w:rPr>
                <w:sz w:val="15"/>
              </w:rPr>
              <w:t>105/279 (37.6%) [13]</w:t>
            </w:r>
          </w:p>
        </w:tc>
        <w:tc>
          <w:tcPr>
            <w:tcW w:type="dxa" w:w="1417"/>
            <w:vAlign w:val="center"/>
          </w:tcPr>
          <w:p>
            <w:pPr>
              <w:spacing w:line="240" w:lineRule="auto" w:after="0"/>
            </w:pPr>
            <w:r>
              <w:rPr>
                <w:sz w:val="15"/>
              </w:rPr>
              <w:t>45/279 (16.1%) [12]</w:t>
            </w:r>
          </w:p>
        </w:tc>
        <w:tc>
          <w:tcPr>
            <w:tcW w:type="dxa" w:w="3061"/>
            <w:vAlign w:val="center"/>
          </w:tcPr>
          <w:p>
            <w:pPr>
              <w:spacing w:line="240" w:lineRule="auto" w:after="0"/>
            </w:pPr>
            <w:r>
              <w:rPr>
                <w:sz w:val="15"/>
              </w:rPr>
              <w:t>TGF-beta, IFN-gamma, proliferation, wound healing and Th1, Th2 and Th17 programmes</w:t>
            </w:r>
          </w:p>
        </w:tc>
      </w:tr>
      <w:tr>
        <w:trPr>
          <w:cantSplit/>
        </w:trPr>
        <w:tc>
          <w:tcPr>
            <w:tcW w:type="dxa" w:w="1644"/>
            <w:vAlign w:val="center"/>
          </w:tcPr>
          <w:p>
            <w:pPr>
              <w:spacing w:line="240" w:lineRule="auto" w:after="0"/>
            </w:pPr>
            <w:r>
              <w:rPr>
                <w:sz w:val="15"/>
              </w:rPr>
              <w:t>RNA-derived pathway activities</w:t>
            </w:r>
          </w:p>
        </w:tc>
        <w:tc>
          <w:tcPr>
            <w:tcW w:type="dxa" w:w="737"/>
            <w:vAlign w:val="center"/>
          </w:tcPr>
          <w:p>
            <w:pPr>
              <w:spacing w:line="240" w:lineRule="auto" w:after="0"/>
            </w:pPr>
            <w:r>
              <w:rPr>
                <w:sz w:val="15"/>
              </w:rPr>
              <w:t>1456</w:t>
            </w:r>
          </w:p>
        </w:tc>
        <w:tc>
          <w:tcPr>
            <w:tcW w:type="dxa" w:w="1417"/>
            <w:vAlign w:val="center"/>
          </w:tcPr>
          <w:p>
            <w:pPr>
              <w:spacing w:line="240" w:lineRule="auto" w:after="0"/>
            </w:pPr>
            <w:r>
              <w:rPr>
                <w:sz w:val="15"/>
              </w:rPr>
              <w:t>502/1456 (34.5%) [52]</w:t>
            </w:r>
          </w:p>
        </w:tc>
        <w:tc>
          <w:tcPr>
            <w:tcW w:type="dxa" w:w="1417"/>
            <w:vAlign w:val="center"/>
          </w:tcPr>
          <w:p>
            <w:pPr>
              <w:spacing w:line="240" w:lineRule="auto" w:after="0"/>
            </w:pPr>
            <w:r>
              <w:rPr>
                <w:sz w:val="15"/>
              </w:rPr>
              <w:t>205/1456 (14.1%) [41]</w:t>
            </w:r>
          </w:p>
        </w:tc>
        <w:tc>
          <w:tcPr>
            <w:tcW w:type="dxa" w:w="3061"/>
            <w:vAlign w:val="center"/>
          </w:tcPr>
          <w:p>
            <w:pPr>
              <w:spacing w:line="240" w:lineRule="auto" w:after="0"/>
            </w:pPr>
            <w:r>
              <w:rPr>
                <w:sz w:val="15"/>
              </w:rPr>
              <w:t>Hallmark glycolysis, angiogenesis, inflammatory response and E2F activity</w:t>
            </w:r>
          </w:p>
        </w:tc>
      </w:tr>
      <w:tr>
        <w:trPr>
          <w:cantSplit/>
        </w:trPr>
        <w:tc>
          <w:tcPr>
            <w:tcW w:type="dxa" w:w="1644"/>
            <w:vAlign w:val="center"/>
          </w:tcPr>
          <w:p>
            <w:pPr>
              <w:spacing w:line="240" w:lineRule="auto" w:after="0"/>
            </w:pPr>
            <w:r>
              <w:rPr>
                <w:sz w:val="15"/>
              </w:rPr>
              <w:t>Inferred immune-cell fractions</w:t>
            </w:r>
          </w:p>
        </w:tc>
        <w:tc>
          <w:tcPr>
            <w:tcW w:type="dxa" w:w="737"/>
            <w:vAlign w:val="center"/>
          </w:tcPr>
          <w:p>
            <w:pPr>
              <w:spacing w:line="240" w:lineRule="auto" w:after="0"/>
            </w:pPr>
            <w:r>
              <w:rPr>
                <w:sz w:val="15"/>
              </w:rPr>
              <w:t>638</w:t>
            </w:r>
          </w:p>
        </w:tc>
        <w:tc>
          <w:tcPr>
            <w:tcW w:type="dxa" w:w="1417"/>
            <w:vAlign w:val="center"/>
          </w:tcPr>
          <w:p>
            <w:pPr>
              <w:spacing w:line="240" w:lineRule="auto" w:after="0"/>
            </w:pPr>
            <w:r>
              <w:rPr>
                <w:sz w:val="15"/>
              </w:rPr>
              <w:t>34/638 (5.3%) [9]</w:t>
            </w:r>
          </w:p>
        </w:tc>
        <w:tc>
          <w:tcPr>
            <w:tcW w:type="dxa" w:w="1417"/>
            <w:vAlign w:val="center"/>
          </w:tcPr>
          <w:p>
            <w:pPr>
              <w:spacing w:line="240" w:lineRule="auto" w:after="0"/>
            </w:pPr>
            <w:r>
              <w:rPr>
                <w:sz w:val="15"/>
              </w:rPr>
              <w:t>13/638 (2.0%) [5]</w:t>
            </w:r>
          </w:p>
        </w:tc>
        <w:tc>
          <w:tcPr>
            <w:tcW w:type="dxa" w:w="3061"/>
            <w:vAlign w:val="center"/>
          </w:tcPr>
          <w:p>
            <w:pPr>
              <w:spacing w:line="240" w:lineRule="auto" w:after="0"/>
            </w:pPr>
            <w:r>
              <w:rPr>
                <w:sz w:val="15"/>
              </w:rPr>
              <w:t>leukocyte, naive B-cell, M2-macrophage and regulatory T-cell fractions</w:t>
            </w:r>
          </w:p>
        </w:tc>
      </w:tr>
      <w:tr>
        <w:trPr>
          <w:cantSplit/>
        </w:trPr>
        <w:tc>
          <w:tcPr>
            <w:tcW w:type="dxa" w:w="1644"/>
            <w:vAlign w:val="center"/>
          </w:tcPr>
          <w:p>
            <w:pPr>
              <w:spacing w:line="240" w:lineRule="auto" w:after="0"/>
            </w:pPr>
            <w:r>
              <w:rPr>
                <w:sz w:val="15"/>
              </w:rPr>
              <w:t>Continuous genomic-context scores</w:t>
            </w:r>
          </w:p>
        </w:tc>
        <w:tc>
          <w:tcPr>
            <w:tcW w:type="dxa" w:w="737"/>
            <w:vAlign w:val="center"/>
          </w:tcPr>
          <w:p>
            <w:pPr>
              <w:spacing w:line="240" w:lineRule="auto" w:after="0"/>
            </w:pPr>
            <w:r>
              <w:rPr>
                <w:sz w:val="15"/>
              </w:rPr>
              <w:t>166</w:t>
            </w:r>
          </w:p>
        </w:tc>
        <w:tc>
          <w:tcPr>
            <w:tcW w:type="dxa" w:w="1417"/>
            <w:vAlign w:val="center"/>
          </w:tcPr>
          <w:p>
            <w:pPr>
              <w:spacing w:line="240" w:lineRule="auto" w:after="0"/>
            </w:pPr>
            <w:r>
              <w:rPr>
                <w:sz w:val="15"/>
              </w:rPr>
              <w:t>36/166 (21.7%) [6]</w:t>
            </w:r>
          </w:p>
        </w:tc>
        <w:tc>
          <w:tcPr>
            <w:tcW w:type="dxa" w:w="1417"/>
            <w:vAlign w:val="center"/>
          </w:tcPr>
          <w:p>
            <w:pPr>
              <w:spacing w:line="240" w:lineRule="auto" w:after="0"/>
            </w:pPr>
            <w:r>
              <w:rPr>
                <w:sz w:val="15"/>
              </w:rPr>
              <w:t>11/166 (6.6%) [5]</w:t>
            </w:r>
          </w:p>
        </w:tc>
        <w:tc>
          <w:tcPr>
            <w:tcW w:type="dxa" w:w="3061"/>
            <w:vAlign w:val="center"/>
          </w:tcPr>
          <w:p>
            <w:pPr>
              <w:spacing w:line="240" w:lineRule="auto" w:after="0"/>
            </w:pPr>
            <w:r>
              <w:rPr>
                <w:sz w:val="15"/>
              </w:rPr>
              <w:t>aneuploidy, fraction altered, homologous-recombination defects, segment count and stromal fraction</w:t>
            </w:r>
          </w:p>
        </w:tc>
      </w:tr>
      <w:tr>
        <w:trPr>
          <w:cantSplit/>
        </w:trPr>
        <w:tc>
          <w:tcPr>
            <w:tcW w:type="dxa" w:w="1644"/>
            <w:vAlign w:val="center"/>
          </w:tcPr>
          <w:p>
            <w:pPr>
              <w:spacing w:line="240" w:lineRule="auto" w:after="0"/>
            </w:pPr>
            <w:r>
              <w:rPr>
                <w:sz w:val="15"/>
              </w:rPr>
              <w:t>Same-H&amp;E TIL fraction</w:t>
            </w:r>
          </w:p>
        </w:tc>
        <w:tc>
          <w:tcPr>
            <w:tcW w:type="dxa" w:w="737"/>
            <w:vAlign w:val="center"/>
          </w:tcPr>
          <w:p>
            <w:pPr>
              <w:spacing w:line="240" w:lineRule="auto" w:after="0"/>
            </w:pPr>
            <w:r>
              <w:rPr>
                <w:sz w:val="15"/>
              </w:rPr>
              <w:t>11</w:t>
            </w:r>
          </w:p>
        </w:tc>
        <w:tc>
          <w:tcPr>
            <w:tcW w:type="dxa" w:w="1417"/>
            <w:vAlign w:val="center"/>
          </w:tcPr>
          <w:p>
            <w:pPr>
              <w:spacing w:line="240" w:lineRule="auto" w:after="0"/>
            </w:pPr>
            <w:r>
              <w:rPr>
                <w:sz w:val="15"/>
              </w:rPr>
              <w:t>11/11 (100.0%) [2]</w:t>
            </w:r>
          </w:p>
        </w:tc>
        <w:tc>
          <w:tcPr>
            <w:tcW w:type="dxa" w:w="1417"/>
            <w:vAlign w:val="center"/>
          </w:tcPr>
          <w:p>
            <w:pPr>
              <w:spacing w:line="240" w:lineRule="auto" w:after="0"/>
            </w:pPr>
            <w:r>
              <w:rPr>
                <w:sz w:val="15"/>
              </w:rPr>
              <w:t>11/11 (100.0%) [2]</w:t>
            </w:r>
          </w:p>
        </w:tc>
        <w:tc>
          <w:tcPr>
            <w:tcW w:type="dxa" w:w="3061"/>
            <w:vAlign w:val="center"/>
          </w:tcPr>
          <w:p>
            <w:pPr>
              <w:spacing w:line="240" w:lineRule="auto" w:after="0"/>
            </w:pPr>
            <w:r>
              <w:rPr>
                <w:sz w:val="15"/>
              </w:rPr>
              <w:t>TIL Regional Fraction</w:t>
            </w:r>
          </w:p>
        </w:tc>
      </w:tr>
    </w:tbl>
    <w:p/>
    <w:p>
      <w:r>
        <w:t>Supplementary Table S9 documents endpoint provenance, derivation and assay-equivalence limitations. Table 2 summarizes pathology-quality, pooling and molecular-slide linkage constraints.</w:t>
      </w:r>
    </w:p>
    <w:p>
      <w:pPr>
        <w:keepNext/>
      </w:pPr>
      <w:r>
        <w:t>Table 2. Pathology-quality, pooling and molecular-slide linkage constraints. Linkage refers to the released identifier resolution. A shared 15-character TCGA sample barcode does not establish identity of the tissue portion, analyte, aliquot, block, tumour region or subclone.</w:t>
      </w:r>
    </w:p>
    <w:tbl>
      <w:tblPr>
        <w:tblStyle w:val="TableGrid"/>
        <w:tblW w:type="dxa" w:w="8505"/>
        <w:jc w:val="left"/>
        <w:tblLayout w:type="fixed"/>
        <w:tblLook w:firstColumn="1" w:firstRow="1" w:lastColumn="0" w:lastRow="0" w:noHBand="0" w:noVBand="1" w:val="04A0"/>
        <w:tblLayout w:type="fixed"/>
        <w:tblInd w:type="dxa" w:w="0"/>
      </w:tblPr>
      <w:tblGrid>
        <w:gridCol w:w="1701"/>
        <w:gridCol w:w="2098"/>
        <w:gridCol w:w="2098"/>
        <w:gridCol w:w="2608"/>
      </w:tblGrid>
      <w:tr>
        <w:trPr>
          <w:tblHeader w:val="true"/>
          <w:cantSplit/>
        </w:trPr>
        <w:tc>
          <w:tcPr>
            <w:tcW w:type="dxa" w:w="1701"/>
            <w:shd w:fill="D9EAF7"/>
          </w:tcPr>
          <w:p>
            <w:pPr>
              <w:spacing w:line="240" w:lineRule="auto" w:after="0"/>
            </w:pPr>
            <w:r>
              <w:rPr>
                <w:b/>
                <w:sz w:val="13"/>
              </w:rPr>
              <w:t>Area or endpoint source</w:t>
            </w:r>
          </w:p>
        </w:tc>
        <w:tc>
          <w:tcPr>
            <w:tcW w:type="dxa" w:w="2098"/>
            <w:shd w:fill="D9EAF7"/>
          </w:tcPr>
          <w:p>
            <w:pPr>
              <w:spacing w:line="240" w:lineRule="auto" w:after="0"/>
            </w:pPr>
            <w:r>
              <w:rPr>
                <w:b/>
                <w:sz w:val="13"/>
              </w:rPr>
              <w:t>Available linkage or rule</w:t>
            </w:r>
          </w:p>
        </w:tc>
        <w:tc>
          <w:tcPr>
            <w:tcW w:type="dxa" w:w="2098"/>
            <w:shd w:fill="D9EAF7"/>
          </w:tcPr>
          <w:p>
            <w:pPr>
              <w:spacing w:line="240" w:lineRule="auto" w:after="0"/>
            </w:pPr>
            <w:r>
              <w:rPr>
                <w:b/>
                <w:sz w:val="13"/>
              </w:rPr>
              <w:t>Observed extent</w:t>
            </w:r>
          </w:p>
        </w:tc>
        <w:tc>
          <w:tcPr>
            <w:tcW w:type="dxa" w:w="2608"/>
            <w:shd w:fill="D9EAF7"/>
          </w:tcPr>
          <w:p>
            <w:pPr>
              <w:spacing w:line="240" w:lineRule="auto" w:after="0"/>
            </w:pPr>
            <w:r>
              <w:rPr>
                <w:b/>
                <w:sz w:val="13"/>
              </w:rPr>
              <w:t>Remaining limitation</w:t>
            </w:r>
          </w:p>
        </w:tc>
      </w:tr>
      <w:tr>
        <w:trPr>
          <w:cantSplit/>
        </w:trPr>
        <w:tc>
          <w:tcPr>
            <w:tcW w:type="dxa" w:w="1701"/>
            <w:vAlign w:val="center"/>
          </w:tcPr>
          <w:p>
            <w:pPr>
              <w:spacing w:line="240" w:lineRule="auto" w:after="0"/>
            </w:pPr>
            <w:r>
              <w:rPr>
                <w:sz w:val="12"/>
              </w:rPr>
              <w:t>Structured pathology quality</w:t>
            </w:r>
          </w:p>
        </w:tc>
        <w:tc>
          <w:tcPr>
            <w:tcW w:type="dxa" w:w="2098"/>
            <w:vAlign w:val="center"/>
          </w:tcPr>
          <w:p>
            <w:pPr>
              <w:spacing w:line="240" w:lineRule="auto" w:after="0"/>
            </w:pPr>
            <w:r>
              <w:rPr>
                <w:sz w:val="12"/>
              </w:rPr>
              <w:t>Primary-tumour sample type and diagnostic-slide filename</w:t>
            </w:r>
          </w:p>
        </w:tc>
        <w:tc>
          <w:tcPr>
            <w:tcW w:type="dxa" w:w="2098"/>
            <w:vAlign w:val="center"/>
          </w:tcPr>
          <w:p>
            <w:pPr>
              <w:spacing w:line="240" w:lineRule="auto" w:after="0"/>
            </w:pPr>
            <w:r>
              <w:rPr>
                <w:sz w:val="12"/>
              </w:rPr>
              <w:t>No structured tumour cellularity, tissue area, artefact, biopsy/resection or slide-quality field</w:t>
            </w:r>
          </w:p>
        </w:tc>
        <w:tc>
          <w:tcPr>
            <w:tcW w:type="dxa" w:w="2608"/>
            <w:vAlign w:val="center"/>
          </w:tcPr>
          <w:p>
            <w:pPr>
              <w:spacing w:line="240" w:lineRule="auto" w:after="0"/>
            </w:pPr>
            <w:r>
              <w:rPr>
                <w:sz w:val="12"/>
              </w:rPr>
              <w:t>Slide eligibility and weighting were not pathology adjudicated</w:t>
            </w:r>
          </w:p>
        </w:tc>
      </w:tr>
      <w:tr>
        <w:trPr>
          <w:cantSplit/>
        </w:trPr>
        <w:tc>
          <w:tcPr>
            <w:tcW w:type="dxa" w:w="1701"/>
            <w:vAlign w:val="center"/>
          </w:tcPr>
          <w:p>
            <w:pPr>
              <w:spacing w:line="240" w:lineRule="auto" w:after="0"/>
            </w:pPr>
            <w:r>
              <w:rPr>
                <w:sz w:val="12"/>
              </w:rPr>
              <w:t>Multiple diagnostic slides</w:t>
            </w:r>
          </w:p>
        </w:tc>
        <w:tc>
          <w:tcPr>
            <w:tcW w:type="dxa" w:w="2098"/>
            <w:vAlign w:val="center"/>
          </w:tcPr>
          <w:p>
            <w:pPr>
              <w:spacing w:line="240" w:lineRule="auto" w:after="0"/>
            </w:pPr>
            <w:r>
              <w:rPr>
                <w:sz w:val="12"/>
              </w:rPr>
              <w:t>Arithmetic patient mean; slide weight 1/n within patient</w:t>
            </w:r>
          </w:p>
        </w:tc>
        <w:tc>
          <w:tcPr>
            <w:tcW w:type="dxa" w:w="2098"/>
            <w:vAlign w:val="center"/>
          </w:tcPr>
          <w:p>
            <w:pPr>
              <w:spacing w:line="240" w:lineRule="auto" w:after="0"/>
            </w:pPr>
            <w:r>
              <w:rPr>
                <w:sz w:val="12"/>
              </w:rPr>
              <w:t>843/9,404 TITAN patients had more than one slide; maximum 30</w:t>
            </w:r>
          </w:p>
        </w:tc>
        <w:tc>
          <w:tcPr>
            <w:tcW w:type="dxa" w:w="2608"/>
            <w:vAlign w:val="center"/>
          </w:tcPr>
          <w:p>
            <w:pPr>
              <w:spacing w:line="240" w:lineRule="auto" w:after="0"/>
            </w:pPr>
            <w:r>
              <w:rPr>
                <w:sz w:val="12"/>
              </w:rPr>
              <w:t>Prevents participant over-weighting and leakage but cannot ensure tumour representativeness</w:t>
            </w:r>
          </w:p>
        </w:tc>
      </w:tr>
      <w:tr>
        <w:trPr>
          <w:cantSplit/>
        </w:trPr>
        <w:tc>
          <w:tcPr>
            <w:tcW w:type="dxa" w:w="1701"/>
            <w:vAlign w:val="center"/>
          </w:tcPr>
          <w:p>
            <w:pPr>
              <w:spacing w:line="240" w:lineRule="auto" w:after="0"/>
            </w:pPr>
            <w:r>
              <w:rPr>
                <w:sz w:val="12"/>
              </w:rPr>
              <w:t>Thorsson PanImmune</w:t>
            </w:r>
          </w:p>
        </w:tc>
        <w:tc>
          <w:tcPr>
            <w:tcW w:type="dxa" w:w="2098"/>
            <w:vAlign w:val="center"/>
          </w:tcPr>
          <w:p>
            <w:pPr>
              <w:spacing w:line="240" w:lineRule="auto" w:after="0"/>
            </w:pPr>
            <w:r>
              <w:rPr>
                <w:sz w:val="12"/>
              </w:rPr>
              <w:t>Participant identifier only</w:t>
            </w:r>
          </w:p>
        </w:tc>
        <w:tc>
          <w:tcPr>
            <w:tcW w:type="dxa" w:w="2098"/>
            <w:vAlign w:val="center"/>
          </w:tcPr>
          <w:p>
            <w:pPr>
              <w:spacing w:line="240" w:lineRule="auto" w:after="0"/>
            </w:pPr>
            <w:r>
              <w:rPr>
                <w:sz w:val="12"/>
              </w:rPr>
              <w:t>9,235 participant-linked patients</w:t>
            </w:r>
          </w:p>
        </w:tc>
        <w:tc>
          <w:tcPr>
            <w:tcW w:type="dxa" w:w="2608"/>
            <w:vAlign w:val="center"/>
          </w:tcPr>
          <w:p>
            <w:pPr>
              <w:spacing w:line="240" w:lineRule="auto" w:after="0"/>
            </w:pPr>
            <w:r>
              <w:rPr>
                <w:sz w:val="12"/>
              </w:rPr>
              <w:t>The WSI and reference phenotype may derive from different tumour specimens</w:t>
            </w:r>
          </w:p>
        </w:tc>
      </w:tr>
      <w:tr>
        <w:trPr>
          <w:cantSplit/>
        </w:trPr>
        <w:tc>
          <w:tcPr>
            <w:tcW w:type="dxa" w:w="1701"/>
            <w:vAlign w:val="center"/>
          </w:tcPr>
          <w:p>
            <w:pPr>
              <w:spacing w:line="240" w:lineRule="auto" w:after="0"/>
            </w:pPr>
            <w:r>
              <w:rPr>
                <w:sz w:val="12"/>
              </w:rPr>
              <w:t>Taylor aneuploidy</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8,667/8,667 exact sample matches</w:t>
            </w:r>
          </w:p>
        </w:tc>
        <w:tc>
          <w:tcPr>
            <w:tcW w:type="dxa" w:w="2608"/>
            <w:vAlign w:val="center"/>
          </w:tcPr>
          <w:p>
            <w:pPr>
              <w:spacing w:line="240" w:lineRule="auto" w:after="0"/>
            </w:pPr>
            <w:r>
              <w:rPr>
                <w:sz w:val="12"/>
              </w:rPr>
              <w:t>Portion, analyte, aliquot, block and tumour region remain unresolved</w:t>
            </w:r>
          </w:p>
        </w:tc>
      </w:tr>
      <w:tr>
        <w:trPr>
          <w:cantSplit/>
        </w:trPr>
        <w:tc>
          <w:tcPr>
            <w:tcW w:type="dxa" w:w="1701"/>
            <w:vAlign w:val="center"/>
          </w:tcPr>
          <w:p>
            <w:pPr>
              <w:spacing w:line="240" w:lineRule="auto" w:after="0"/>
            </w:pPr>
            <w:r>
              <w:rPr>
                <w:sz w:val="12"/>
              </w:rPr>
              <w:t>Sanchez-Vega pathways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7,789/7,789 exact sample matches</w:t>
            </w:r>
          </w:p>
        </w:tc>
        <w:tc>
          <w:tcPr>
            <w:tcW w:type="dxa" w:w="2608"/>
            <w:vAlign w:val="center"/>
          </w:tcPr>
          <w:p>
            <w:pPr>
              <w:spacing w:line="240" w:lineRule="auto" w:after="0"/>
            </w:pPr>
            <w:r>
              <w:rPr>
                <w:sz w:val="12"/>
              </w:rPr>
              <w:t>Portion, analyte, aliquot, block and tumour region remain unresolved</w:t>
            </w:r>
          </w:p>
        </w:tc>
      </w:tr>
      <w:tr>
        <w:trPr>
          <w:cantSplit/>
        </w:trPr>
        <w:tc>
          <w:tcPr>
            <w:tcW w:type="dxa" w:w="1701"/>
            <w:vAlign w:val="center"/>
          </w:tcPr>
          <w:p>
            <w:pPr>
              <w:spacing w:line="240" w:lineRule="auto" w:after="0"/>
            </w:pPr>
            <w:r>
              <w:rPr>
                <w:sz w:val="12"/>
              </w:rPr>
              <w:t>Gao fusion calls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8,068/8,068 exact sample matches</w:t>
            </w:r>
          </w:p>
        </w:tc>
        <w:tc>
          <w:tcPr>
            <w:tcW w:type="dxa" w:w="2608"/>
            <w:vAlign w:val="center"/>
          </w:tcPr>
          <w:p>
            <w:pPr>
              <w:spacing w:line="240" w:lineRule="auto" w:after="0"/>
            </w:pPr>
            <w:r>
              <w:rPr>
                <w:sz w:val="12"/>
              </w:rPr>
              <w:t>RNA aliquot, block identity and within-tumour fusion heterogeneity remain unresolved</w:t>
            </w:r>
          </w:p>
        </w:tc>
      </w:tr>
      <w:tr>
        <w:trPr>
          <w:cantSplit/>
        </w:trPr>
        <w:tc>
          <w:tcPr>
            <w:tcW w:type="dxa" w:w="1701"/>
            <w:vAlign w:val="center"/>
          </w:tcPr>
          <w:p>
            <w:pPr>
              <w:spacing w:line="240" w:lineRule="auto" w:after="0"/>
            </w:pPr>
            <w:r>
              <w:rPr>
                <w:sz w:val="12"/>
              </w:rPr>
              <w:t>cBioPortal MSI</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8,964/8,964 exact sample matches</w:t>
            </w:r>
          </w:p>
        </w:tc>
        <w:tc>
          <w:tcPr>
            <w:tcW w:type="dxa" w:w="2608"/>
            <w:vAlign w:val="center"/>
          </w:tcPr>
          <w:p>
            <w:pPr>
              <w:spacing w:line="240" w:lineRule="auto" w:after="0"/>
            </w:pPr>
            <w:r>
              <w:rPr>
                <w:sz w:val="12"/>
              </w:rPr>
              <w:t>Molecular aliquot, slide block and tumour region remain unresolved</w:t>
            </w:r>
          </w:p>
        </w:tc>
      </w:tr>
      <w:tr>
        <w:trPr>
          <w:cantSplit/>
        </w:trPr>
        <w:tc>
          <w:tcPr>
            <w:tcW w:type="dxa" w:w="1701"/>
            <w:vAlign w:val="center"/>
          </w:tcPr>
          <w:p>
            <w:pPr>
              <w:spacing w:line="240" w:lineRule="auto" w:after="0"/>
            </w:pPr>
            <w:r>
              <w:rPr>
                <w:sz w:val="12"/>
              </w:rPr>
              <w:t>MC3 mutation calls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8,482/8,482 exact sample matches</w:t>
            </w:r>
          </w:p>
        </w:tc>
        <w:tc>
          <w:tcPr>
            <w:tcW w:type="dxa" w:w="2608"/>
            <w:vAlign w:val="center"/>
          </w:tcPr>
          <w:p>
            <w:pPr>
              <w:spacing w:line="240" w:lineRule="auto" w:after="0"/>
            </w:pPr>
            <w:r>
              <w:rPr>
                <w:sz w:val="12"/>
              </w:rPr>
              <w:t>Portion, analyte, aliquot, block, region and subclone remain unresolved</w:t>
            </w:r>
          </w:p>
        </w:tc>
      </w:tr>
    </w:tbl>
    <w:p/>
    <w:p>
      <w:r>
        <w:t>Across all 993 cross-modal cancer-endpoint pairs reaching the threshold in at least one representation, TITAN produced the highest observed Q² or AUROC for 744 (74.9%), Prov-GigaPath for 149 (15.0%) and Giga-SSL for 100 (10.1%). TITAN led most transcriptomic signatures, direct genomic alterations and both genomic-context classes. Prov-GigaPath contributed its largest relative share among sequencing-derived burdens, where it led 10/40 pairs. Giga-SSL led 21/119 composite binary pairs, including selected RTK-RAS, cell-cycle and genome-doubling tasks. Figure 3 reports every feature-class distribution. These counts identify the highest observed internal estimate under the common PLS-based probe and do not test intrinsic foundation-model superiority.</w:t>
      </w:r>
    </w:p>
    <w:p>
      <w:pPr>
        <w:jc w:val="center"/>
      </w:pPr>
      <w:r>
        <w:drawing>
          <wp:inline xmlns:a="http://schemas.openxmlformats.org/drawingml/2006/main" xmlns:pic="http://schemas.openxmlformats.org/drawingml/2006/picture">
            <wp:extent cx="5806440" cy="2903220"/>
            <wp:docPr id="3" name="Picture 3"/>
            <wp:cNvGraphicFramePr>
              <a:graphicFrameLocks noChangeAspect="1"/>
            </wp:cNvGraphicFramePr>
            <a:graphic>
              <a:graphicData uri="http://schemas.openxmlformats.org/drawingml/2006/picture">
                <pic:pic>
                  <pic:nvPicPr>
                    <pic:cNvPr id="0" name="Figure3_foundation_model_leadership.png"/>
                    <pic:cNvPicPr/>
                  </pic:nvPicPr>
                  <pic:blipFill>
                    <a:blip r:embed="rId24"/>
                    <a:stretch>
                      <a:fillRect/>
                    </a:stretch>
                  </pic:blipFill>
                  <pic:spPr>
                    <a:xfrm>
                      <a:off x="0" y="0"/>
                      <a:ext cx="5806440" cy="2903220"/>
                    </a:xfrm>
                    <a:prstGeom prst="rect"/>
                  </pic:spPr>
                </pic:pic>
              </a:graphicData>
            </a:graphic>
          </wp:inline>
        </w:drawing>
      </w:r>
    </w:p>
    <w:p>
      <w:pPr>
        <w:pStyle w:val="Caption"/>
        <w:jc w:val="center"/>
      </w:pPr>
      <w:r>
        <w:t>Figure 3. Leading slide representation by tumour-feature class. The analysis includes 993 cross-modal cancer-endpoint pairs that reached Q² at least 0.20 or AUROC at least 0.60 in at least one representation. Within each pair, the leading representation had the highest patient-level out-of-fold Q² for a continuous endpoint or AUROC for a binary endpoint under the common PLS-based probe. Labels inside segments at least 7% wide give pair counts; narrow segments remain visible without a number. Small paired differences may represent near-ties, and the descriptive rank does not establish intrinsic model superiority or external transportability.</w:t>
      </w:r>
    </w:p>
    <w:p>
      <w:pPr>
        <w:pStyle w:val="Heading2"/>
      </w:pPr>
      <w:r>
        <w:t>Partition and probe sensitivity</w:t>
      </w:r>
    </w:p>
    <w:p>
      <w:r>
        <w:t>We repeated the matched analysis with five new sets of patient folds. Among continuous pairs, 521 of 991 TITAN pairs crossed the effect threshold in every repeat, compared with 249 for Giga-SSL and 332 for Prov-GigaPath. For binary pairs, the corresponding counts were 170, 97 and 108 of 369. The threshold-based consensus category was unchanged in all five repeats for 456 of 991 continuous and 120 of 369 binary pairs. The representation with the highest observed performance remained the same in every repeat for 593 continuous and 144 binary pairs. The machine-readable files provide paired effects and crossing frequencies for every repeated pair. We use threshold categories to navigate the atlas, not as fixed evidence grades.</w:t>
      </w:r>
    </w:p>
    <w:p>
      <w:r>
        <w:t>Holding complete TCGA tissue-source-site codes apart changed which associations met the descriptive thresholds. The grouped analysis retained 182/235 TITAN, 96/161 Giga-SSL and 117/179 Prov-GigaPath binary crossings. The corresponding continuous counts were 463/669, 204/351 and 236/439. For READ APC mutation, Giga-SSL AUROC fell from 0.905 to 0.533 and Prov-GigaPath from 0.924 to 0.517; this task also had sparse grouped folds. Matched-random controls accounted for outer-fold size and binary class balance but did not remove all attenuation. Grouped performance is an internal cohort-structure sensitivity, not external validation or proof of technical confounding.</w:t>
      </w:r>
    </w:p>
    <w:p>
      <w:r>
        <w:t>Grouped-fold adequacy was heterogeneous. Tasks contained 4-35 contributing codes; outer test sets ranged from 1 to 317 patients, and 18 tasks used four rather than five folds. Among 276 binary tasks, 40 had a single-class outer test fold, 113 had a single-class inner validation fold and 1 had a single-class inner training fold. Minimum outer training counts were 1 positive and 5 negative patients; minimum inner training counts were 0 and 1. The sparse-fold warning applied to 161/276 binary and 204/728 continuous tasks. Metrics pooled all outer held-out predictions; we did not calculate or interpret a stand-alone AUROC for a single-class fold.</w:t>
      </w:r>
    </w:p>
    <w:p>
      <w:r>
        <w:t>Representation ordering depended on the downstream analysis. In the symmetric metadata-stratified sensitivity, ridge retained the PLS-leading representation for 22/29 binary and 11/15 continuous targets. The primary atlas therefore compares the released representations under the specified 1-to-20-component PLS-based probe. Selected-component distributions, ceiling selection and feature-variance checks are reported for every representation.</w:t>
      </w:r>
    </w:p>
    <w:p>
      <w:r>
        <w:t>Figure 4 shows patient-level predictions for the published TGCT TGF-beta Response expression signature, a strong shared continuous example. We plotted every held-out patient once for each representation, using the same observed reference values and the model-specific outer-fold prediction. This published signature is distinct from the separately modelled MSigDB Hallmark TGF-beta signaling score.</w:t>
      </w:r>
    </w:p>
    <w:p>
      <w:pPr>
        <w:jc w:val="center"/>
      </w:pPr>
      <w:r>
        <w:drawing>
          <wp:inline xmlns:a="http://schemas.openxmlformats.org/drawingml/2006/main" xmlns:pic="http://schemas.openxmlformats.org/drawingml/2006/picture">
            <wp:extent cx="5806440" cy="2375362"/>
            <wp:docPr id="4" name="Picture 4"/>
            <wp:cNvGraphicFramePr>
              <a:graphicFrameLocks noChangeAspect="1"/>
            </wp:cNvGraphicFramePr>
            <a:graphic>
              <a:graphicData uri="http://schemas.openxmlformats.org/drawingml/2006/picture">
                <pic:pic>
                  <pic:nvPicPr>
                    <pic:cNvPr id="0" name="Figure4_observed_vs_predicted_TGCT_TGFbeta.png"/>
                    <pic:cNvPicPr/>
                  </pic:nvPicPr>
                  <pic:blipFill>
                    <a:blip r:embed="rId19"/>
                    <a:stretch>
                      <a:fillRect/>
                    </a:stretch>
                  </pic:blipFill>
                  <pic:spPr>
                    <a:xfrm>
                      <a:off x="0" y="0"/>
                      <a:ext cx="5806440" cy="2375362"/>
                    </a:xfrm>
                    <a:prstGeom prst="rect"/>
                  </pic:spPr>
                </pic:pic>
              </a:graphicData>
            </a:graphic>
          </wp:inline>
        </w:drawing>
      </w:r>
    </w:p>
    <w:p>
      <w:pPr>
        <w:pStyle w:val="Caption"/>
        <w:jc w:val="center"/>
      </w:pPr>
      <w:r>
        <w:t>Figure 4. Observed published TGCT TGF-beta Response values and patient-level out-of-fold predictions from TITAN, Giga-SSL and Prov-GigaPath. Each panel contains the same matched patients. The dashed line marks perfect agreement and the coloured line shows the fitted linear trend. Q² was 0.681, 0.656, 0.575; these are the primary matched-screen estimates, ordered as TITAN, Giga-SSL and Prov-GigaPath. TGF-beta Response is a published RNA-expression signature from Thorsson et al., so the figure demonstrates internal agreement with a computational reference phenotype rather than recovery of a direct laboratory measurement or external validation.</w:t>
      </w:r>
    </w:p>
    <w:p>
      <w:pPr>
        <w:pStyle w:val="Heading2"/>
      </w:pPr>
      <w:r>
        <w:t>PathoFMPred outputs for two illustrative COAD patients</w:t>
      </w:r>
    </w:p>
    <w:p>
      <w:pPr>
        <w:jc w:val="center"/>
      </w:pPr>
      <w:r>
        <w:drawing>
          <wp:inline xmlns:a="http://schemas.openxmlformats.org/drawingml/2006/main" xmlns:pic="http://schemas.openxmlformats.org/drawingml/2006/picture">
            <wp:extent cx="5806440" cy="6989233"/>
            <wp:docPr id="5" name="Picture 5"/>
            <wp:cNvGraphicFramePr>
              <a:graphicFrameLocks noChangeAspect="1"/>
            </wp:cNvGraphicFramePr>
            <a:graphic>
              <a:graphicData uri="http://schemas.openxmlformats.org/drawingml/2006/picture">
                <pic:pic>
                  <pic:nvPicPr>
                    <pic:cNvPr id="0" name="Figure3_COAD_PathoFMPred_multifoundation_examples.png"/>
                    <pic:cNvPicPr/>
                  </pic:nvPicPr>
                  <pic:blipFill>
                    <a:blip r:embed="rId21"/>
                    <a:stretch>
                      <a:fillRect/>
                    </a:stretch>
                  </pic:blipFill>
                  <pic:spPr>
                    <a:xfrm>
                      <a:off x="0" y="0"/>
                      <a:ext cx="5806440" cy="6989233"/>
                    </a:xfrm>
                    <a:prstGeom prst="rect"/>
                  </pic:spPr>
                </pic:pic>
              </a:graphicData>
            </a:graphic>
          </wp:inline>
        </w:drawing>
      </w:r>
    </w:p>
    <w:p>
      <w:pPr>
        <w:pStyle w:val="Caption"/>
        <w:jc w:val="center"/>
      </w:pPr>
      <w:r>
        <w:t>Figure 5. Post hoc PathoFMPred research-software illustration for TCGA-AA-A01F and TCGA-A6-A56B using TITAN, Giga-SSL and Prov-GigaPath inputs. For a legible direct comparison, the radar panels show the ten continuous endpoints returned by all three representations. The full reports contain every returned endpoint: 15 for TITAN, 17 for Giga-SSL and 18 for Prov-GigaPath. Corner labels give original predictions in source units. Linear estimates can fall outside an assay's observed range. In the aneuploidy labels, P denotes the PanImmune field published by Thorsson et al. and T the Taylor et al. arm-level score. Radius gives an internal TCGA reference percentile, not a probability or clinical interval. These cases do not evaluate accuracy or clinical utility.</w:t>
      </w:r>
    </w:p>
    <w:p>
      <w:pPr>
        <w:jc w:val="center"/>
      </w:pPr>
      <w:r>
        <w:drawing>
          <wp:inline xmlns:a="http://schemas.openxmlformats.org/drawingml/2006/main" xmlns:pic="http://schemas.openxmlformats.org/drawingml/2006/picture">
            <wp:extent cx="5806440" cy="7315200"/>
            <wp:docPr id="6" name="Picture 6"/>
            <wp:cNvGraphicFramePr>
              <a:graphicFrameLocks noChangeAspect="1"/>
            </wp:cNvGraphicFramePr>
            <a:graphic>
              <a:graphicData uri="http://schemas.openxmlformats.org/drawingml/2006/picture">
                <pic:pic>
                  <pic:nvPicPr>
                    <pic:cNvPr id="0" name="Figure6_COAD_PathoFMPred_full_binary_output.png"/>
                    <pic:cNvPicPr/>
                  </pic:nvPicPr>
                  <pic:blipFill>
                    <a:blip r:embed="rId22"/>
                    <a:stretch>
                      <a:fillRect/>
                    </a:stretch>
                  </pic:blipFill>
                  <pic:spPr>
                    <a:xfrm>
                      <a:off x="0" y="0"/>
                      <a:ext cx="5806440" cy="7315200"/>
                    </a:xfrm>
                    <a:prstGeom prst="rect"/>
                  </pic:spPr>
                </pic:pic>
              </a:graphicData>
            </a:graphic>
          </wp:inline>
        </w:drawing>
      </w:r>
    </w:p>
    <w:p>
      <w:pPr>
        <w:pStyle w:val="Caption"/>
        <w:jc w:val="center"/>
      </w:pPr>
      <w:r>
        <w:t>Figure 6. Binary class calls for the two COAD examples from all returned TITAN, Giga-SSL and Prov-GigaPath models. Grey means that no eligible threshold-crossing model was returned. Mut and WT denote mutation and wild type; Alt and No alt denote altered and not altered. Original uncalibrated LDA scores and internal reference ranks, not probabilities, are reported in Additional files 2 and 3. Some case labels contributed to the final model fits, so these examples are not held-out tests.</w:t>
      </w:r>
    </w:p>
    <w:p>
      <w:r>
        <w:t>Figure 5 compares ten continuous endpoints returned by all three slide representations. Figure 6 shows every returned binary endpoint rather than a selected mutation subset. TITAN returned 16, Giga-SSL returned 13 and Prov-GigaPath returned 13 binary endpoints. For TCGA-AA-A01F, APC mutation calls were negative, negative and negative for TITAN, Giga-SSL and Prov-GigaPath, respectively; KRAS calls were negative, negative and negative. For TCGA-A6-A56B, APC calls were positive, positive and positive; KRAS calls were positive, negative and positive. Additional files 2 and 3 provide every continuous and binary output, including original predictions, uncalibrated scores, reference ranks and source-label availability. Where a patient had an outcome label, that label contributed to fitting the final full-data object. These illustrations do not test held-out accuracy or clinical utility.</w:t>
      </w:r>
    </w:p>
    <w:p>
      <w:pPr>
        <w:pStyle w:val="Heading1"/>
      </w:pPr>
      <w:r>
        <w:t>Discussion</w:t>
      </w:r>
    </w:p>
    <w:p>
      <w:r>
        <w:t>Several strong mutation results have precedents in H&amp;E prediction studies. Coudray et al. predicted driver mutations in lung cancer [2], while pan-cancer studies reported signals for BRAF, IDH1, TP53 and FGFR3 [5-7,11]. The three slide representations also captured BRAF in thyroid carcinoma, IDH1 and TP53 in lower-grade glioma, and FGFR3 in bladder cancer. Because several earlier studies used TCGA, agreement with them is not independent validation. The thymoma GTF2I result warrants follow-up: a genotype-morphology association has been reported [35], but our targeted literature review did not identify a prior H&amp;E prediction model for this cancer-gene pair.</w:t>
      </w:r>
    </w:p>
    <w:p>
      <w:r>
        <w:t>MSI has a stronger external-validation literature than most features in this atlas. Kather et al. demonstrated an H&amp;E signal in gastrointestinal cancer [3]; Echle et al. and Wagner et al. subsequently tested colorectal models in independent cohorts, including biopsies in the latter study [4,36]. Wang et al. also studied MSI prediction in endometrial cancer [37]. These results make MSI a sensible candidate for external testing of our fitted models, but they do not validate the models reported here or permit a direct accuracy comparison across different cohorts and assays. Histology-based fusion prediction also predates this work: studies have addressed ERG in prostate cancer and ALK or ROS1 in lung cancer [12-13]. Our uterine-cancer fusion finding therefore extends the cancer-specific catalogue rather than establishing fusion prediction as a new task.</w:t>
      </w:r>
    </w:p>
    <w:p>
      <w:r>
        <w:t>The genomic-context findings also fit within an established line of work. Fu et al. linked H&amp;E morphology to driver alterations, aneuploidy and genome doubling across cancers [5]. Xu et al. predicted a chromosomal-instability measure in breast cancer [38], and Hyeon et al. examined related signatures in colorectal cancer [39]. Loeffler et al. studied oncogenic-pathway alteration status [40]. Our genome-doubling and pathway results extend these comparisons across three slide representations, although the genomic labels are not interchangeable across studies.</w:t>
      </w:r>
    </w:p>
    <w:p>
      <w:r>
        <w:t>The RNA-derived results add a different biological view. In testicular germ-cell tumours, angiogenesis, glycolysis, hypoxia and epithelial-mesenchymal-transition scores showed substantial agreement with held-out predictions from all three representations. The published PanImmune TGF-beta response score in the same cancer and TCR diversity in thymoma were also captured. Schmauch et al. inferred RNA expression from H&amp;E [8], Diao et al. linked interpretable image features to leukocyte estimates and TGF-beta-related expression [41], and later work studied continuous molecular phenotypes and tumour-microenvironment composition [9,15]. Our results agree with computational RNA, methylation or sequencing reference phenotypes; they do not establish direct recovery of immune-cell counts or biochemical pathway activity. We kept the H&amp;E-derived TIL fraction outside the cross-modal summary.</w:t>
      </w:r>
    </w:p>
    <w:p>
      <w:r>
        <w:t>Representation choice depended on the target. TITAN had the highest observed effect in 744/993 cross-modal pairs reaching the threshold. Prov-GigaPath led some sequencing-derived burdens and LGG IDH1, whereas Giga-SSL led BLCA FGFR3 and selected genomic-context tasks. Many differences were small; alternative folds or a ridge probe changed some ranks. The paired estimates therefore inform endpoint-specific follow-up, not a universal ranking of foundation models. Giga-SSL development included TCGA images, and direct overlap with the evaluated slides cannot be excluded. Downstream molecular labels were withheld, but this image-exposure condition differs from the reported pretraining corpora of TITAN and Prov-GigaPath, which excluded TCGA. This difference limits any attempt to attribute performance differences to the representations alone.</w:t>
      </w:r>
    </w:p>
    <w:p>
      <w:r>
        <w:t>Internal robustness changed the priorities. Several leading estimates weakened when complete TCGA tissue-source-site codes were held apart, notably the colorectal APC results. Matched-random controls account for fold size and class balance, but cannot determine whether the remaining change reflects technical variation, biological case mix or both. Alternative partitions also changed some threshold categories. Numerical effects and their variation should therefore carry more weight than a crossing label alone.</w:t>
      </w:r>
    </w:p>
    <w:p>
      <w:r>
        <w:t>Arslan et al. previously screened multi-omic biomarkers across 32 TCGA cancers [7]. Our study therefore contributes a paired comparison of three slide representations, a common patient-level evaluation and a record of both successful and unsuccessful cancer-specific outcomes. All performance estimates remain internal to TCGA. Molecular assays may have sampled a different block or region, small outcome groups remain uncertain, and TCGA tissue-source-site code is not a scanner or institution identifier. PathoFMPred supports research use of compatible models, but pathology-reviewed slides, matched assays and independent testing are needed before clinical interpretation.</w:t>
      </w:r>
    </w:p>
    <w:p>
      <w:pPr>
        <w:pStyle w:val="Heading1"/>
      </w:pPr>
      <w:r>
        <w:t>Conclusions</w:t>
      </w:r>
    </w:p>
    <w:p>
      <w:r>
        <w:t>Across 30 jointly represented TCGA cancers, the three released slide representations captured cancer-specific associations with mutations, fusions, MSI, genomic-context states and selected inflammatory reference phenotypes. Their relative performance varied by endpoint and validation partition. This patient-level atlas identifies candidates for independent testing; PathoFMPred provides a research interface for applying compatible fitted models.</w:t>
      </w:r>
    </w:p>
    <w:p>
      <w:pPr>
        <w:pStyle w:val="Heading1"/>
      </w:pPr>
      <w:r>
        <w:t>Abbreviations</w:t>
      </w:r>
    </w:p>
    <w:p>
      <w:r>
        <w:t>AUROC, area under the receiver operating characteristic curve; BA, balanced accuracy; CV, cross-validation; H&amp;E, haematoxylin and eosin; LDA, linear discriminant analysis; MC3, Multi-Center Mutation Calling in Multiple Cancers; MSI, microsatellite instability; OOF, out-of-fold; q-value, false-discovery-rate-adjusted p-value; SC interval, selection-conditioned patient-resampling interval for repeated out-of-fold predictions; PLS, partial least squares; Q², cross-validated coefficient of determination; RMSE, root-mean-square error; TCGA, The Cancer Genome Atlas; TCGA tissue-source-site code, barcode-derived submitting-centre field used as an internal cohort-structure variable.</w:t>
      </w:r>
    </w:p>
    <w:p>
      <w:pPr>
        <w:pStyle w:val="Heading1"/>
      </w:pPr>
      <w:r>
        <w:t>Declarations</w:t>
      </w:r>
    </w:p>
    <w:p>
      <w:pPr>
        <w:pStyle w:val="Heading2"/>
      </w:pPr>
      <w:r>
        <w:t>Ethics approval and consent to participate</w:t>
      </w:r>
    </w:p>
    <w:p>
      <w:r>
        <w:t>We analysed publicly available, de-identified TCGA data. We recruited no participants and collected no new tissue.</w:t>
      </w:r>
    </w:p>
    <w:p>
      <w:pPr>
        <w:pStyle w:val="Heading2"/>
      </w:pPr>
      <w:r>
        <w:t>Consent for publication</w:t>
      </w:r>
    </w:p>
    <w:p>
      <w:r>
        <w:t>Not applicable.</w:t>
      </w:r>
    </w:p>
    <w:p>
      <w:pPr>
        <w:pStyle w:val="Heading2"/>
      </w:pPr>
      <w:r>
        <w:t>Study registration and protocol</w:t>
      </w:r>
    </w:p>
    <w:p>
      <w:r>
        <w:t>We did not prospectively register this retrospective computational benchmark.</w:t>
      </w:r>
    </w:p>
    <w:p>
      <w:pPr>
        <w:pStyle w:val="Heading2"/>
      </w:pPr>
      <w:r>
        <w:t>Patient and public involvement</w:t>
      </w:r>
    </w:p>
    <w:p>
      <w:r>
        <w:t>We did not involve patients or members of the public in the design, conduct, interpretation or reporting of this secondary analysis.</w:t>
      </w:r>
    </w:p>
    <w:p>
      <w:pPr>
        <w:pStyle w:val="Heading2"/>
      </w:pPr>
      <w:r>
        <w:t>Availability of data and materials</w:t>
      </w:r>
    </w:p>
    <w:p>
      <w:r>
        <w:t>We used the official TITAN TCGA feature artifact, official Giga-SSL TCGA embeddings and the seandavis/tcga_provgigapath_embeddings Hugging Face dataset. Source locations, access conditions, checksums and complete-resolution results are provided in the companion repository [42]. Selected machine-readable results are supplied as Additional file 4. Controlled-access whole-slide images are not redistributed.</w:t>
      </w:r>
    </w:p>
    <w:p>
      <w:pPr>
        <w:pStyle w:val="Heading2"/>
      </w:pPr>
      <w:r>
        <w:t>Code availability</w:t>
      </w:r>
    </w:p>
    <w:p>
      <w:r>
        <w:t>Analysis code, conversion scripts, manifests and model registries are available in the companion repository [42] under GPL-3.0-or-later. The PathoFMPred R package source and documentation are available separately under the MIT licence [43]. Fitted model objects are not bundled with the public package; their separate access and licence terms are described in the Supplementary Material and repository. TITAN-derived fitted objects remain outside the public repository pending written redistribution permission.</w:t>
      </w:r>
    </w:p>
    <w:p>
      <w:pPr>
        <w:pStyle w:val="Heading2"/>
      </w:pPr>
      <w:r>
        <w:t>Competing interests</w:t>
      </w:r>
    </w:p>
    <w:p>
      <w:r>
        <w:t>The authors declare that they have no competing interests.</w:t>
      </w:r>
    </w:p>
    <w:p>
      <w:pPr>
        <w:pStyle w:val="Heading2"/>
      </w:pPr>
      <w:r>
        <w:t>Funding</w:t>
      </w:r>
    </w:p>
    <w:p>
      <w:r>
        <w:t>No specific grant was received from any funding agency in the public, commercial or not-for-profit sectors.</w:t>
      </w:r>
    </w:p>
    <w:p>
      <w:pPr>
        <w:pStyle w:val="Heading2"/>
      </w:pPr>
      <w:r>
        <w:t>Authors’ contributions</w:t>
      </w:r>
    </w:p>
    <w:p>
      <w:r>
        <w:t>Aamilah Ismail: Data curation, Formal analysis, Investigation, Methodology, Software, Validation, Visualization, Writing - original draft, Writing - review and editing. Martin Ocharo: Data curation, Formal analysis, Investigation, Methodology, Software, Validation, Visualization, Writing - original draft, Writing - review and editing. Giulia Canarutto: Data curation, Writing - review and editing. Moussa Kassim Mohamed: Data curation, Investigation, Validation, Writing - review and editing. Dalia Ahmed: Data curation, Investigation, Validation, Writing - review and editing. Brendon Price: Investigation, Validation, Writing - review and editing. Dupe Ojo: Data curation, Investigation, Validation, Writing - review and editing. Ekene Emmanuel Nweke: Investigation, Validation, Writing - review and editing. Alessia Vignoli: Methodology, Validation, Writing - review and editing. Silvano Piazza: Methodology, Software, Validation, Writing - review and editing. Dinesh Gupta: Methodology, Supervision, Validation, Writing - review and editing. Leonardo Tenori: Conceptualization, Methodology, Supervision, Writing - review and editing. Stefano Cacciatore: Conceptualization, Data curation, Formal analysis, Methodology, Project administration, Resources, Software, Supervision, Validation, Visualization, Writing - original draft, Writing - review and editing. These proposed contributions require confirmation by every author before submission.</w:t>
      </w:r>
    </w:p>
    <w:p>
      <w:pPr>
        <w:pStyle w:val="Heading2"/>
      </w:pPr>
      <w:r>
        <w:t>Acknowledgements</w:t>
      </w:r>
    </w:p>
    <w:p>
      <w:r>
        <w:t>OpenAI Codex assisted with code refactoring and language editing. Human authors remain responsible for verification, interpretation and the submitted text.</w:t>
      </w:r>
    </w:p>
    <w:p>
      <w:pPr>
        <w:pStyle w:val="Heading1"/>
      </w:pPr>
      <w:r>
        <w:t>Additional files</w:t>
      </w:r>
    </w:p>
    <w:p>
      <w:r>
        <w:t>Additional file 1: supplementary_material_JTM.docx. Contains Supplementary Methods, compact interpretive Tables S1-S13, Figures S1-S4 and an inventory of the synchronized machine-readable result companions.</w:t>
      </w:r>
    </w:p>
    <w:p>
      <w:r>
        <w:t>Additional file 2: Additional_file_2_COAD_example_A_PathoFMPred_report.pdf. COAD example A (TCGA-AA-A01F) PathoFMPred research-software output using TITAN, Giga-SSL and Prov-GigaPath features. The report lists every continuous and binary fitted model returned for each representation, with original predictions, class calls, internal TCGA reference ranks and model-performance metadata. It is a post hoc software illustration and is neither probability-calibrated nor externally validated.</w:t>
      </w:r>
    </w:p>
    <w:p>
      <w:r>
        <w:t>Additional file 3: Additional_file_3_COAD_example_B_PathoFMPred_report.pdf. COAD example B (TCGA-A6-A56B) PathoFMPred research-software output using TITAN, Giga-SSL and Prov-GigaPath features. The report lists every continuous and binary fitted model returned for each representation, with original predictions, class calls, internal TCGA reference ranks and model-performance metadata. It is a post hoc software illustration and is neither probability-calibrated nor externally validated.</w:t>
      </w:r>
    </w:p>
    <w:p>
      <w:r>
        <w:t>Additional file 4: Additional_file_4_machine_readable_results.zip. Contains the selected matched-atlas, provenance, robustness, endpoint-dictionary and COAD-example CSV companions listed in its README. The full analysis repository contains the remaining task-level records; Additional file 4 contains no fitted models or patient-level embeddings.</w:t>
      </w:r>
    </w:p>
    <w:p>
      <w:pPr>
        <w:pStyle w:val="Heading1"/>
      </w:pPr>
      <w:r>
        <w:t>References</w:t>
      </w:r>
    </w:p>
    <w:p>
      <w:r>
        <w:t>1. Oquab M, Darcet T, Moutakanni T, et al. DINOv2: learning robust visual features without supervision. Trans Mach Learn Res. 2024. https://openreview.net/forum?id=a68SUt6zFt.</w:t>
      </w:r>
    </w:p>
    <w:p>
      <w:r>
        <w:t>2. Coudray N, et al. Classification and mutation prediction from non-small cell lung cancer histopathology images using deep learning. Nat Med. 2018;24:1559–1567. doi:10.1038/s41591-018-0177-5.</w:t>
      </w:r>
    </w:p>
    <w:p>
      <w:r>
        <w:t>3. Kather JN, et al. Deep learning can predict microsatellite instability directly from histology in gastrointestinal cancer. Nat Med. 2019;25:1054–1056. doi:10.1038/s41591-019-0462-y.</w:t>
      </w:r>
    </w:p>
    <w:p>
      <w:r>
        <w:t>4. Echle A, et al. Clinical-grade detection of microsatellite instability in colorectal tumors by deep learning. Gastroenterology. 2020;159:1406–1416.e11. doi:10.1053/j.gastro.2020.06.021.</w:t>
      </w:r>
    </w:p>
    <w:p>
      <w:r>
        <w:t>5. Fu Y, et al. Pan-cancer computational histopathology reveals mutations, tumor composition and prognosis. Nat Cancer. 2020;1:800–810. doi:10.1038/s43018-020-0085-8.</w:t>
      </w:r>
    </w:p>
    <w:p>
      <w:r>
        <w:t>6. Kather JN, et al. Pan-cancer image-based detection of clinically actionable genetic alterations. Nat Cancer. 2020;1:789–799. doi:10.1038/s43018-020-0087-6.</w:t>
      </w:r>
    </w:p>
    <w:p>
      <w:r>
        <w:t>7. Arslan S, et al. A systematic pan-cancer study on deep learning-based prediction of multi-omic biomarkers from routine pathology images. Commun Med. 2024;4:48. doi:10.1038/s43856-024-00471-5.</w:t>
      </w:r>
    </w:p>
    <w:p>
      <w:r>
        <w:t>8. Schmauch B, et al. A deep learning model to predict RNA-Seq expression of tumours from whole slide images. Nat Commun. 2020;11:3877. doi:10.1038/s41467-020-17678-4.</w:t>
      </w:r>
    </w:p>
    <w:p>
      <w:r>
        <w:t>9. El Nahhas OSM, et al. Regression-based deep-learning predicts molecular biomarkers from pathology slides. Nat Commun. 2024;15:1253. doi:10.1038/s41467-024-45589-1.</w:t>
      </w:r>
    </w:p>
    <w:p>
      <w:r>
        <w:t>10. Howard FM, et al. The impact of site-specific digital histology signatures on deep learning model accuracy and bias. Nat Commun. 2021;12:4423. doi:10.1038/s41467-021-24698-1.</w:t>
      </w:r>
    </w:p>
    <w:p>
      <w:r>
        <w:t>11. Saldanha OL, et al. Self-supervised attention-based deep learning for pan-cancer mutation prediction from histopathology. npj Precis Oncol. 2023;7:35. doi:10.1038/s41698-023-00365-0.</w:t>
      </w:r>
    </w:p>
    <w:p>
      <w:r>
        <w:t>12. Dadhania V, et al. Leveraging artificial intelligence to predict ERG gene fusion status in prostate cancer. BMC Cancer. 2022;22:494. doi:10.1186/s12885-022-09559-4.</w:t>
      </w:r>
    </w:p>
    <w:p>
      <w:r>
        <w:t>13. Mayer C, et al. Direct identification of ALK and ROS1 fusions in non-small cell lung cancer from hematoxylin and eosin-stained slides using deep learning algorithms. Mod Pathol. 2022;35:1882–1887. doi:10.1038/s41379-022-01141-4.</w:t>
      </w:r>
    </w:p>
    <w:p>
      <w:r>
        <w:t>14. Bergstrom EN, et al. Deep learning artificial intelligence predicts homologous recombination deficiency and platinum response from histologic slides. J Clin Oncol. 2024;42:3550–3560. doi:10.1200/JCO.23.02641.</w:t>
      </w:r>
    </w:p>
    <w:p>
      <w:r>
        <w:t>15. Patkar S, et al. Predicting the tumor microenvironment composition and immunotherapy response in non-small cell lung cancer from digital histopathology images. npj Precis Oncol. 2024;8:280. doi:10.1038/s41698-024-00765-w.</w:t>
      </w:r>
    </w:p>
    <w:p>
      <w:r>
        <w:t>16. Ding T, et al. A multimodal whole-slide foundation model for pathology. Nat Med. 2025;31:3749–3761. doi:10.1038/s41591-025-03982-3.</w:t>
      </w:r>
    </w:p>
    <w:p>
      <w:r>
        <w:t>17. Lazard T, Lerousseau M, Decencière E, Walter T. Giga-SSL: self-supervised learning for gigapixel images. In: Proceedings of the IEEE/CVF Conference on Computer Vision and Pattern Recognition Workshops. 2023. p. 4305–4314.</w:t>
      </w:r>
    </w:p>
    <w:p>
      <w:r>
        <w:t>18. Xu H, et al. A whole-slide foundation model for digital pathology from real-world data. Nature. 2024;630:181–188. doi:10.1038/s41586-024-07441-w.</w:t>
      </w:r>
    </w:p>
    <w:p>
      <w:r>
        <w:t>19. Lazard T, et al. Giga-SSL source code and released TCGA_encoded_t5e1000 embeddings. GitHub. https://github.com/trislaz/gigassl. Commit 605b950. Accessed 20 Sep 2026.</w:t>
      </w:r>
    </w:p>
    <w:p>
      <w:r>
        <w:t>20. Davis S. TCGA Prov-GigaPath embeddings. Hugging Face Datasets. https://huggingface.co/datasets/seandavis/tcga_provgigapath_embeddings. Source snapshot commit 073115403c2fc5134ee8d1332c603edba591dddb. Accessed 20 Sep 2026.</w:t>
      </w:r>
    </w:p>
    <w:p>
      <w:r>
        <w:t>21. Thorsson V, et al. The Immune Landscape of Cancer. Immunity. 2018;48:812–830.e14. doi:10.1016/j.immuni.2018.03.023.</w:t>
      </w:r>
    </w:p>
    <w:p>
      <w:r>
        <w:t>22. Newman AM, et al. Robust enumeration of cell subsets from tissue expression profiles. Nat Methods. 2015;12:453–457. doi:10.1038/nmeth.3337.</w:t>
      </w:r>
    </w:p>
    <w:p>
      <w:r>
        <w:t>23. Saltz J, et al. Spatial organization and molecular correlation of tumor-infiltrating lymphocytes using deep learning on pathology images. Cell Rep. 2018;23:181–193.e7. doi:10.1016/j.celrep.2018.03.086.</w:t>
      </w:r>
    </w:p>
    <w:p>
      <w:r>
        <w:t>24. Goldman MJ, Craft B, Hastie M, et al. Visualizing and interpreting cancer genomics data via the Xena platform. Nat Biotechnol. 2020;38:675-678. doi:10.1038/s41587-020-0546-8.</w:t>
      </w:r>
    </w:p>
    <w:p>
      <w:r>
        <w:t>25. Liberzon A, Birger C, Thorvaldsdottir H, Ghandi M, Mesirov JP, Tamayo P. The Molecular Signatures Database Hallmark Gene Set Collection. Cell Syst. 2015;1:417-425. doi:10.1016/j.cels.2015.12.004.</w:t>
      </w:r>
    </w:p>
    <w:p>
      <w:r>
        <w:t>26. Ellrott K, et al. Scalable open science approach for mutation calling of tumor exomes. Cell Syst. 2018;6:271–281.e7. doi:10.1016/j.cels.2018.03.002.</w:t>
      </w:r>
    </w:p>
    <w:p>
      <w:r>
        <w:t>27. Bailey MH, et al. Comprehensive characterization of cancer driver genes and mutations. Cell. 2018;173:371–385.e18. doi:10.1016/j.cell.2018.02.060.</w:t>
      </w:r>
    </w:p>
    <w:p>
      <w:r>
        <w:t>28. Sanchez-Vega F, et al. Oncogenic signaling pathways in The Cancer Genome Atlas. Cell. 2018;173:321–337.e10. doi:10.1016/j.cell.2018.03.035.</w:t>
      </w:r>
    </w:p>
    <w:p>
      <w:r>
        <w:t>29. Taylor AM, et al. Genomic and functional approaches to understanding cancer aneuploidy. Cancer Cell. 2018;33:676–689.e3. doi:10.1016/j.ccell.2018.03.007.</w:t>
      </w:r>
    </w:p>
    <w:p>
      <w:r>
        <w:t>30. Gao Q, et al. Driver fusions and their implications in the development and treatment of human cancers. Cell Rep. 2018;23:227–238.e3. doi:10.1016/j.celrep.2018.03.050.</w:t>
      </w:r>
    </w:p>
    <w:p>
      <w:r>
        <w:t>31. Bonneville R, et al. Landscape of microsatellite instability across 39 cancer types. JCO Precis Oncol. 2017;2017:PO.17.00073. doi:10.1200/PO.17.00073.</w:t>
      </w:r>
    </w:p>
    <w:p>
      <w:r>
        <w:t>32. Cerami E, et al. The cBio cancer genomics portal: an open platform for exploring multidimensional cancer genomics data. Cancer Discov. 2012;2:401–404. doi:10.1158/2159-8290.CD-12-0095.</w:t>
      </w:r>
    </w:p>
    <w:p>
      <w:r>
        <w:t>33. Wold S, Sjöström M, Eriksson L. PLS-regression: a basic tool of chemometrics. Chemometr Intell Lab Syst. 2001;58:109–130. doi:10.1016/S0169-7439(01)00155-1.</w:t>
      </w:r>
    </w:p>
    <w:p>
      <w:r>
        <w:t>34. Szymańska E, et al. Double-check: validation of diagnostic statistics for PLS-DA models. Metabolomics. 2012;8(Suppl 1):3–16. doi:10.1007/s11306-011-0330-3.</w:t>
      </w:r>
    </w:p>
    <w:p>
      <w:r>
        <w:t>35. Wells K, Lamrca A, Papaxoinis G, Wallace A, Quinn AM, Summers Y, Nonaka D. Unique correlation between GTF2I mutation and spindle cell morphology in thymomas (type A and AB thymomas). J Clin Pathol. 2023;76:463-466. doi:10.1136/jclinpath-2021-207837.</w:t>
      </w:r>
    </w:p>
    <w:p>
      <w:r>
        <w:t>36. Wagner SJ, et al. Transformer-based biomarker prediction from colorectal cancer histology: a large-scale multicentric study. Cancer Cell. 2023;41:1650-1661.e4. doi:10.1016/j.ccell.2023.08.002.</w:t>
      </w:r>
    </w:p>
    <w:p>
      <w:r>
        <w:t>37. Wang CW, et al. Deep learning to assess microsatellite instability directly from histopathological whole slide images in endometrial cancer. npj Digit Med. 2024;7:143. doi:10.1038/s41746-024-01131-7.</w:t>
      </w:r>
    </w:p>
    <w:p>
      <w:r>
        <w:t>38. Xu Z, et al. Deep learning predicts chromosomal instability from histopathology images. iScience. 2021;24:102394. doi:10.1016/j.isci.2021.102394.</w:t>
      </w:r>
    </w:p>
    <w:p>
      <w:r>
        <w:t>39. Hyeon D, et al. Deep learning-based histological predictions of chromosomal instability in colorectal cancer. Am J Cancer Res. 2024;14:4495-4505. doi:10.62347/jynd6488.</w:t>
      </w:r>
    </w:p>
    <w:p>
      <w:r>
        <w:t>40. Loeffler CML, et al. Predicting mutational status of driver and suppressor genes directly from histopathology with deep learning. Front Genet. 2022;12:806386. doi:10.3389/fgene.2021.806386.</w:t>
      </w:r>
    </w:p>
    <w:p>
      <w:r>
        <w:t>41. Diao JA, et al. Human-interpretable image features derived from densely mapped cancer pathology slides predict diverse molecular phenotypes. Nat Commun. 2021;12:1613. doi:10.1038/s41467-021-21896-9.</w:t>
      </w:r>
    </w:p>
    <w:p>
      <w:r>
        <w:t>42. Pathology foundation-model patient-level benchmark repository. GitHub. https://github.com/tkcaccia/pathology-foundation-model-atlas. Accessed 29 Sep 2026.</w:t>
      </w:r>
    </w:p>
    <w:p>
      <w:r>
        <w:t>43. PathoFMPred R package and fitted-model repository. GitHub. https://github.com/tkcaccia/PathoFMPred. Accessed 29 Sep 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Patient-level pathology foundation-model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