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to Journal of Translational Medicine</w:t>
      </w:r>
    </w:p>
    <w:p>
      <w:r>
        <w:t>Date:  26 October 2026</w:t>
      </w:r>
    </w:p>
    <w:p>
      <w:r>
        <w:rPr>
          <w:b/>
        </w:rPr>
        <w:t xml:space="preserve">To: </w:t>
      </w:r>
      <w:r>
        <w:t xml:space="preserve"> Editors, Journal of Translational Medicine</w:t>
      </w:r>
    </w:p>
    <w:p>
      <w:r>
        <w:rPr>
          <w:b/>
        </w:rPr>
        <w:t xml:space="preserve">Article type: </w:t>
      </w:r>
      <w:r>
        <w:t xml:space="preserve"> Research Article, Molecular Pathology</w:t>
      </w:r>
    </w:p>
    <w:p>
      <w:r>
        <w:t>Manuscript:  Cancer-specific prediction of genomic and immune-related features from pathology slide representations across 31 TCGA cancers</w:t>
      </w:r>
    </w:p>
    <w:p>
      <w:r>
        <w:t>Dear Editors,</w:t>
      </w:r>
    </w:p>
    <w:p>
      <w:r>
        <w:t>We submit this manuscript for consideration as a Research Article in Journal of Translational Medicine. We assembled a cancer-specific atlas of genomic and immune-related features estimated from haematoxylin-and-eosin slide representations. The analysis includes 31 TCGA cancers. For 30 cancers, we compared TITAN, Giga-SSL and Prov-GigaPath on identical slides and patient-level validation folds. We also analysed breast cancer with TITAN and Giga-SSL, the two representations available for that disease.</w:t>
      </w:r>
    </w:p>
    <w:p>
      <w:r>
        <w:t>The study identifies which features are detectable within each cancer and shows how representation choice changes the result. We report direct genomic alterations alongside sequencing-derived burdens, RNA-derived pathways and inferred immune phenotypes, while keeping their reference sources distinct. A full cancer-by-feature inventory accompanies the manuscript. PathoFMPred, an R package developed for this study, applies compatible fitted research models; users may download the separate Prov-GigaPath coefficient collection on request through a checksum-verified function.</w:t>
      </w:r>
    </w:p>
    <w:p>
      <w:r>
        <w:t>We believe the work will interest readers in molecular pathology, translational imaging and medical bioinformatics. It offers a practical way to prioritize cancer-specific associations for independent study and to examine where multiple slide representations support the same feature. The patient-level design, provenance audit and research software make the atlas useful beyond a ranking of foundation models.</w:t>
      </w:r>
    </w:p>
    <w:p>
      <w:r>
        <w:t>The Supplementary Material and two COAD patient-report examples accompany the manuscript. The authors declare no competing interests and received no specific grant for this work.</w:t>
      </w:r>
    </w:p>
    <w:p>
      <w:r>
        <w:t>Sincerely,</w:t>
      </w:r>
    </w:p>
    <w:p>
      <w:r>
        <w:t>Stefano Cacciatore, PhD</w:t>
        <w:br/>
        <w:t>Corresponding author</w:t>
        <w:br/>
        <w:t>Bioinformatics Unit, International Centre for Genetic Engineering and Biotechnology</w:t>
        <w:br/>
        <w:t>Cape Town, South Africa</w:t>
        <w:br/>
        <w:t>stefano.cacciatore@icgeb.org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48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48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48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/>
    </w:pPr>
    <w:rPr>
      <w:rFonts w:ascii="Arial" w:hAnsi="Arial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