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Response to methodological review</w:t>
      </w:r>
    </w:p>
    <w:p>
      <w:pPr>
        <w:jc w:val="left"/>
      </w:pPr>
      <w:r>
        <w:t>Patient-level comparison of three released pathology slide representations with a common PLS-based probe across TCGA cancers</w:t>
      </w:r>
    </w:p>
    <w:p>
      <w:pPr>
        <w:jc w:val="left"/>
      </w:pPr>
      <w:r>
        <w:t>We revised the analysis around one matched comparison. The same patients, slide identifiers, outcome labels and patient-level folds were used for TITAN, Giga-SSL and Prov-GigaPath. We distinguish the descriptive benchmark from statistical discovery and clinical validation.</w:t>
      </w:r>
    </w:p>
    <w:p>
      <w:pPr>
        <w:pStyle w:val="Heading1"/>
        <w:jc w:val="left"/>
      </w:pPr>
      <w:r>
        <w:t>Matched inputs and analysis scope</w:t>
      </w:r>
    </w:p>
    <w:p>
      <w:pPr>
        <w:jc w:val="left"/>
      </w:pPr>
      <w:r>
        <w:t>The primary comparison contains 3,389 cancer-endpoint pairs from 8,241 patients and 10,165 slide identifiers shared by all three representations. The full atlas retains H&amp;E-derived TIL Regional Fraction as a same-modality outcome. We omit its 11 eligible pairs only from the default summary of reference phenotypes derived independently of H&amp;E. A separate sensitivity uses all available slides for the same patients.</w:t>
      </w:r>
    </w:p>
    <w:p>
      <w:pPr>
        <w:jc w:val="left"/>
      </w:pPr>
      <w:r>
        <w:t>Outcomes from published genomic, RNA, methylation and composite resources are linked at the participant or available sample-barcode level. Exact barcode agreement does not prove that the slide and assay sampled the same block or tumour region.</w:t>
      </w:r>
    </w:p>
    <w:p>
      <w:pPr>
        <w:pStyle w:val="Heading1"/>
        <w:jc w:val="left"/>
      </w:pPr>
      <w:r>
        <w:t>Binary estimand and software version</w:t>
      </w:r>
    </w:p>
    <w:p>
      <w:pPr>
        <w:jc w:val="left"/>
      </w:pPr>
      <w:r>
        <w:t>The complete matched benchmark was refitted with fastPLS 0.4 and a 1 to 20 component grid. Continuous components were selected by inner out-of-fold prediction error, with outer Q² as the primary result. Binary components were selected by inner out-of-fold AUROC, with outer AUROC as the primary result. Binary class calls use a threshold chosen only from the training data; PR-AUC and operating-point statistics are secondary.</w:t>
      </w:r>
    </w:p>
    <w:p>
      <w:pPr>
        <w:jc w:val="left"/>
      </w:pPr>
      <w:r>
        <w:t>We fixed R's random-number algorithm before fold construction. This removes a sequential-versus-parallel seed discrepancy discovered during the rerun; all affected results were regenerated from the same documented analysis settings.</w:t>
      </w:r>
    </w:p>
    <w:p>
      <w:pPr>
        <w:pStyle w:val="Heading1"/>
        <w:jc w:val="left"/>
      </w:pPr>
      <w:r>
        <w:t>Interpretation of the benchmark</w:t>
      </w:r>
    </w:p>
    <w:p>
      <w:pPr>
        <w:jc w:val="left"/>
      </w:pPr>
      <w:r>
        <w:t>The matched effect-threshold crossings are descriptive. At Q² at least 0.20 or AUROC at least 0.60, the counts are TITAN: 669/2963 continuous and 235/426 binary; Giga-SSL: 351/2963 continuous and 161/426 binary; Prov-GigaPath: 439/2963 continuous and 179/426 binary. They are not three representation-specific FDR discovery counts, and correlated endpoint definitions mean they are not independent biological discoveries.</w:t>
      </w:r>
    </w:p>
    <w:p>
      <w:pPr>
        <w:jc w:val="left"/>
      </w:pPr>
      <w:r>
        <w:t>The manuscript leads with feature-provenance classes, paired effects and named cancer-specific results. Alternative folds, tissue-source-site-code grouping and a ridge sensitivity show where apparent differences depend on the partition or downstream probe. Grouping is an internal cohort-structure test, not institutional or scanner validation.</w:t>
      </w:r>
    </w:p>
    <w:p>
      <w:pPr>
        <w:pStyle w:val="Heading1"/>
        <w:jc w:val="left"/>
      </w:pPr>
      <w:r>
        <w:t>Research software and access</w:t>
      </w:r>
    </w:p>
    <w:p>
      <w:pPr>
        <w:jc w:val="left"/>
      </w:pPr>
      <w:r>
        <w:t>PathoFMPred is an R package for constructing and applying compatible linear research models. The public package contains no fitted TCGA collections. Separate access-controlled objects hold models for the three representations, subject to their respective upstream terms. The two COAD profiles illustrate the interface; the patients may have contributed labels to full-data model fitting, so the reports do not provide held-out case validation.</w:t>
      </w:r>
    </w:p>
    <w:p>
      <w:pPr>
        <w:pStyle w:val="Heading1"/>
        <w:jc w:val="left"/>
      </w:pPr>
      <w:r>
        <w:t>Translational limits</w:t>
      </w:r>
    </w:p>
    <w:p>
      <w:pPr>
        <w:jc w:val="left"/>
      </w:pPr>
      <w:r>
        <w:t>No independent cohort was available. The manuscript therefore presents internally derived TCGA associations and research priorities, not assay replacement, calibrated clinical probabilities or evidence of transportability. The Supplement and machine-readable companions provide source definitions, missingness, fold adequacy and the full target-level results.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