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Supplementary material</w:t>
      </w:r>
    </w:p>
    <w:p>
      <w:r>
        <w:t>Patient-level comparison of three released pathology slide representations with a common PLS-based probe across TCGA cancers</w:t>
      </w:r>
    </w:p>
    <w:p>
      <w:r>
        <w:t>This document is Additional file 1, supplementary_material_JTM.docx. Additional files 2 and 3 contain the separate COAD research-software examples. Additional file 4 supplies selected machine-readable result tables as a ZIP archive with a file inventory.</w:t>
      </w:r>
    </w:p>
    <w:p>
      <w:pPr>
        <w:pStyle w:val="Heading1"/>
      </w:pPr>
      <w:r>
        <w:t>Contents</w:t>
      </w:r>
    </w:p>
    <w:p>
      <w:r>
        <w:t>This shortened Supplement retains interpretation-critical methods, compact three-representation biological summaries and three supporting figures. Complete target-level, fold-level and fitted-model records remain in the synchronized machine-readable companions.</w:t>
      </w:r>
    </w:p>
    <w:p>
      <w:pPr>
        <w:pStyle w:val="ListBullet"/>
      </w:pPr>
      <w:r>
        <w:t>Supplementary Methods: outcome construction, validation, reliability, literature and endpoint provenance</w:t>
      </w:r>
    </w:p>
    <w:p>
      <w:pPr>
        <w:pStyle w:val="ListBullet"/>
      </w:pPr>
      <w:r>
        <w:t>Tables S1-S3: cohort, pathology and molecular linkage</w:t>
      </w:r>
    </w:p>
    <w:p>
      <w:pPr>
        <w:pStyle w:val="ListBullet"/>
      </w:pPr>
      <w:r>
        <w:t>Tables S4-S7: three-representation binary, continuous, family-level and literature summaries</w:t>
      </w:r>
    </w:p>
    <w:p>
      <w:pPr>
        <w:pStyle w:val="ListBullet"/>
      </w:pPr>
      <w:r>
        <w:t>Tables S8-S13: statistical audits, endpoint provenance, matched benchmark, slide intersection and normalized breadth</w:t>
      </w:r>
    </w:p>
    <w:p>
      <w:pPr>
        <w:pStyle w:val="ListBullet"/>
      </w:pPr>
      <w:r>
        <w:t>Figures S1-S3: alternative-partition and grouped sensitivity, paired representation effects, and threshold stability</w:t>
      </w:r>
    </w:p>
    <w:p>
      <w:pPr>
        <w:pStyle w:val="ListBullet"/>
      </w:pPr>
      <w:r>
        <w:t>Machine-readable companion inventory by analysis domain</w:t>
      </w:r>
    </w:p>
    <w:p>
      <w:pPr>
        <w:pStyle w:val="Heading1"/>
      </w:pPr>
      <w:r>
        <w:t>Supplementary Methods</w:t>
      </w:r>
    </w:p>
    <w:p>
      <w:pPr>
        <w:pStyle w:val="Heading2"/>
      </w:pPr>
      <w:r>
        <w:t>Cohort and slide matching</w:t>
      </w:r>
    </w:p>
    <w:p>
      <w:r>
        <w:t>Released TCGA slide vectors from TITAN, Giga-SSL and Prov-GigaPath were matched by diagnostic-slide identifier. Only patients represented in all three datasets were retained, and a slide was used in the primary analysis only when its identifier was available in all three. Repeated slides for a patient were averaged before an outcome was joined, so the patient remained the unit of modelling and validation. An all-available-slide sensitivity kept the same patients but allowed the slide sets to differ by representation. Generated slide narratives were not used as pathology-adjudicated exclusion labels.</w:t>
      </w:r>
    </w:p>
    <w:p>
      <w:pPr>
        <w:pStyle w:val="Heading2"/>
      </w:pPr>
      <w:r>
        <w:t>Reference phenotypes</w:t>
      </w:r>
    </w:p>
    <w:p>
      <w:r>
        <w:t>Somatic mutation status was derived from MC3 protein-altering PASS calls within the Bailey tissue-specific driver catalogue [26-27]. Oncogenic-pathway status came from Sanchez-Vega et al. [28]; aneuploidy and genome doubling from Taylor et al. [29]; fusion calls and the profiled denominator from Gao et al. [30]; and MANTIS and MSIsensor scores from TCGA PanCancer Atlas clinical-sample files [31-32]. Participant-level immune, inflammatory and genomic-context values were imported from the PanImmune workbook published by Thorsson et al. [21]. Its CIBERSORT fractions are RNA-deconvolution estimates [22], and its TIL Regional Fraction was derived from H&amp;E [23]. RNA pathway scores were constructed from UCSC Xena expression values [24] and MSigDB Hallmark, glutathione and vitamin B6 gene sets [25]. Source URLs, accession identifiers, transformations and missingness rules are listed in the machine-readable endpoint dictionary and acquisition map.</w:t>
      </w:r>
    </w:p>
    <w:p>
      <w:r>
        <w:t>Primary-tumour sample type 01 was used when a source supplied sample barcodes. A mutation-negative or fusion-negative label was assigned only within the corresponding profiled denominator. When more than one eligible primary sample or aliquot was present, the documented participant-level aggregation was applied before modelling. An exact TCGA sample-barcode match was not assumed to identify the same block, tissue portion or tumour region. The eleven matched TIL Regional Fraction tasks were retained in the full atlas but omitted from summaries of reference phenotypes derived independently of H&amp;E.</w:t>
      </w:r>
    </w:p>
    <w:p>
      <w:pPr>
        <w:pStyle w:val="Heading2"/>
      </w:pPr>
      <w:r>
        <w:t>Prediction and internal sensitivity analyses</w:t>
      </w:r>
    </w:p>
    <w:p>
      <w:r>
        <w:t>Each cancer-endpoint pair was modelled separately in the three slide representations. Identical patients, outer and inner folds, seeds, component grid and outcome definitions were used across representations. Components 1 to 20 were considered. Inner out-of-fold prediction error selected continuous components; inner out-of-fold AUROC selected binary PLS-LDA components. A binary operating threshold was chosen from training data only. Outer held-out predictions were pooled at patient level to calculate Q², RMSE and rank correlation for continuous outcomes and AUROC, precision-recall AUC, sensitivity, specificity, balanced accuracy, PPV and NPV for binary outcomes. fastPLS 0.4 was used with its default decomposition controls.</w:t>
      </w:r>
    </w:p>
    <w:p>
      <w:r>
        <w:t>Q² of 0.20 and AUROC of 0.60 were used as pragmatic effect thresholds for organizing follow-up analyses, not as clinical or significance cutoffs. Five alternative matched nested partitions were run for tasks crossing in any representation or lying near a threshold. For crossing tasks, complete TCGA tissue-source-site codes were kept together in both inner and outer grouped folds; matched-random folds reproduced group sizes and binary class counts. Grouped estimates were labelled as internal cohort-structure sensitivity. All outer predictions were pooled when a grouped test fold contained one binary class, and fold adequacy was reported separately. A metadata-stratified ridge subset assessed dependence on the downstream probe. No independent external cohort was evaluated.</w:t>
      </w:r>
    </w:p>
    <w:p>
      <w:pPr>
        <w:pStyle w:val="Heading1"/>
      </w:pPr>
      <w:r>
        <w:t>Table S1. Matched analysis scope</w:t>
      </w:r>
    </w:p>
    <w:p>
      <w:r>
        <w:t>The matched analysis used 8,241 patients from 30 cancers and 10,165 slide identifiers shared by all three representations. It evaluated 2,963 continuous and 426 binary cancer-endpoint pairs. Q² and AUROC were calculated from nested patient-level out-of-fold predictions. Effect thresholds organize descriptive follow-up; they are not clinical or multiplicity-controlled discovery boundaries.</w:t>
      </w:r>
    </w:p>
    <w:p>
      <w:pPr>
        <w:pStyle w:val="Heading1"/>
      </w:pPr>
      <w:r>
        <w:t>Table S2. Representation coverage before slide matching</w:t>
      </w:r>
    </w:p>
    <w:p>
      <w:r>
        <w:t>Released artifact counts show why patient and slide intersection was needed. The primary analysis retained only common slide identifiers, so all three representations used the same tissue inputs.</w:t>
      </w:r>
    </w:p>
    <w:tbl>
      <w:tblPr>
        <w:tblStyle w:val="TableGrid"/>
        <w:tblW w:type="dxa" w:w="8562"/>
        <w:jc w:val="left"/>
        <w:tblLayout w:type="fixed"/>
        <w:tblLook w:firstColumn="1" w:firstRow="1" w:lastColumn="0" w:lastRow="0" w:noHBand="0" w:noVBand="1" w:val="04A0"/>
        <w:tblLayout w:type="fixed"/>
        <w:tblInd w:type="dxa" w:w="0"/>
      </w:tblPr>
      <w:tblGrid>
        <w:gridCol w:w="1701"/>
        <w:gridCol w:w="1361"/>
        <w:gridCol w:w="1304"/>
        <w:gridCol w:w="1134"/>
        <w:gridCol w:w="1361"/>
        <w:gridCol w:w="1701"/>
      </w:tblGrid>
      <w:tr>
        <w:trPr>
          <w:tblHeader w:val="true"/>
          <w:cantSplit/>
        </w:trPr>
        <w:tc>
          <w:tcPr>
            <w:tcW w:type="dxa" w:w="1701"/>
          </w:tcPr>
          <w:p>
            <w:pPr>
              <w:spacing w:line="240" w:lineRule="auto" w:after="0"/>
            </w:pPr>
            <w:r>
              <w:rPr>
                <w:b/>
                <w:sz w:val="15"/>
              </w:rPr>
              <w:t>Slide representation</w:t>
            </w:r>
          </w:p>
        </w:tc>
        <w:tc>
          <w:tcPr>
            <w:tcW w:type="dxa" w:w="1361"/>
          </w:tcPr>
          <w:p>
            <w:pPr>
              <w:spacing w:line="240" w:lineRule="auto" w:after="0"/>
            </w:pPr>
            <w:r>
              <w:rPr>
                <w:b/>
                <w:sz w:val="15"/>
              </w:rPr>
              <w:t>Released patients</w:t>
            </w:r>
          </w:p>
        </w:tc>
        <w:tc>
          <w:tcPr>
            <w:tcW w:type="dxa" w:w="1304"/>
          </w:tcPr>
          <w:p>
            <w:pPr>
              <w:spacing w:line="240" w:lineRule="auto" w:after="0"/>
            </w:pPr>
            <w:r>
              <w:rPr>
                <w:b/>
                <w:sz w:val="15"/>
              </w:rPr>
              <w:t>Released slides</w:t>
            </w:r>
          </w:p>
        </w:tc>
        <w:tc>
          <w:tcPr>
            <w:tcW w:type="dxa" w:w="1134"/>
          </w:tcPr>
          <w:p>
            <w:pPr>
              <w:spacing w:line="240" w:lineRule="auto" w:after="0"/>
            </w:pPr>
            <w:r>
              <w:rPr>
                <w:b/>
                <w:sz w:val="15"/>
              </w:rPr>
              <w:t>Dimensions</w:t>
            </w:r>
          </w:p>
        </w:tc>
        <w:tc>
          <w:tcPr>
            <w:tcW w:type="dxa" w:w="1361"/>
          </w:tcPr>
          <w:p>
            <w:pPr>
              <w:spacing w:line="240" w:lineRule="auto" w:after="0"/>
            </w:pPr>
            <w:r>
              <w:rPr>
                <w:b/>
                <w:sz w:val="15"/>
              </w:rPr>
              <w:t>Matched patients</w:t>
            </w:r>
          </w:p>
        </w:tc>
        <w:tc>
          <w:tcPr>
            <w:tcW w:type="dxa" w:w="1701"/>
          </w:tcPr>
          <w:p>
            <w:pPr>
              <w:spacing w:line="240" w:lineRule="auto" w:after="0"/>
            </w:pPr>
            <w:r>
              <w:rPr>
                <w:b/>
                <w:sz w:val="15"/>
              </w:rPr>
              <w:t>Common slide identifiers</w:t>
            </w:r>
          </w:p>
        </w:tc>
      </w:tr>
      <w:tr>
        <w:trPr>
          <w:cantSplit/>
        </w:trPr>
        <w:tc>
          <w:tcPr>
            <w:tcW w:type="dxa" w:w="1701"/>
            <w:vAlign w:val="center"/>
          </w:tcPr>
          <w:p>
            <w:pPr>
              <w:spacing w:line="240" w:lineRule="auto" w:after="0"/>
            </w:pPr>
            <w:r>
              <w:rPr>
                <w:sz w:val="14"/>
              </w:rPr>
              <w:t>TITAN</w:t>
            </w:r>
          </w:p>
        </w:tc>
        <w:tc>
          <w:tcPr>
            <w:tcW w:type="dxa" w:w="1361"/>
            <w:vAlign w:val="center"/>
          </w:tcPr>
          <w:p>
            <w:pPr>
              <w:spacing w:line="240" w:lineRule="auto" w:after="0"/>
            </w:pPr>
            <w:r>
              <w:rPr>
                <w:sz w:val="14"/>
              </w:rPr>
              <w:t>9404</w:t>
            </w:r>
          </w:p>
        </w:tc>
        <w:tc>
          <w:tcPr>
            <w:tcW w:type="dxa" w:w="1304"/>
            <w:vAlign w:val="center"/>
          </w:tcPr>
          <w:p>
            <w:pPr>
              <w:spacing w:line="240" w:lineRule="auto" w:after="0"/>
            </w:pPr>
            <w:r>
              <w:rPr>
                <w:sz w:val="14"/>
              </w:rPr>
              <w:t>11449</w:t>
            </w:r>
          </w:p>
        </w:tc>
        <w:tc>
          <w:tcPr>
            <w:tcW w:type="dxa" w:w="1134"/>
            <w:vAlign w:val="center"/>
          </w:tcPr>
          <w:p>
            <w:pPr>
              <w:spacing w:line="240" w:lineRule="auto" w:after="0"/>
            </w:pPr>
            <w:r>
              <w:rPr>
                <w:sz w:val="14"/>
              </w:rPr>
              <w:t>768</w:t>
            </w:r>
          </w:p>
        </w:tc>
        <w:tc>
          <w:tcPr>
            <w:tcW w:type="dxa" w:w="1361"/>
            <w:vAlign w:val="center"/>
          </w:tcPr>
          <w:p>
            <w:pPr>
              <w:spacing w:line="240" w:lineRule="auto" w:after="0"/>
            </w:pPr>
            <w:r>
              <w:rPr>
                <w:sz w:val="14"/>
              </w:rPr>
              <w:t>8241</w:t>
            </w:r>
          </w:p>
        </w:tc>
        <w:tc>
          <w:tcPr>
            <w:tcW w:type="dxa" w:w="1701"/>
            <w:vAlign w:val="center"/>
          </w:tcPr>
          <w:p>
            <w:pPr>
              <w:spacing w:line="240" w:lineRule="auto" w:after="0"/>
            </w:pPr>
            <w:r>
              <w:rPr>
                <w:sz w:val="14"/>
              </w:rPr>
              <w:t>10165</w:t>
            </w:r>
          </w:p>
        </w:tc>
      </w:tr>
      <w:tr>
        <w:trPr>
          <w:cantSplit/>
        </w:trPr>
        <w:tc>
          <w:tcPr>
            <w:tcW w:type="dxa" w:w="1701"/>
            <w:vAlign w:val="center"/>
          </w:tcPr>
          <w:p>
            <w:pPr>
              <w:spacing w:line="240" w:lineRule="auto" w:after="0"/>
            </w:pPr>
            <w:r>
              <w:rPr>
                <w:sz w:val="14"/>
              </w:rPr>
              <w:t>Giga-SSL</w:t>
            </w:r>
          </w:p>
        </w:tc>
        <w:tc>
          <w:tcPr>
            <w:tcW w:type="dxa" w:w="1361"/>
            <w:vAlign w:val="center"/>
          </w:tcPr>
          <w:p>
            <w:pPr>
              <w:spacing w:line="240" w:lineRule="auto" w:after="0"/>
            </w:pPr>
            <w:r>
              <w:rPr>
                <w:sz w:val="14"/>
              </w:rPr>
              <w:t>9378</w:t>
            </w:r>
          </w:p>
        </w:tc>
        <w:tc>
          <w:tcPr>
            <w:tcW w:type="dxa" w:w="1304"/>
            <w:vAlign w:val="center"/>
          </w:tcPr>
          <w:p>
            <w:pPr>
              <w:spacing w:line="240" w:lineRule="auto" w:after="0"/>
            </w:pPr>
            <w:r>
              <w:rPr>
                <w:sz w:val="14"/>
              </w:rPr>
              <w:t>11427</w:t>
            </w:r>
          </w:p>
        </w:tc>
        <w:tc>
          <w:tcPr>
            <w:tcW w:type="dxa" w:w="1134"/>
            <w:vAlign w:val="center"/>
          </w:tcPr>
          <w:p>
            <w:pPr>
              <w:spacing w:line="240" w:lineRule="auto" w:after="0"/>
            </w:pPr>
            <w:r>
              <w:rPr>
                <w:sz w:val="14"/>
              </w:rPr>
              <w:t>512</w:t>
            </w:r>
          </w:p>
        </w:tc>
        <w:tc>
          <w:tcPr>
            <w:tcW w:type="dxa" w:w="1361"/>
            <w:vAlign w:val="center"/>
          </w:tcPr>
          <w:p>
            <w:pPr>
              <w:spacing w:line="240" w:lineRule="auto" w:after="0"/>
            </w:pPr>
            <w:r>
              <w:rPr>
                <w:sz w:val="14"/>
              </w:rPr>
              <w:t>8241</w:t>
            </w:r>
          </w:p>
        </w:tc>
        <w:tc>
          <w:tcPr>
            <w:tcW w:type="dxa" w:w="1701"/>
            <w:vAlign w:val="center"/>
          </w:tcPr>
          <w:p>
            <w:pPr>
              <w:spacing w:line="240" w:lineRule="auto" w:after="0"/>
            </w:pPr>
            <w:r>
              <w:rPr>
                <w:sz w:val="14"/>
              </w:rPr>
              <w:t>10165</w:t>
            </w:r>
          </w:p>
        </w:tc>
      </w:tr>
      <w:tr>
        <w:trPr>
          <w:cantSplit/>
        </w:trPr>
        <w:tc>
          <w:tcPr>
            <w:tcW w:type="dxa" w:w="1701"/>
            <w:vAlign w:val="center"/>
          </w:tcPr>
          <w:p>
            <w:pPr>
              <w:spacing w:line="240" w:lineRule="auto" w:after="0"/>
            </w:pPr>
            <w:r>
              <w:rPr>
                <w:sz w:val="14"/>
              </w:rPr>
              <w:t>Prov-GigaPath</w:t>
            </w:r>
          </w:p>
        </w:tc>
        <w:tc>
          <w:tcPr>
            <w:tcW w:type="dxa" w:w="1361"/>
            <w:vAlign w:val="center"/>
          </w:tcPr>
          <w:p>
            <w:pPr>
              <w:spacing w:line="240" w:lineRule="auto" w:after="0"/>
            </w:pPr>
            <w:r>
              <w:rPr>
                <w:sz w:val="14"/>
              </w:rPr>
              <w:t>8393</w:t>
            </w:r>
          </w:p>
        </w:tc>
        <w:tc>
          <w:tcPr>
            <w:tcW w:type="dxa" w:w="1304"/>
            <w:vAlign w:val="center"/>
          </w:tcPr>
          <w:p>
            <w:pPr>
              <w:spacing w:line="240" w:lineRule="auto" w:after="0"/>
            </w:pPr>
            <w:r>
              <w:rPr>
                <w:sz w:val="14"/>
              </w:rPr>
              <w:t>10328</w:t>
            </w:r>
          </w:p>
        </w:tc>
        <w:tc>
          <w:tcPr>
            <w:tcW w:type="dxa" w:w="1134"/>
            <w:vAlign w:val="center"/>
          </w:tcPr>
          <w:p>
            <w:pPr>
              <w:spacing w:line="240" w:lineRule="auto" w:after="0"/>
            </w:pPr>
            <w:r>
              <w:rPr>
                <w:sz w:val="14"/>
              </w:rPr>
              <w:t>768</w:t>
            </w:r>
          </w:p>
        </w:tc>
        <w:tc>
          <w:tcPr>
            <w:tcW w:type="dxa" w:w="1361"/>
            <w:vAlign w:val="center"/>
          </w:tcPr>
          <w:p>
            <w:pPr>
              <w:spacing w:line="240" w:lineRule="auto" w:after="0"/>
            </w:pPr>
            <w:r>
              <w:rPr>
                <w:sz w:val="14"/>
              </w:rPr>
              <w:t>8241</w:t>
            </w:r>
          </w:p>
        </w:tc>
        <w:tc>
          <w:tcPr>
            <w:tcW w:type="dxa" w:w="1701"/>
            <w:vAlign w:val="center"/>
          </w:tcPr>
          <w:p>
            <w:pPr>
              <w:spacing w:line="240" w:lineRule="auto" w:after="0"/>
            </w:pPr>
            <w:r>
              <w:rPr>
                <w:sz w:val="14"/>
              </w:rPr>
              <w:t>10165</w:t>
            </w:r>
          </w:p>
        </w:tc>
      </w:tr>
    </w:tbl>
    <w:p/>
    <w:p>
      <w:pPr>
        <w:pStyle w:val="Heading1"/>
      </w:pPr>
      <w:r>
        <w:t>Table S3. Slide multiplicity, pathology quality and molecular-slide linkage</w:t>
      </w:r>
    </w:p>
    <w:tbl>
      <w:tblPr>
        <w:tblStyle w:val="TableGrid"/>
        <w:tblW w:type="dxa" w:w="8845"/>
        <w:jc w:val="left"/>
        <w:tblLayout w:type="fixed"/>
        <w:tblLook w:firstColumn="1" w:firstRow="1" w:lastColumn="0" w:lastRow="0" w:noHBand="0" w:noVBand="1" w:val="04A0"/>
        <w:tblLayout w:type="fixed"/>
        <w:tblInd w:type="dxa" w:w="0"/>
      </w:tblPr>
      <w:tblGrid>
        <w:gridCol w:w="1417"/>
        <w:gridCol w:w="1134"/>
        <w:gridCol w:w="1134"/>
        <w:gridCol w:w="1134"/>
        <w:gridCol w:w="1191"/>
        <w:gridCol w:w="2835"/>
      </w:tblGrid>
      <w:tr>
        <w:trPr>
          <w:tblHeader w:val="true"/>
          <w:cantSplit/>
        </w:trPr>
        <w:tc>
          <w:tcPr>
            <w:tcW w:type="dxa" w:w="1417"/>
          </w:tcPr>
          <w:p>
            <w:pPr>
              <w:spacing w:line="240" w:lineRule="auto" w:after="0"/>
            </w:pPr>
            <w:r>
              <w:rPr>
                <w:b/>
                <w:sz w:val="14"/>
              </w:rPr>
              <w:t>Representation</w:t>
            </w:r>
          </w:p>
        </w:tc>
        <w:tc>
          <w:tcPr>
            <w:tcW w:type="dxa" w:w="1134"/>
          </w:tcPr>
          <w:p>
            <w:pPr>
              <w:spacing w:line="240" w:lineRule="auto" w:after="0"/>
            </w:pPr>
            <w:r>
              <w:rPr>
                <w:b/>
                <w:sz w:val="14"/>
              </w:rPr>
              <w:t>Released patients</w:t>
            </w:r>
          </w:p>
        </w:tc>
        <w:tc>
          <w:tcPr>
            <w:tcW w:type="dxa" w:w="1134"/>
          </w:tcPr>
          <w:p>
            <w:pPr>
              <w:spacing w:line="240" w:lineRule="auto" w:after="0"/>
            </w:pPr>
            <w:r>
              <w:rPr>
                <w:b/>
                <w:sz w:val="14"/>
              </w:rPr>
              <w:t>Released slides</w:t>
            </w:r>
          </w:p>
        </w:tc>
        <w:tc>
          <w:tcPr>
            <w:tcW w:type="dxa" w:w="1134"/>
          </w:tcPr>
          <w:p>
            <w:pPr>
              <w:spacing w:line="240" w:lineRule="auto" w:after="0"/>
            </w:pPr>
            <w:r>
              <w:rPr>
                <w:b/>
                <w:sz w:val="14"/>
              </w:rPr>
              <w:t>Common patients</w:t>
            </w:r>
          </w:p>
        </w:tc>
        <w:tc>
          <w:tcPr>
            <w:tcW w:type="dxa" w:w="1191"/>
          </w:tcPr>
          <w:p>
            <w:pPr>
              <w:spacing w:line="240" w:lineRule="auto" w:after="0"/>
            </w:pPr>
            <w:r>
              <w:rPr>
                <w:b/>
                <w:sz w:val="14"/>
              </w:rPr>
              <w:t>Multi-slide patients</w:t>
            </w:r>
          </w:p>
        </w:tc>
        <w:tc>
          <w:tcPr>
            <w:tcW w:type="dxa" w:w="2835"/>
          </w:tcPr>
          <w:p>
            <w:pPr>
              <w:spacing w:line="240" w:lineRule="auto" w:after="0"/>
            </w:pPr>
            <w:r>
              <w:rPr>
                <w:b/>
                <w:sz w:val="14"/>
              </w:rPr>
              <w:t>Heterogeneity summary</w:t>
            </w:r>
          </w:p>
        </w:tc>
      </w:tr>
      <w:tr>
        <w:trPr>
          <w:cantSplit/>
        </w:trPr>
        <w:tc>
          <w:tcPr>
            <w:tcW w:type="dxa" w:w="1417"/>
            <w:vAlign w:val="center"/>
          </w:tcPr>
          <w:p>
            <w:pPr>
              <w:spacing w:line="240" w:lineRule="auto" w:after="0"/>
            </w:pPr>
            <w:r>
              <w:rPr>
                <w:sz w:val="14"/>
              </w:rPr>
              <w:t>TITAN</w:t>
            </w:r>
          </w:p>
        </w:tc>
        <w:tc>
          <w:tcPr>
            <w:tcW w:type="dxa" w:w="1134"/>
            <w:vAlign w:val="center"/>
          </w:tcPr>
          <w:p>
            <w:pPr>
              <w:spacing w:line="240" w:lineRule="auto" w:after="0"/>
            </w:pPr>
            <w:r>
              <w:rPr>
                <w:sz w:val="14"/>
              </w:rPr>
              <w:t>9404</w:t>
            </w:r>
          </w:p>
        </w:tc>
        <w:tc>
          <w:tcPr>
            <w:tcW w:type="dxa" w:w="1134"/>
            <w:vAlign w:val="center"/>
          </w:tcPr>
          <w:p>
            <w:pPr>
              <w:spacing w:line="240" w:lineRule="auto" w:after="0"/>
            </w:pPr>
            <w:r>
              <w:rPr>
                <w:sz w:val="14"/>
              </w:rPr>
              <w:t>11449</w:t>
            </w:r>
          </w:p>
        </w:tc>
        <w:tc>
          <w:tcPr>
            <w:tcW w:type="dxa" w:w="1134"/>
            <w:vAlign w:val="center"/>
          </w:tcPr>
          <w:p>
            <w:pPr>
              <w:spacing w:line="240" w:lineRule="auto" w:after="0"/>
            </w:pPr>
            <w:r>
              <w:rPr>
                <w:sz w:val="14"/>
              </w:rPr>
              <w:t>8241</w:t>
            </w:r>
          </w:p>
        </w:tc>
        <w:tc>
          <w:tcPr>
            <w:tcW w:type="dxa" w:w="1191"/>
            <w:vAlign w:val="center"/>
          </w:tcPr>
          <w:p>
            <w:pPr>
              <w:spacing w:line="240" w:lineRule="auto" w:after="0"/>
            </w:pPr>
            <w:r>
              <w:rPr>
                <w:sz w:val="14"/>
              </w:rPr>
              <w:t>843</w:t>
            </w:r>
          </w:p>
        </w:tc>
        <w:tc>
          <w:tcPr>
            <w:tcW w:type="dxa" w:w="2835"/>
            <w:vAlign w:val="center"/>
          </w:tcPr>
          <w:p>
            <w:pPr>
              <w:spacing w:line="240" w:lineRule="auto" w:after="0"/>
            </w:pPr>
            <w:r>
              <w:rPr>
                <w:sz w:val="14"/>
              </w:rPr>
              <w:t>median pairwise cosine distance 0.0803; median max leave-one-out change 0.0101</w:t>
            </w:r>
          </w:p>
        </w:tc>
      </w:tr>
      <w:tr>
        <w:trPr>
          <w:cantSplit/>
        </w:trPr>
        <w:tc>
          <w:tcPr>
            <w:tcW w:type="dxa" w:w="1417"/>
            <w:vAlign w:val="center"/>
          </w:tcPr>
          <w:p>
            <w:pPr>
              <w:spacing w:line="240" w:lineRule="auto" w:after="0"/>
            </w:pPr>
            <w:r>
              <w:rPr>
                <w:sz w:val="14"/>
              </w:rPr>
              <w:t>Giga-SSL</w:t>
            </w:r>
          </w:p>
        </w:tc>
        <w:tc>
          <w:tcPr>
            <w:tcW w:type="dxa" w:w="1134"/>
            <w:vAlign w:val="center"/>
          </w:tcPr>
          <w:p>
            <w:pPr>
              <w:spacing w:line="240" w:lineRule="auto" w:after="0"/>
            </w:pPr>
            <w:r>
              <w:rPr>
                <w:sz w:val="14"/>
              </w:rPr>
              <w:t>9378</w:t>
            </w:r>
          </w:p>
        </w:tc>
        <w:tc>
          <w:tcPr>
            <w:tcW w:type="dxa" w:w="1134"/>
            <w:vAlign w:val="center"/>
          </w:tcPr>
          <w:p>
            <w:pPr>
              <w:spacing w:line="240" w:lineRule="auto" w:after="0"/>
            </w:pPr>
            <w:r>
              <w:rPr>
                <w:sz w:val="14"/>
              </w:rPr>
              <w:t>11427</w:t>
            </w:r>
          </w:p>
        </w:tc>
        <w:tc>
          <w:tcPr>
            <w:tcW w:type="dxa" w:w="1134"/>
            <w:vAlign w:val="center"/>
          </w:tcPr>
          <w:p>
            <w:pPr>
              <w:spacing w:line="240" w:lineRule="auto" w:after="0"/>
            </w:pPr>
            <w:r>
              <w:rPr>
                <w:sz w:val="14"/>
              </w:rPr>
              <w:t>8241</w:t>
            </w:r>
          </w:p>
        </w:tc>
        <w:tc>
          <w:tcPr>
            <w:tcW w:type="dxa" w:w="1191"/>
            <w:vAlign w:val="center"/>
          </w:tcPr>
          <w:p>
            <w:pPr>
              <w:spacing w:line="240" w:lineRule="auto" w:after="0"/>
            </w:pPr>
            <w:r>
              <w:rPr>
                <w:sz w:val="14"/>
              </w:rPr>
              <w:t>845</w:t>
            </w:r>
          </w:p>
        </w:tc>
        <w:tc>
          <w:tcPr>
            <w:tcW w:type="dxa" w:w="2835"/>
            <w:vAlign w:val="center"/>
          </w:tcPr>
          <w:p>
            <w:pPr>
              <w:spacing w:line="240" w:lineRule="auto" w:after="0"/>
            </w:pPr>
            <w:r>
              <w:rPr>
                <w:sz w:val="14"/>
              </w:rPr>
              <w:t>median pairwise cosine distance 0.1027; median max leave-one-out change 0.0118</w:t>
            </w:r>
          </w:p>
        </w:tc>
      </w:tr>
      <w:tr>
        <w:trPr>
          <w:cantSplit/>
        </w:trPr>
        <w:tc>
          <w:tcPr>
            <w:tcW w:type="dxa" w:w="1417"/>
            <w:vAlign w:val="center"/>
          </w:tcPr>
          <w:p>
            <w:pPr>
              <w:spacing w:line="240" w:lineRule="auto" w:after="0"/>
            </w:pPr>
            <w:r>
              <w:rPr>
                <w:sz w:val="14"/>
              </w:rPr>
              <w:t>Prov-GigaPath</w:t>
            </w:r>
          </w:p>
        </w:tc>
        <w:tc>
          <w:tcPr>
            <w:tcW w:type="dxa" w:w="1134"/>
            <w:vAlign w:val="center"/>
          </w:tcPr>
          <w:p>
            <w:pPr>
              <w:spacing w:line="240" w:lineRule="auto" w:after="0"/>
            </w:pPr>
            <w:r>
              <w:rPr>
                <w:sz w:val="14"/>
              </w:rPr>
              <w:t>8393</w:t>
            </w:r>
          </w:p>
        </w:tc>
        <w:tc>
          <w:tcPr>
            <w:tcW w:type="dxa" w:w="1134"/>
            <w:vAlign w:val="center"/>
          </w:tcPr>
          <w:p>
            <w:pPr>
              <w:spacing w:line="240" w:lineRule="auto" w:after="0"/>
            </w:pPr>
            <w:r>
              <w:rPr>
                <w:sz w:val="14"/>
              </w:rPr>
              <w:t>10328</w:t>
            </w:r>
          </w:p>
        </w:tc>
        <w:tc>
          <w:tcPr>
            <w:tcW w:type="dxa" w:w="1134"/>
            <w:vAlign w:val="center"/>
          </w:tcPr>
          <w:p>
            <w:pPr>
              <w:spacing w:line="240" w:lineRule="auto" w:after="0"/>
            </w:pPr>
            <w:r>
              <w:rPr>
                <w:sz w:val="14"/>
              </w:rPr>
              <w:t>8241</w:t>
            </w:r>
          </w:p>
        </w:tc>
        <w:tc>
          <w:tcPr>
            <w:tcW w:type="dxa" w:w="1191"/>
            <w:vAlign w:val="center"/>
          </w:tcPr>
          <w:p>
            <w:pPr>
              <w:spacing w:line="240" w:lineRule="auto" w:after="0"/>
            </w:pPr>
            <w:r>
              <w:rPr>
                <w:sz w:val="14"/>
              </w:rPr>
              <w:t>778</w:t>
            </w:r>
          </w:p>
        </w:tc>
        <w:tc>
          <w:tcPr>
            <w:tcW w:type="dxa" w:w="2835"/>
            <w:vAlign w:val="center"/>
          </w:tcPr>
          <w:p>
            <w:pPr>
              <w:spacing w:line="240" w:lineRule="auto" w:after="0"/>
            </w:pPr>
            <w:r>
              <w:rPr>
                <w:sz w:val="14"/>
              </w:rPr>
              <w:t>median pairwise cosine distance 0.0517; median max leave-one-out change 0.0058</w:t>
            </w:r>
          </w:p>
        </w:tc>
      </w:tr>
    </w:tbl>
    <w:p/>
    <w:p>
      <w:r>
        <w:t>No structured tumour cellularity, tissue area, artefact, biopsy/resection or independent slide-quality field was available. Generated narratives flagged 6 patients with no-residual-tumour language; these non-adjudicated flags were not used for primary exclusion or weighting.</w:t>
      </w:r>
    </w:p>
    <w:tbl>
      <w:tblPr>
        <w:tblStyle w:val="TableGrid"/>
        <w:tblW w:type="dxa" w:w="9242"/>
        <w:jc w:val="left"/>
        <w:tblLayout w:type="fixed"/>
        <w:tblLook w:firstColumn="1" w:firstRow="1" w:lastColumn="0" w:lastRow="0" w:noHBand="0" w:noVBand="1" w:val="04A0"/>
        <w:tblLayout w:type="fixed"/>
        <w:tblInd w:type="dxa" w:w="0"/>
      </w:tblPr>
      <w:tblGrid>
        <w:gridCol w:w="1531"/>
        <w:gridCol w:w="1361"/>
        <w:gridCol w:w="1020"/>
        <w:gridCol w:w="1134"/>
        <w:gridCol w:w="1361"/>
        <w:gridCol w:w="2835"/>
      </w:tblGrid>
      <w:tr>
        <w:trPr>
          <w:tblHeader w:val="true"/>
          <w:cantSplit/>
        </w:trPr>
        <w:tc>
          <w:tcPr>
            <w:tcW w:type="dxa" w:w="1531"/>
          </w:tcPr>
          <w:p>
            <w:pPr>
              <w:spacing w:line="240" w:lineRule="auto" w:after="0"/>
            </w:pPr>
            <w:r>
              <w:rPr>
                <w:b/>
                <w:sz w:val="14"/>
              </w:rPr>
              <w:t>Molecular source</w:t>
            </w:r>
          </w:p>
        </w:tc>
        <w:tc>
          <w:tcPr>
            <w:tcW w:type="dxa" w:w="1361"/>
          </w:tcPr>
          <w:p>
            <w:pPr>
              <w:spacing w:line="240" w:lineRule="auto" w:after="0"/>
            </w:pPr>
            <w:r>
              <w:rPr>
                <w:b/>
                <w:sz w:val="14"/>
              </w:rPr>
              <w:t>Identifier resolution</w:t>
            </w:r>
          </w:p>
        </w:tc>
        <w:tc>
          <w:tcPr>
            <w:tcW w:type="dxa" w:w="1020"/>
          </w:tcPr>
          <w:p>
            <w:pPr>
              <w:spacing w:line="240" w:lineRule="auto" w:after="0"/>
            </w:pPr>
            <w:r>
              <w:rPr>
                <w:b/>
                <w:sz w:val="14"/>
              </w:rPr>
              <w:t>Covered patients</w:t>
            </w:r>
          </w:p>
        </w:tc>
        <w:tc>
          <w:tcPr>
            <w:tcW w:type="dxa" w:w="1134"/>
          </w:tcPr>
          <w:p>
            <w:pPr>
              <w:spacing w:line="240" w:lineRule="auto" w:after="0"/>
            </w:pPr>
            <w:r>
              <w:rPr>
                <w:b/>
                <w:sz w:val="14"/>
              </w:rPr>
              <w:t>Exact sample match</w:t>
            </w:r>
          </w:p>
        </w:tc>
        <w:tc>
          <w:tcPr>
            <w:tcW w:type="dxa" w:w="1361"/>
          </w:tcPr>
          <w:p>
            <w:pPr>
              <w:spacing w:line="240" w:lineRule="auto" w:after="0"/>
            </w:pPr>
            <w:r>
              <w:rPr>
                <w:b/>
                <w:sz w:val="14"/>
              </w:rPr>
              <w:t>Multiple primary samples</w:t>
            </w:r>
          </w:p>
        </w:tc>
        <w:tc>
          <w:tcPr>
            <w:tcW w:type="dxa" w:w="2835"/>
          </w:tcPr>
          <w:p>
            <w:pPr>
              <w:spacing w:line="240" w:lineRule="auto" w:after="0"/>
            </w:pPr>
            <w:r>
              <w:rPr>
                <w:b/>
                <w:sz w:val="14"/>
              </w:rPr>
              <w:t>Residual limitation</w:t>
            </w:r>
          </w:p>
        </w:tc>
      </w:tr>
      <w:tr>
        <w:trPr>
          <w:cantSplit/>
        </w:trPr>
        <w:tc>
          <w:tcPr>
            <w:tcW w:type="dxa" w:w="1531"/>
            <w:vAlign w:val="center"/>
          </w:tcPr>
          <w:p>
            <w:pPr>
              <w:spacing w:line="240" w:lineRule="auto" w:after="0"/>
            </w:pPr>
            <w:r>
              <w:rPr>
                <w:sz w:val="13"/>
              </w:rPr>
              <w:t>Thorsson2018_PanImmune_MS</w:t>
            </w:r>
          </w:p>
        </w:tc>
        <w:tc>
          <w:tcPr>
            <w:tcW w:type="dxa" w:w="1361"/>
            <w:vAlign w:val="center"/>
          </w:tcPr>
          <w:p>
            <w:pPr>
              <w:spacing w:line="240" w:lineRule="auto" w:after="0"/>
            </w:pPr>
            <w:r>
              <w:rPr>
                <w:sz w:val="13"/>
              </w:rPr>
              <w:t>participant identifier only</w:t>
            </w:r>
          </w:p>
        </w:tc>
        <w:tc>
          <w:tcPr>
            <w:tcW w:type="dxa" w:w="1020"/>
            <w:vAlign w:val="center"/>
          </w:tcPr>
          <w:p>
            <w:pPr>
              <w:spacing w:line="240" w:lineRule="auto" w:after="0"/>
            </w:pPr>
            <w:r>
              <w:rPr>
                <w:sz w:val="13"/>
              </w:rPr>
              <w:t>9235</w:t>
            </w:r>
          </w:p>
        </w:tc>
        <w:tc>
          <w:tcPr>
            <w:tcW w:type="dxa" w:w="1134"/>
            <w:vAlign w:val="center"/>
          </w:tcPr>
          <w:p>
            <w:pPr>
              <w:spacing w:line="240" w:lineRule="auto" w:after="0"/>
            </w:pPr>
            <w:r>
              <w:rPr>
                <w:sz w:val="13"/>
              </w:rPr>
              <w:t>NA</w:t>
            </w:r>
          </w:p>
        </w:tc>
        <w:tc>
          <w:tcPr>
            <w:tcW w:type="dxa" w:w="1361"/>
            <w:vAlign w:val="center"/>
          </w:tcPr>
          <w:p>
            <w:pPr>
              <w:spacing w:line="240" w:lineRule="auto" w:after="0"/>
            </w:pPr>
            <w:r>
              <w:rPr>
                <w:sz w:val="13"/>
              </w:rPr>
              <w:t>NA</w:t>
            </w:r>
          </w:p>
        </w:tc>
        <w:tc>
          <w:tcPr>
            <w:tcW w:type="dxa" w:w="2835"/>
            <w:vAlign w:val="center"/>
          </w:tcPr>
          <w:p>
            <w:pPr>
              <w:spacing w:line="240" w:lineRule="auto" w:after="0"/>
            </w:pPr>
            <w:r>
              <w:rPr>
                <w:sz w:val="13"/>
              </w:rPr>
              <w:t>No sample, portion, analyte or aliquot identifier is supplied; every matched label is participant-level and may refer to a different tumour block.</w:t>
            </w:r>
          </w:p>
        </w:tc>
      </w:tr>
      <w:tr>
        <w:trPr>
          <w:cantSplit/>
        </w:trPr>
        <w:tc>
          <w:tcPr>
            <w:tcW w:type="dxa" w:w="1531"/>
            <w:vAlign w:val="center"/>
          </w:tcPr>
          <w:p>
            <w:pPr>
              <w:spacing w:line="240" w:lineRule="auto" w:after="0"/>
            </w:pPr>
            <w:r>
              <w:rPr>
                <w:sz w:val="13"/>
              </w:rPr>
              <w:t>Taylor2018_TableS2</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8667</w:t>
            </w:r>
          </w:p>
        </w:tc>
        <w:tc>
          <w:tcPr>
            <w:tcW w:type="dxa" w:w="1134"/>
            <w:vAlign w:val="center"/>
          </w:tcPr>
          <w:p>
            <w:pPr>
              <w:spacing w:line="240" w:lineRule="auto" w:after="0"/>
            </w:pPr>
            <w:r>
              <w:rPr>
                <w:sz w:val="13"/>
              </w:rPr>
              <w:t>8667</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A 15-character TCGA sample match identifies the same primary-tumour specimen, but does not prove that the WSI and molecular assay used the same portion, analyte, aliquot or block.</w:t>
            </w:r>
          </w:p>
        </w:tc>
      </w:tr>
      <w:tr>
        <w:trPr>
          <w:cantSplit/>
        </w:trPr>
        <w:tc>
          <w:tcPr>
            <w:tcW w:type="dxa" w:w="1531"/>
            <w:vAlign w:val="center"/>
          </w:tcPr>
          <w:p>
            <w:pPr>
              <w:spacing w:line="240" w:lineRule="auto" w:after="0"/>
            </w:pPr>
            <w:r>
              <w:rPr>
                <w:sz w:val="13"/>
              </w:rPr>
              <w:t>SanchezVega2018_TableS4</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7789</w:t>
            </w:r>
          </w:p>
        </w:tc>
        <w:tc>
          <w:tcPr>
            <w:tcW w:type="dxa" w:w="1134"/>
            <w:vAlign w:val="center"/>
          </w:tcPr>
          <w:p>
            <w:pPr>
              <w:spacing w:line="240" w:lineRule="auto" w:after="0"/>
            </w:pPr>
            <w:r>
              <w:rPr>
                <w:sz w:val="13"/>
              </w:rPr>
              <w:t>7789</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Pathway calls can be linked at sample level; portion-, analyte-, aliquot- and block-level identity is unavailable and multiple primary samples are collapsed by patient.</w:t>
            </w:r>
          </w:p>
        </w:tc>
      </w:tr>
      <w:tr>
        <w:trPr>
          <w:cantSplit/>
        </w:trPr>
        <w:tc>
          <w:tcPr>
            <w:tcW w:type="dxa" w:w="1531"/>
            <w:vAlign w:val="center"/>
          </w:tcPr>
          <w:p>
            <w:pPr>
              <w:spacing w:line="240" w:lineRule="auto" w:after="0"/>
            </w:pPr>
            <w:r>
              <w:rPr>
                <w:sz w:val="13"/>
              </w:rPr>
              <w:t>Gao2018_TableS1</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8068</w:t>
            </w:r>
          </w:p>
        </w:tc>
        <w:tc>
          <w:tcPr>
            <w:tcW w:type="dxa" w:w="1134"/>
            <w:vAlign w:val="center"/>
          </w:tcPr>
          <w:p>
            <w:pPr>
              <w:spacing w:line="240" w:lineRule="auto" w:after="0"/>
            </w:pPr>
            <w:r>
              <w:rPr>
                <w:sz w:val="13"/>
              </w:rPr>
              <w:t>8068</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The assay denominator is sample-indexed, but RNA aliquot/block identity and within-tumour fusion heterogeneity cannot be resolved from the released table.</w:t>
            </w:r>
          </w:p>
        </w:tc>
      </w:tr>
      <w:tr>
        <w:trPr>
          <w:cantSplit/>
        </w:trPr>
        <w:tc>
          <w:tcPr>
            <w:tcW w:type="dxa" w:w="1531"/>
            <w:vAlign w:val="center"/>
          </w:tcPr>
          <w:p>
            <w:pPr>
              <w:spacing w:line="240" w:lineRule="auto" w:after="0"/>
            </w:pPr>
            <w:r>
              <w:rPr>
                <w:sz w:val="13"/>
              </w:rPr>
              <w:t>cBioPortal_TCGA_PanCancer</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8964</w:t>
            </w:r>
          </w:p>
        </w:tc>
        <w:tc>
          <w:tcPr>
            <w:tcW w:type="dxa" w:w="1134"/>
            <w:vAlign w:val="center"/>
          </w:tcPr>
          <w:p>
            <w:pPr>
              <w:spacing w:line="240" w:lineRule="auto" w:after="0"/>
            </w:pPr>
            <w:r>
              <w:rPr>
                <w:sz w:val="13"/>
              </w:rPr>
              <w:t>8964</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MSI scores can be linked at sample level, but the released clinical files do not establish the same molecular aliquot, slide block or tumour region.</w:t>
            </w:r>
          </w:p>
        </w:tc>
      </w:tr>
      <w:tr>
        <w:trPr>
          <w:cantSplit/>
        </w:trPr>
        <w:tc>
          <w:tcPr>
            <w:tcW w:type="dxa" w:w="1531"/>
            <w:vAlign w:val="center"/>
          </w:tcPr>
          <w:p>
            <w:pPr>
              <w:spacing w:line="240" w:lineRule="auto" w:after="0"/>
            </w:pPr>
            <w:r>
              <w:rPr>
                <w:sz w:val="13"/>
              </w:rPr>
              <w:t>TCGA_MC3_Bailey2018</w:t>
            </w:r>
          </w:p>
        </w:tc>
        <w:tc>
          <w:tcPr>
            <w:tcW w:type="dxa" w:w="1361"/>
            <w:vAlign w:val="center"/>
          </w:tcPr>
          <w:p>
            <w:pPr>
              <w:spacing w:line="240" w:lineRule="auto" w:after="0"/>
            </w:pPr>
            <w:r>
              <w:rPr>
                <w:sz w:val="13"/>
              </w:rPr>
              <w:t>TCGA sample barcode available</w:t>
            </w:r>
          </w:p>
        </w:tc>
        <w:tc>
          <w:tcPr>
            <w:tcW w:type="dxa" w:w="1020"/>
            <w:vAlign w:val="center"/>
          </w:tcPr>
          <w:p>
            <w:pPr>
              <w:spacing w:line="240" w:lineRule="auto" w:after="0"/>
            </w:pPr>
            <w:r>
              <w:rPr>
                <w:sz w:val="13"/>
              </w:rPr>
              <w:t>8482</w:t>
            </w:r>
          </w:p>
        </w:tc>
        <w:tc>
          <w:tcPr>
            <w:tcW w:type="dxa" w:w="1134"/>
            <w:vAlign w:val="center"/>
          </w:tcPr>
          <w:p>
            <w:pPr>
              <w:spacing w:line="240" w:lineRule="auto" w:after="0"/>
            </w:pPr>
            <w:r>
              <w:rPr>
                <w:sz w:val="13"/>
              </w:rPr>
              <w:t>8482</w:t>
            </w:r>
          </w:p>
        </w:tc>
        <w:tc>
          <w:tcPr>
            <w:tcW w:type="dxa" w:w="1361"/>
            <w:vAlign w:val="center"/>
          </w:tcPr>
          <w:p>
            <w:pPr>
              <w:spacing w:line="240" w:lineRule="auto" w:after="0"/>
            </w:pPr>
            <w:r>
              <w:rPr>
                <w:sz w:val="13"/>
              </w:rPr>
              <w:t>0</w:t>
            </w:r>
          </w:p>
        </w:tc>
        <w:tc>
          <w:tcPr>
            <w:tcW w:type="dxa" w:w="2835"/>
            <w:vAlign w:val="center"/>
          </w:tcPr>
          <w:p>
            <w:pPr>
              <w:spacing w:line="240" w:lineRule="auto" w:after="0"/>
            </w:pPr>
            <w:r>
              <w:rPr>
                <w:sz w:val="13"/>
              </w:rPr>
              <w:t>MC3 profiling status and mutation calls are sample-indexed; a sample match does not guarantee the same portion, analyte, aliquot, block or subclone as the diagnostic WSI.</w:t>
            </w:r>
          </w:p>
        </w:tc>
      </w:tr>
    </w:tbl>
    <w:p/>
    <w:p>
      <w:r>
        <w:t>Mutation eligibility was documented for 537 cancer-gene pairs. Of these, 238 met the analysis denominator; the remaining pairs lacked sufficient positive or negative cases. Wild type was assigned only inside the MC3-profiled primary-tumour denominator. Cancer-specific coverage, aliquot handling and retained variant classes remain in mutation_coverage_audit.csv, mutation_target_eligibility_audit.csv and mutation_variant_classification_audit.csv.</w:t>
      </w:r>
    </w:p>
    <w:p>
      <w:r>
        <w:t>The outcome-acquisition Methods above report the source, identifier, participant-level aggregation, negative assignment and transformation for the Thorsson, Gao, Sanchez-Vega, Taylor and cBioPortal resources. Complete source-specific coverage, missingness and aliquot counts remain in molecular_source_coverage_audit.csv and outcome_source_acquisition_map.csv.</w:t>
      </w:r>
    </w:p>
    <w:p>
      <w:pPr>
        <w:pStyle w:val="Heading1"/>
      </w:pPr>
      <w:r>
        <w:t>Table S4. Selected binary tumour-feature predictions across all three slide representations</w:t>
      </w:r>
    </w:p>
    <w:p>
      <w:r>
        <w:t>Values are patient-level outer out-of-fold AUROCs in the matched cohort. The examples span mutations, gene fusions, MSI, genome doubling and oncogenic pathways. Support states which slide representations crossed AUROC 0.60; it is a descriptive navigation field, not a multiplicity-controlled discovery label.</w:t>
      </w:r>
    </w:p>
    <w:tbl>
      <w:tblPr>
        <w:tblStyle w:val="TableGrid"/>
        <w:tblW w:type="dxa" w:w="10659"/>
        <w:jc w:val="left"/>
        <w:tblLayout w:type="fixed"/>
        <w:tblLook w:firstColumn="1" w:firstRow="1" w:lastColumn="0" w:lastRow="0" w:noHBand="0" w:noVBand="1" w:val="04A0"/>
        <w:tblLayout w:type="fixed"/>
        <w:tblInd w:type="dxa" w:w="0"/>
      </w:tblPr>
      <w:tblGrid>
        <w:gridCol w:w="1304"/>
        <w:gridCol w:w="2268"/>
        <w:gridCol w:w="1247"/>
        <w:gridCol w:w="1134"/>
        <w:gridCol w:w="1247"/>
        <w:gridCol w:w="1361"/>
        <w:gridCol w:w="2098"/>
      </w:tblGrid>
      <w:tr>
        <w:trPr>
          <w:tblHeader w:val="true"/>
          <w:cantSplit/>
        </w:trPr>
        <w:tc>
          <w:tcPr>
            <w:tcW w:type="dxa" w:w="1304"/>
          </w:tcPr>
          <w:p>
            <w:pPr>
              <w:spacing w:line="216" w:lineRule="auto" w:after="0"/>
            </w:pPr>
            <w:r>
              <w:rPr>
                <w:b/>
                <w:sz w:val="13"/>
              </w:rPr>
              <w:t>Feature class</w:t>
            </w:r>
          </w:p>
        </w:tc>
        <w:tc>
          <w:tcPr>
            <w:tcW w:type="dxa" w:w="2268"/>
          </w:tcPr>
          <w:p>
            <w:pPr>
              <w:spacing w:line="216" w:lineRule="auto" w:after="0"/>
            </w:pPr>
            <w:r>
              <w:rPr>
                <w:b/>
                <w:sz w:val="13"/>
              </w:rPr>
              <w:t>Cancer and endpoint</w:t>
            </w:r>
          </w:p>
        </w:tc>
        <w:tc>
          <w:tcPr>
            <w:tcW w:type="dxa" w:w="1247"/>
          </w:tcPr>
          <w:p>
            <w:pPr>
              <w:spacing w:line="216" w:lineRule="auto" w:after="0"/>
            </w:pPr>
            <w:r>
              <w:rPr>
                <w:b/>
                <w:sz w:val="13"/>
              </w:rPr>
              <w:t>n (positive)</w:t>
            </w:r>
          </w:p>
        </w:tc>
        <w:tc>
          <w:tcPr>
            <w:tcW w:type="dxa" w:w="1134"/>
          </w:tcPr>
          <w:p>
            <w:pPr>
              <w:spacing w:line="216" w:lineRule="auto" w:after="0"/>
            </w:pPr>
            <w:r>
              <w:rPr>
                <w:b/>
                <w:sz w:val="13"/>
              </w:rPr>
              <w:t>TITAN AUROC</w:t>
            </w:r>
          </w:p>
        </w:tc>
        <w:tc>
          <w:tcPr>
            <w:tcW w:type="dxa" w:w="1247"/>
          </w:tcPr>
          <w:p>
            <w:pPr>
              <w:spacing w:line="216" w:lineRule="auto" w:after="0"/>
            </w:pPr>
            <w:r>
              <w:rPr>
                <w:b/>
                <w:sz w:val="13"/>
              </w:rPr>
              <w:t>Giga-SSL AUROC</w:t>
            </w:r>
          </w:p>
        </w:tc>
        <w:tc>
          <w:tcPr>
            <w:tcW w:type="dxa" w:w="1361"/>
          </w:tcPr>
          <w:p>
            <w:pPr>
              <w:spacing w:line="216" w:lineRule="auto" w:after="0"/>
            </w:pPr>
            <w:r>
              <w:rPr>
                <w:b/>
                <w:sz w:val="13"/>
              </w:rPr>
              <w:t>Prov-GigaPath AUROC</w:t>
            </w:r>
          </w:p>
        </w:tc>
        <w:tc>
          <w:tcPr>
            <w:tcW w:type="dxa" w:w="2098"/>
          </w:tcPr>
          <w:p>
            <w:pPr>
              <w:spacing w:line="216" w:lineRule="auto" w:after="0"/>
            </w:pPr>
            <w:r>
              <w:rPr>
                <w:b/>
                <w:sz w:val="13"/>
              </w:rPr>
              <w:t>Slide representations crossing 0.60</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THYM: GTF2I</w:t>
            </w:r>
          </w:p>
        </w:tc>
        <w:tc>
          <w:tcPr>
            <w:tcW w:type="dxa" w:w="1247"/>
            <w:vAlign w:val="center"/>
          </w:tcPr>
          <w:p>
            <w:pPr>
              <w:spacing w:line="216" w:lineRule="auto" w:after="0"/>
            </w:pPr>
            <w:r>
              <w:rPr>
                <w:sz w:val="13"/>
              </w:rPr>
              <w:t>116 (57 positive)</w:t>
            </w:r>
          </w:p>
        </w:tc>
        <w:tc>
          <w:tcPr>
            <w:tcW w:type="dxa" w:w="1134"/>
            <w:vAlign w:val="center"/>
          </w:tcPr>
          <w:p>
            <w:pPr>
              <w:spacing w:line="216" w:lineRule="auto" w:after="0"/>
            </w:pPr>
            <w:r>
              <w:rPr>
                <w:sz w:val="13"/>
              </w:rPr>
              <w:t>0.911</w:t>
            </w:r>
          </w:p>
        </w:tc>
        <w:tc>
          <w:tcPr>
            <w:tcW w:type="dxa" w:w="1247"/>
            <w:vAlign w:val="center"/>
          </w:tcPr>
          <w:p>
            <w:pPr>
              <w:spacing w:line="216" w:lineRule="auto" w:after="0"/>
            </w:pPr>
            <w:r>
              <w:rPr>
                <w:sz w:val="13"/>
              </w:rPr>
              <w:t>0.875</w:t>
            </w:r>
          </w:p>
        </w:tc>
        <w:tc>
          <w:tcPr>
            <w:tcW w:type="dxa" w:w="1361"/>
            <w:vAlign w:val="center"/>
          </w:tcPr>
          <w:p>
            <w:pPr>
              <w:spacing w:line="216" w:lineRule="auto" w:after="0"/>
            </w:pPr>
            <w:r>
              <w:rPr>
                <w:sz w:val="13"/>
              </w:rPr>
              <w:t>0.879</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THCA: BRAF</w:t>
            </w:r>
          </w:p>
        </w:tc>
        <w:tc>
          <w:tcPr>
            <w:tcW w:type="dxa" w:w="1247"/>
            <w:vAlign w:val="center"/>
          </w:tcPr>
          <w:p>
            <w:pPr>
              <w:spacing w:line="216" w:lineRule="auto" w:after="0"/>
            </w:pPr>
            <w:r>
              <w:rPr>
                <w:sz w:val="13"/>
              </w:rPr>
              <w:t>480 (286 positive)</w:t>
            </w:r>
          </w:p>
        </w:tc>
        <w:tc>
          <w:tcPr>
            <w:tcW w:type="dxa" w:w="1134"/>
            <w:vAlign w:val="center"/>
          </w:tcPr>
          <w:p>
            <w:pPr>
              <w:spacing w:line="216" w:lineRule="auto" w:after="0"/>
            </w:pPr>
            <w:r>
              <w:rPr>
                <w:sz w:val="13"/>
              </w:rPr>
              <w:t>0.888</w:t>
            </w:r>
          </w:p>
        </w:tc>
        <w:tc>
          <w:tcPr>
            <w:tcW w:type="dxa" w:w="1247"/>
            <w:vAlign w:val="center"/>
          </w:tcPr>
          <w:p>
            <w:pPr>
              <w:spacing w:line="216" w:lineRule="auto" w:after="0"/>
            </w:pPr>
            <w:r>
              <w:rPr>
                <w:sz w:val="13"/>
              </w:rPr>
              <w:t>0.857</w:t>
            </w:r>
          </w:p>
        </w:tc>
        <w:tc>
          <w:tcPr>
            <w:tcW w:type="dxa" w:w="1361"/>
            <w:vAlign w:val="center"/>
          </w:tcPr>
          <w:p>
            <w:pPr>
              <w:spacing w:line="216" w:lineRule="auto" w:after="0"/>
            </w:pPr>
            <w:r>
              <w:rPr>
                <w:sz w:val="13"/>
              </w:rPr>
              <w:t>0.870</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LGG: IDH1</w:t>
            </w:r>
          </w:p>
        </w:tc>
        <w:tc>
          <w:tcPr>
            <w:tcW w:type="dxa" w:w="1247"/>
            <w:vAlign w:val="center"/>
          </w:tcPr>
          <w:p>
            <w:pPr>
              <w:spacing w:line="216" w:lineRule="auto" w:after="0"/>
            </w:pPr>
            <w:r>
              <w:rPr>
                <w:sz w:val="13"/>
              </w:rPr>
              <w:t>485 (375 positive)</w:t>
            </w:r>
          </w:p>
        </w:tc>
        <w:tc>
          <w:tcPr>
            <w:tcW w:type="dxa" w:w="1134"/>
            <w:vAlign w:val="center"/>
          </w:tcPr>
          <w:p>
            <w:pPr>
              <w:spacing w:line="216" w:lineRule="auto" w:after="0"/>
            </w:pPr>
            <w:r>
              <w:rPr>
                <w:sz w:val="13"/>
              </w:rPr>
              <w:t>0.837</w:t>
            </w:r>
          </w:p>
        </w:tc>
        <w:tc>
          <w:tcPr>
            <w:tcW w:type="dxa" w:w="1247"/>
            <w:vAlign w:val="center"/>
          </w:tcPr>
          <w:p>
            <w:pPr>
              <w:spacing w:line="216" w:lineRule="auto" w:after="0"/>
            </w:pPr>
            <w:r>
              <w:rPr>
                <w:sz w:val="13"/>
              </w:rPr>
              <w:t>0.783</w:t>
            </w:r>
          </w:p>
        </w:tc>
        <w:tc>
          <w:tcPr>
            <w:tcW w:type="dxa" w:w="1361"/>
            <w:vAlign w:val="center"/>
          </w:tcPr>
          <w:p>
            <w:pPr>
              <w:spacing w:line="216" w:lineRule="auto" w:after="0"/>
            </w:pPr>
            <w:r>
              <w:rPr>
                <w:sz w:val="13"/>
              </w:rPr>
              <w:t>0.815</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LGG: TP53</w:t>
            </w:r>
          </w:p>
        </w:tc>
        <w:tc>
          <w:tcPr>
            <w:tcW w:type="dxa" w:w="1247"/>
            <w:vAlign w:val="center"/>
          </w:tcPr>
          <w:p>
            <w:pPr>
              <w:spacing w:line="216" w:lineRule="auto" w:after="0"/>
            </w:pPr>
            <w:r>
              <w:rPr>
                <w:sz w:val="13"/>
              </w:rPr>
              <w:t>485 (232 positive)</w:t>
            </w:r>
          </w:p>
        </w:tc>
        <w:tc>
          <w:tcPr>
            <w:tcW w:type="dxa" w:w="1134"/>
            <w:vAlign w:val="center"/>
          </w:tcPr>
          <w:p>
            <w:pPr>
              <w:spacing w:line="216" w:lineRule="auto" w:after="0"/>
            </w:pPr>
            <w:r>
              <w:rPr>
                <w:sz w:val="13"/>
              </w:rPr>
              <w:t>0.908</w:t>
            </w:r>
          </w:p>
        </w:tc>
        <w:tc>
          <w:tcPr>
            <w:tcW w:type="dxa" w:w="1247"/>
            <w:vAlign w:val="center"/>
          </w:tcPr>
          <w:p>
            <w:pPr>
              <w:spacing w:line="216" w:lineRule="auto" w:after="0"/>
            </w:pPr>
            <w:r>
              <w:rPr>
                <w:sz w:val="13"/>
              </w:rPr>
              <w:t>0.868</w:t>
            </w:r>
          </w:p>
        </w:tc>
        <w:tc>
          <w:tcPr>
            <w:tcW w:type="dxa" w:w="1361"/>
            <w:vAlign w:val="center"/>
          </w:tcPr>
          <w:p>
            <w:pPr>
              <w:spacing w:line="216" w:lineRule="auto" w:after="0"/>
            </w:pPr>
            <w:r>
              <w:rPr>
                <w:sz w:val="13"/>
              </w:rPr>
              <w:t>0.867</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Mutation</w:t>
            </w:r>
          </w:p>
        </w:tc>
        <w:tc>
          <w:tcPr>
            <w:tcW w:type="dxa" w:w="2268"/>
            <w:vAlign w:val="center"/>
          </w:tcPr>
          <w:p>
            <w:pPr>
              <w:spacing w:line="216" w:lineRule="auto" w:after="0"/>
            </w:pPr>
            <w:r>
              <w:rPr>
                <w:sz w:val="13"/>
              </w:rPr>
              <w:t>BLCA: FGFR3</w:t>
            </w:r>
          </w:p>
        </w:tc>
        <w:tc>
          <w:tcPr>
            <w:tcW w:type="dxa" w:w="1247"/>
            <w:vAlign w:val="center"/>
          </w:tcPr>
          <w:p>
            <w:pPr>
              <w:spacing w:line="216" w:lineRule="auto" w:after="0"/>
            </w:pPr>
            <w:r>
              <w:rPr>
                <w:sz w:val="13"/>
              </w:rPr>
              <w:t>384 (54 positive)</w:t>
            </w:r>
          </w:p>
        </w:tc>
        <w:tc>
          <w:tcPr>
            <w:tcW w:type="dxa" w:w="1134"/>
            <w:vAlign w:val="center"/>
          </w:tcPr>
          <w:p>
            <w:pPr>
              <w:spacing w:line="216" w:lineRule="auto" w:after="0"/>
            </w:pPr>
            <w:r>
              <w:rPr>
                <w:sz w:val="13"/>
              </w:rPr>
              <w:t>0.814</w:t>
            </w:r>
          </w:p>
        </w:tc>
        <w:tc>
          <w:tcPr>
            <w:tcW w:type="dxa" w:w="1247"/>
            <w:vAlign w:val="center"/>
          </w:tcPr>
          <w:p>
            <w:pPr>
              <w:spacing w:line="216" w:lineRule="auto" w:after="0"/>
            </w:pPr>
            <w:r>
              <w:rPr>
                <w:sz w:val="13"/>
              </w:rPr>
              <w:t>0.789</w:t>
            </w:r>
          </w:p>
        </w:tc>
        <w:tc>
          <w:tcPr>
            <w:tcW w:type="dxa" w:w="1361"/>
            <w:vAlign w:val="center"/>
          </w:tcPr>
          <w:p>
            <w:pPr>
              <w:spacing w:line="216" w:lineRule="auto" w:after="0"/>
            </w:pPr>
            <w:r>
              <w:rPr>
                <w:sz w:val="13"/>
              </w:rPr>
              <w:t>0.794</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Fusion</w:t>
            </w:r>
          </w:p>
        </w:tc>
        <w:tc>
          <w:tcPr>
            <w:tcW w:type="dxa" w:w="2268"/>
            <w:vAlign w:val="center"/>
          </w:tcPr>
          <w:p>
            <w:pPr>
              <w:spacing w:line="216" w:lineRule="auto" w:after="0"/>
            </w:pPr>
            <w:r>
              <w:rPr>
                <w:sz w:val="13"/>
              </w:rPr>
              <w:t>UCEC: Any called fusion</w:t>
            </w:r>
          </w:p>
        </w:tc>
        <w:tc>
          <w:tcPr>
            <w:tcW w:type="dxa" w:w="1247"/>
            <w:vAlign w:val="center"/>
          </w:tcPr>
          <w:p>
            <w:pPr>
              <w:spacing w:line="216" w:lineRule="auto" w:after="0"/>
            </w:pPr>
            <w:r>
              <w:rPr>
                <w:sz w:val="13"/>
              </w:rPr>
              <w:t>152 (80 positive)</w:t>
            </w:r>
          </w:p>
        </w:tc>
        <w:tc>
          <w:tcPr>
            <w:tcW w:type="dxa" w:w="1134"/>
            <w:vAlign w:val="center"/>
          </w:tcPr>
          <w:p>
            <w:pPr>
              <w:spacing w:line="216" w:lineRule="auto" w:after="0"/>
            </w:pPr>
            <w:r>
              <w:rPr>
                <w:sz w:val="13"/>
              </w:rPr>
              <w:t>0.779</w:t>
            </w:r>
          </w:p>
        </w:tc>
        <w:tc>
          <w:tcPr>
            <w:tcW w:type="dxa" w:w="1247"/>
            <w:vAlign w:val="center"/>
          </w:tcPr>
          <w:p>
            <w:pPr>
              <w:spacing w:line="216" w:lineRule="auto" w:after="0"/>
            </w:pPr>
            <w:r>
              <w:rPr>
                <w:sz w:val="13"/>
              </w:rPr>
              <w:t>0.678</w:t>
            </w:r>
          </w:p>
        </w:tc>
        <w:tc>
          <w:tcPr>
            <w:tcW w:type="dxa" w:w="1361"/>
            <w:vAlign w:val="center"/>
          </w:tcPr>
          <w:p>
            <w:pPr>
              <w:spacing w:line="216" w:lineRule="auto" w:after="0"/>
            </w:pPr>
            <w:r>
              <w:rPr>
                <w:sz w:val="13"/>
              </w:rPr>
              <w:t>0.673</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Fusion</w:t>
            </w:r>
          </w:p>
        </w:tc>
        <w:tc>
          <w:tcPr>
            <w:tcW w:type="dxa" w:w="2268"/>
            <w:vAlign w:val="center"/>
          </w:tcPr>
          <w:p>
            <w:pPr>
              <w:spacing w:line="216" w:lineRule="auto" w:after="0"/>
            </w:pPr>
            <w:r>
              <w:rPr>
                <w:sz w:val="13"/>
              </w:rPr>
              <w:t>THCA: CCDC6--RET</w:t>
            </w:r>
          </w:p>
        </w:tc>
        <w:tc>
          <w:tcPr>
            <w:tcW w:type="dxa" w:w="1247"/>
            <w:vAlign w:val="center"/>
          </w:tcPr>
          <w:p>
            <w:pPr>
              <w:spacing w:line="216" w:lineRule="auto" w:after="0"/>
            </w:pPr>
            <w:r>
              <w:rPr>
                <w:sz w:val="13"/>
              </w:rPr>
              <w:t>492 (20 positive)</w:t>
            </w:r>
          </w:p>
        </w:tc>
        <w:tc>
          <w:tcPr>
            <w:tcW w:type="dxa" w:w="1134"/>
            <w:vAlign w:val="center"/>
          </w:tcPr>
          <w:p>
            <w:pPr>
              <w:spacing w:line="216" w:lineRule="auto" w:after="0"/>
            </w:pPr>
            <w:r>
              <w:rPr>
                <w:sz w:val="13"/>
              </w:rPr>
              <w:t>0.722</w:t>
            </w:r>
          </w:p>
        </w:tc>
        <w:tc>
          <w:tcPr>
            <w:tcW w:type="dxa" w:w="1247"/>
            <w:vAlign w:val="center"/>
          </w:tcPr>
          <w:p>
            <w:pPr>
              <w:spacing w:line="216" w:lineRule="auto" w:after="0"/>
            </w:pPr>
            <w:r>
              <w:rPr>
                <w:sz w:val="13"/>
              </w:rPr>
              <w:t>0.631</w:t>
            </w:r>
          </w:p>
        </w:tc>
        <w:tc>
          <w:tcPr>
            <w:tcW w:type="dxa" w:w="1361"/>
            <w:vAlign w:val="center"/>
          </w:tcPr>
          <w:p>
            <w:pPr>
              <w:spacing w:line="216" w:lineRule="auto" w:after="0"/>
            </w:pPr>
            <w:r>
              <w:rPr>
                <w:sz w:val="13"/>
              </w:rPr>
              <w:t>0.656</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Fusion</w:t>
            </w:r>
          </w:p>
        </w:tc>
        <w:tc>
          <w:tcPr>
            <w:tcW w:type="dxa" w:w="2268"/>
            <w:vAlign w:val="center"/>
          </w:tcPr>
          <w:p>
            <w:pPr>
              <w:spacing w:line="216" w:lineRule="auto" w:after="0"/>
            </w:pPr>
            <w:r>
              <w:rPr>
                <w:sz w:val="13"/>
              </w:rPr>
              <w:t>PRAD: TMPRSS2--ERG</w:t>
            </w:r>
          </w:p>
        </w:tc>
        <w:tc>
          <w:tcPr>
            <w:tcW w:type="dxa" w:w="1247"/>
            <w:vAlign w:val="center"/>
          </w:tcPr>
          <w:p>
            <w:pPr>
              <w:spacing w:line="216" w:lineRule="auto" w:after="0"/>
            </w:pPr>
            <w:r>
              <w:rPr>
                <w:sz w:val="13"/>
              </w:rPr>
              <w:t>369 (154 positive)</w:t>
            </w:r>
          </w:p>
        </w:tc>
        <w:tc>
          <w:tcPr>
            <w:tcW w:type="dxa" w:w="1134"/>
            <w:vAlign w:val="center"/>
          </w:tcPr>
          <w:p>
            <w:pPr>
              <w:spacing w:line="216" w:lineRule="auto" w:after="0"/>
            </w:pPr>
            <w:r>
              <w:rPr>
                <w:sz w:val="13"/>
              </w:rPr>
              <w:t>0.643</w:t>
            </w:r>
          </w:p>
        </w:tc>
        <w:tc>
          <w:tcPr>
            <w:tcW w:type="dxa" w:w="1247"/>
            <w:vAlign w:val="center"/>
          </w:tcPr>
          <w:p>
            <w:pPr>
              <w:spacing w:line="216" w:lineRule="auto" w:after="0"/>
            </w:pPr>
            <w:r>
              <w:rPr>
                <w:sz w:val="13"/>
              </w:rPr>
              <w:t>0.609</w:t>
            </w:r>
          </w:p>
        </w:tc>
        <w:tc>
          <w:tcPr>
            <w:tcW w:type="dxa" w:w="1361"/>
            <w:vAlign w:val="center"/>
          </w:tcPr>
          <w:p>
            <w:pPr>
              <w:spacing w:line="216" w:lineRule="auto" w:after="0"/>
            </w:pPr>
            <w:r>
              <w:rPr>
                <w:sz w:val="13"/>
              </w:rPr>
              <w:t>0.627</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MSI</w:t>
            </w:r>
          </w:p>
        </w:tc>
        <w:tc>
          <w:tcPr>
            <w:tcW w:type="dxa" w:w="2268"/>
            <w:vAlign w:val="center"/>
          </w:tcPr>
          <w:p>
            <w:pPr>
              <w:spacing w:line="216" w:lineRule="auto" w:after="0"/>
            </w:pPr>
            <w:r>
              <w:rPr>
                <w:sz w:val="13"/>
              </w:rPr>
              <w:t>COAD: MSI-H strict (MANTIS &gt;0.6)</w:t>
            </w:r>
          </w:p>
        </w:tc>
        <w:tc>
          <w:tcPr>
            <w:tcW w:type="dxa" w:w="1247"/>
            <w:vAlign w:val="center"/>
          </w:tcPr>
          <w:p>
            <w:pPr>
              <w:spacing w:line="216" w:lineRule="auto" w:after="0"/>
            </w:pPr>
            <w:r>
              <w:rPr>
                <w:sz w:val="13"/>
              </w:rPr>
              <w:t>373 (56 positive)</w:t>
            </w:r>
          </w:p>
        </w:tc>
        <w:tc>
          <w:tcPr>
            <w:tcW w:type="dxa" w:w="1134"/>
            <w:vAlign w:val="center"/>
          </w:tcPr>
          <w:p>
            <w:pPr>
              <w:spacing w:line="216" w:lineRule="auto" w:after="0"/>
            </w:pPr>
            <w:r>
              <w:rPr>
                <w:sz w:val="13"/>
              </w:rPr>
              <w:t>0.900</w:t>
            </w:r>
          </w:p>
        </w:tc>
        <w:tc>
          <w:tcPr>
            <w:tcW w:type="dxa" w:w="1247"/>
            <w:vAlign w:val="center"/>
          </w:tcPr>
          <w:p>
            <w:pPr>
              <w:spacing w:line="216" w:lineRule="auto" w:after="0"/>
            </w:pPr>
            <w:r>
              <w:rPr>
                <w:sz w:val="13"/>
              </w:rPr>
              <w:t>0.846</w:t>
            </w:r>
          </w:p>
        </w:tc>
        <w:tc>
          <w:tcPr>
            <w:tcW w:type="dxa" w:w="1361"/>
            <w:vAlign w:val="center"/>
          </w:tcPr>
          <w:p>
            <w:pPr>
              <w:spacing w:line="216" w:lineRule="auto" w:after="0"/>
            </w:pPr>
            <w:r>
              <w:rPr>
                <w:sz w:val="13"/>
              </w:rPr>
              <w:t>0.909</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Genome doubling</w:t>
            </w:r>
          </w:p>
        </w:tc>
        <w:tc>
          <w:tcPr>
            <w:tcW w:type="dxa" w:w="2268"/>
            <w:vAlign w:val="center"/>
          </w:tcPr>
          <w:p>
            <w:pPr>
              <w:spacing w:line="216" w:lineRule="auto" w:after="0"/>
            </w:pPr>
            <w:r>
              <w:rPr>
                <w:sz w:val="13"/>
              </w:rPr>
              <w:t>UCEC: Genome doubling</w:t>
            </w:r>
          </w:p>
        </w:tc>
        <w:tc>
          <w:tcPr>
            <w:tcW w:type="dxa" w:w="1247"/>
            <w:vAlign w:val="center"/>
          </w:tcPr>
          <w:p>
            <w:pPr>
              <w:spacing w:line="216" w:lineRule="auto" w:after="0"/>
            </w:pPr>
            <w:r>
              <w:rPr>
                <w:sz w:val="13"/>
              </w:rPr>
              <w:t>476 (97 positive)</w:t>
            </w:r>
          </w:p>
        </w:tc>
        <w:tc>
          <w:tcPr>
            <w:tcW w:type="dxa" w:w="1134"/>
            <w:vAlign w:val="center"/>
          </w:tcPr>
          <w:p>
            <w:pPr>
              <w:spacing w:line="216" w:lineRule="auto" w:after="0"/>
            </w:pPr>
            <w:r>
              <w:rPr>
                <w:sz w:val="13"/>
              </w:rPr>
              <w:t>0.860</w:t>
            </w:r>
          </w:p>
        </w:tc>
        <w:tc>
          <w:tcPr>
            <w:tcW w:type="dxa" w:w="1247"/>
            <w:vAlign w:val="center"/>
          </w:tcPr>
          <w:p>
            <w:pPr>
              <w:spacing w:line="216" w:lineRule="auto" w:after="0"/>
            </w:pPr>
            <w:r>
              <w:rPr>
                <w:sz w:val="13"/>
              </w:rPr>
              <w:t>0.781</w:t>
            </w:r>
          </w:p>
        </w:tc>
        <w:tc>
          <w:tcPr>
            <w:tcW w:type="dxa" w:w="1361"/>
            <w:vAlign w:val="center"/>
          </w:tcPr>
          <w:p>
            <w:pPr>
              <w:spacing w:line="216" w:lineRule="auto" w:after="0"/>
            </w:pPr>
            <w:r>
              <w:rPr>
                <w:sz w:val="13"/>
              </w:rPr>
              <w:t>0.775</w:t>
            </w:r>
          </w:p>
        </w:tc>
        <w:tc>
          <w:tcPr>
            <w:tcW w:type="dxa" w:w="2098"/>
            <w:vAlign w:val="center"/>
          </w:tcPr>
          <w:p>
            <w:pPr>
              <w:spacing w:line="216" w:lineRule="auto" w:after="0"/>
            </w:pPr>
            <w:r>
              <w:rPr>
                <w:sz w:val="13"/>
              </w:rPr>
              <w:t>TITAN+Giga-SSL+Prov-GigaPath</w:t>
            </w:r>
          </w:p>
        </w:tc>
      </w:tr>
      <w:tr>
        <w:trPr>
          <w:cantSplit/>
        </w:trPr>
        <w:tc>
          <w:tcPr>
            <w:tcW w:type="dxa" w:w="1304"/>
            <w:vAlign w:val="center"/>
          </w:tcPr>
          <w:p>
            <w:pPr>
              <w:spacing w:line="216" w:lineRule="auto" w:after="0"/>
            </w:pPr>
            <w:r>
              <w:rPr>
                <w:sz w:val="13"/>
              </w:rPr>
              <w:t>Oncogenic pathway</w:t>
            </w:r>
          </w:p>
        </w:tc>
        <w:tc>
          <w:tcPr>
            <w:tcW w:type="dxa" w:w="2268"/>
            <w:vAlign w:val="center"/>
          </w:tcPr>
          <w:p>
            <w:pPr>
              <w:spacing w:line="216" w:lineRule="auto" w:after="0"/>
            </w:pPr>
            <w:r>
              <w:rPr>
                <w:sz w:val="13"/>
              </w:rPr>
              <w:t>KIRP: Cell Cycle</w:t>
            </w:r>
          </w:p>
        </w:tc>
        <w:tc>
          <w:tcPr>
            <w:tcW w:type="dxa" w:w="1247"/>
            <w:vAlign w:val="center"/>
          </w:tcPr>
          <w:p>
            <w:pPr>
              <w:spacing w:line="216" w:lineRule="auto" w:after="0"/>
            </w:pPr>
            <w:r>
              <w:rPr>
                <w:sz w:val="13"/>
              </w:rPr>
              <w:t>243 (31 positive)</w:t>
            </w:r>
          </w:p>
        </w:tc>
        <w:tc>
          <w:tcPr>
            <w:tcW w:type="dxa" w:w="1134"/>
            <w:vAlign w:val="center"/>
          </w:tcPr>
          <w:p>
            <w:pPr>
              <w:spacing w:line="216" w:lineRule="auto" w:after="0"/>
            </w:pPr>
            <w:r>
              <w:rPr>
                <w:sz w:val="13"/>
              </w:rPr>
              <w:t>0.780</w:t>
            </w:r>
          </w:p>
        </w:tc>
        <w:tc>
          <w:tcPr>
            <w:tcW w:type="dxa" w:w="1247"/>
            <w:vAlign w:val="center"/>
          </w:tcPr>
          <w:p>
            <w:pPr>
              <w:spacing w:line="216" w:lineRule="auto" w:after="0"/>
            </w:pPr>
            <w:r>
              <w:rPr>
                <w:sz w:val="13"/>
              </w:rPr>
              <w:t>0.737</w:t>
            </w:r>
          </w:p>
        </w:tc>
        <w:tc>
          <w:tcPr>
            <w:tcW w:type="dxa" w:w="1361"/>
            <w:vAlign w:val="center"/>
          </w:tcPr>
          <w:p>
            <w:pPr>
              <w:spacing w:line="216" w:lineRule="auto" w:after="0"/>
            </w:pPr>
            <w:r>
              <w:rPr>
                <w:sz w:val="13"/>
              </w:rPr>
              <w:t>0.831</w:t>
            </w:r>
          </w:p>
        </w:tc>
        <w:tc>
          <w:tcPr>
            <w:tcW w:type="dxa" w:w="2098"/>
            <w:vAlign w:val="center"/>
          </w:tcPr>
          <w:p>
            <w:pPr>
              <w:spacing w:line="216" w:lineRule="auto" w:after="0"/>
            </w:pPr>
            <w:r>
              <w:rPr>
                <w:sz w:val="13"/>
              </w:rPr>
              <w:t>TITAN+Giga-SSL+Prov-GigaPath</w:t>
            </w:r>
          </w:p>
        </w:tc>
      </w:tr>
    </w:tbl>
    <w:p/>
    <w:p>
      <w:r>
        <w:t>Across 26 eligible binary fusion tasks, TITAN crossed the AUROC threshold for 13, Giga-SSL for 11 and Prov-GigaPath for 11. UCEC, LGG, THCA and BLCA any-fusion status and PRAD TMPRSS2-ERG crossed with all three slide representations. Complete sensitivity, specificity, PR-AUC, PPV, NPV, prevalence and fold-level results remain in foundation_model_target_comparison.csv and foundation_model_matched_screen.csv.</w:t>
      </w:r>
    </w:p>
    <w:p>
      <w:pPr>
        <w:pStyle w:val="Heading1"/>
      </w:pPr>
      <w:r>
        <w:t>Table S5. Selected continuous tumour-feature predictions across all three slide representations</w:t>
      </w:r>
    </w:p>
    <w:p>
      <w:r>
        <w:t>Values are patient-level outer out-of-fold Q² estimates in the matched cohort. Immune-cell fractions and expression signatures are computational reference phenotypes rather than directly measured cell counts. Support states which slide representations crossed Q² 0.20.</w:t>
      </w:r>
    </w:p>
    <w:tbl>
      <w:tblPr>
        <w:tblStyle w:val="TableGrid"/>
        <w:tblW w:type="dxa" w:w="10318"/>
        <w:jc w:val="left"/>
        <w:tblLayout w:type="fixed"/>
        <w:tblLook w:firstColumn="1" w:firstRow="1" w:lastColumn="0" w:lastRow="0" w:noHBand="0" w:noVBand="1" w:val="04A0"/>
        <w:tblLayout w:type="fixed"/>
        <w:tblInd w:type="dxa" w:w="0"/>
      </w:tblPr>
      <w:tblGrid>
        <w:gridCol w:w="1701"/>
        <w:gridCol w:w="2381"/>
        <w:gridCol w:w="680"/>
        <w:gridCol w:w="1020"/>
        <w:gridCol w:w="1134"/>
        <w:gridCol w:w="1304"/>
        <w:gridCol w:w="2098"/>
      </w:tblGrid>
      <w:tr>
        <w:trPr>
          <w:tblHeader w:val="true"/>
          <w:cantSplit/>
        </w:trPr>
        <w:tc>
          <w:tcPr>
            <w:tcW w:type="dxa" w:w="1701"/>
          </w:tcPr>
          <w:p>
            <w:pPr>
              <w:spacing w:line="216" w:lineRule="auto" w:after="0"/>
            </w:pPr>
            <w:r>
              <w:rPr>
                <w:b/>
                <w:sz w:val="13"/>
              </w:rPr>
              <w:t>Feature class</w:t>
            </w:r>
          </w:p>
        </w:tc>
        <w:tc>
          <w:tcPr>
            <w:tcW w:type="dxa" w:w="2381"/>
          </w:tcPr>
          <w:p>
            <w:pPr>
              <w:spacing w:line="216" w:lineRule="auto" w:after="0"/>
            </w:pPr>
            <w:r>
              <w:rPr>
                <w:b/>
                <w:sz w:val="13"/>
              </w:rPr>
              <w:t>Cancer and endpoint</w:t>
            </w:r>
          </w:p>
        </w:tc>
        <w:tc>
          <w:tcPr>
            <w:tcW w:type="dxa" w:w="680"/>
          </w:tcPr>
          <w:p>
            <w:pPr>
              <w:spacing w:line="216" w:lineRule="auto" w:after="0"/>
            </w:pPr>
            <w:r>
              <w:rPr>
                <w:b/>
                <w:sz w:val="13"/>
              </w:rPr>
              <w:t>n</w:t>
            </w:r>
          </w:p>
        </w:tc>
        <w:tc>
          <w:tcPr>
            <w:tcW w:type="dxa" w:w="1020"/>
          </w:tcPr>
          <w:p>
            <w:pPr>
              <w:spacing w:line="216" w:lineRule="auto" w:after="0"/>
            </w:pPr>
            <w:r>
              <w:rPr>
                <w:b/>
                <w:sz w:val="13"/>
              </w:rPr>
              <w:t>TITAN Q2</w:t>
            </w:r>
          </w:p>
        </w:tc>
        <w:tc>
          <w:tcPr>
            <w:tcW w:type="dxa" w:w="1134"/>
          </w:tcPr>
          <w:p>
            <w:pPr>
              <w:spacing w:line="216" w:lineRule="auto" w:after="0"/>
            </w:pPr>
            <w:r>
              <w:rPr>
                <w:b/>
                <w:sz w:val="13"/>
              </w:rPr>
              <w:t>Giga-SSL Q2</w:t>
            </w:r>
          </w:p>
        </w:tc>
        <w:tc>
          <w:tcPr>
            <w:tcW w:type="dxa" w:w="1304"/>
          </w:tcPr>
          <w:p>
            <w:pPr>
              <w:spacing w:line="216" w:lineRule="auto" w:after="0"/>
            </w:pPr>
            <w:r>
              <w:rPr>
                <w:b/>
                <w:sz w:val="13"/>
              </w:rPr>
              <w:t>Prov-GigaPath Q2</w:t>
            </w:r>
          </w:p>
        </w:tc>
        <w:tc>
          <w:tcPr>
            <w:tcW w:type="dxa" w:w="2098"/>
          </w:tcPr>
          <w:p>
            <w:pPr>
              <w:spacing w:line="216" w:lineRule="auto" w:after="0"/>
            </w:pPr>
            <w:r>
              <w:rPr>
                <w:b/>
                <w:sz w:val="13"/>
              </w:rPr>
              <w:t>Slide representations crossing 0.20</w:t>
            </w:r>
          </w:p>
        </w:tc>
      </w:tr>
      <w:tr>
        <w:trPr>
          <w:cantSplit/>
        </w:trPr>
        <w:tc>
          <w:tcPr>
            <w:tcW w:type="dxa" w:w="1701"/>
            <w:vAlign w:val="center"/>
          </w:tcPr>
          <w:p>
            <w:pPr>
              <w:spacing w:line="216" w:lineRule="auto" w:after="0"/>
            </w:pPr>
            <w:r>
              <w:rPr>
                <w:sz w:val="13"/>
              </w:rPr>
              <w:t>RNA pathway activity</w:t>
            </w:r>
          </w:p>
        </w:tc>
        <w:tc>
          <w:tcPr>
            <w:tcW w:type="dxa" w:w="2381"/>
            <w:vAlign w:val="center"/>
          </w:tcPr>
          <w:p>
            <w:pPr>
              <w:spacing w:line="216" w:lineRule="auto" w:after="0"/>
            </w:pPr>
            <w:r>
              <w:rPr>
                <w:sz w:val="13"/>
              </w:rPr>
              <w:t>TGCT: HALLMARK_GLYCOLYSIS</w:t>
            </w:r>
          </w:p>
        </w:tc>
        <w:tc>
          <w:tcPr>
            <w:tcW w:type="dxa" w:w="680"/>
            <w:vAlign w:val="center"/>
          </w:tcPr>
          <w:p>
            <w:pPr>
              <w:spacing w:line="216" w:lineRule="auto" w:after="0"/>
            </w:pPr>
            <w:r>
              <w:rPr>
                <w:sz w:val="13"/>
              </w:rPr>
              <w:t>149</w:t>
            </w:r>
          </w:p>
        </w:tc>
        <w:tc>
          <w:tcPr>
            <w:tcW w:type="dxa" w:w="1020"/>
            <w:vAlign w:val="center"/>
          </w:tcPr>
          <w:p>
            <w:pPr>
              <w:spacing w:line="216" w:lineRule="auto" w:after="0"/>
            </w:pPr>
            <w:r>
              <w:rPr>
                <w:sz w:val="13"/>
              </w:rPr>
              <w:t>0.748</w:t>
            </w:r>
          </w:p>
        </w:tc>
        <w:tc>
          <w:tcPr>
            <w:tcW w:type="dxa" w:w="1134"/>
            <w:vAlign w:val="center"/>
          </w:tcPr>
          <w:p>
            <w:pPr>
              <w:spacing w:line="216" w:lineRule="auto" w:after="0"/>
            </w:pPr>
            <w:r>
              <w:rPr>
                <w:sz w:val="13"/>
              </w:rPr>
              <w:t>0.666</w:t>
            </w:r>
          </w:p>
        </w:tc>
        <w:tc>
          <w:tcPr>
            <w:tcW w:type="dxa" w:w="1304"/>
            <w:vAlign w:val="center"/>
          </w:tcPr>
          <w:p>
            <w:pPr>
              <w:spacing w:line="216" w:lineRule="auto" w:after="0"/>
            </w:pPr>
            <w:r>
              <w:rPr>
                <w:sz w:val="13"/>
              </w:rPr>
              <w:t>0.678</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pathway activity</w:t>
            </w:r>
          </w:p>
        </w:tc>
        <w:tc>
          <w:tcPr>
            <w:tcW w:type="dxa" w:w="2381"/>
            <w:vAlign w:val="center"/>
          </w:tcPr>
          <w:p>
            <w:pPr>
              <w:spacing w:line="216" w:lineRule="auto" w:after="0"/>
            </w:pPr>
            <w:r>
              <w:rPr>
                <w:sz w:val="13"/>
              </w:rPr>
              <w:t>LIHC: HALLMARK_BILE_ACID_METABOLISM</w:t>
            </w:r>
          </w:p>
        </w:tc>
        <w:tc>
          <w:tcPr>
            <w:tcW w:type="dxa" w:w="680"/>
            <w:vAlign w:val="center"/>
          </w:tcPr>
          <w:p>
            <w:pPr>
              <w:spacing w:line="216" w:lineRule="auto" w:after="0"/>
            </w:pPr>
            <w:r>
              <w:rPr>
                <w:sz w:val="13"/>
              </w:rPr>
              <w:t>354</w:t>
            </w:r>
          </w:p>
        </w:tc>
        <w:tc>
          <w:tcPr>
            <w:tcW w:type="dxa" w:w="1020"/>
            <w:vAlign w:val="center"/>
          </w:tcPr>
          <w:p>
            <w:pPr>
              <w:spacing w:line="216" w:lineRule="auto" w:after="0"/>
            </w:pPr>
            <w:r>
              <w:rPr>
                <w:sz w:val="13"/>
              </w:rPr>
              <w:t>0.540</w:t>
            </w:r>
          </w:p>
        </w:tc>
        <w:tc>
          <w:tcPr>
            <w:tcW w:type="dxa" w:w="1134"/>
            <w:vAlign w:val="center"/>
          </w:tcPr>
          <w:p>
            <w:pPr>
              <w:spacing w:line="216" w:lineRule="auto" w:after="0"/>
            </w:pPr>
            <w:r>
              <w:rPr>
                <w:sz w:val="13"/>
              </w:rPr>
              <w:t>0.304</w:t>
            </w:r>
          </w:p>
        </w:tc>
        <w:tc>
          <w:tcPr>
            <w:tcW w:type="dxa" w:w="1304"/>
            <w:vAlign w:val="center"/>
          </w:tcPr>
          <w:p>
            <w:pPr>
              <w:spacing w:line="216" w:lineRule="auto" w:after="0"/>
            </w:pPr>
            <w:r>
              <w:rPr>
                <w:sz w:val="13"/>
              </w:rPr>
              <w:t>0.419</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pathway activity</w:t>
            </w:r>
          </w:p>
        </w:tc>
        <w:tc>
          <w:tcPr>
            <w:tcW w:type="dxa" w:w="2381"/>
            <w:vAlign w:val="center"/>
          </w:tcPr>
          <w:p>
            <w:pPr>
              <w:spacing w:line="216" w:lineRule="auto" w:after="0"/>
            </w:pPr>
            <w:r>
              <w:rPr>
                <w:sz w:val="13"/>
              </w:rPr>
              <w:t>PAAD: HALLMARK_NOTCH_SIGNALING</w:t>
            </w:r>
          </w:p>
        </w:tc>
        <w:tc>
          <w:tcPr>
            <w:tcW w:type="dxa" w:w="680"/>
            <w:vAlign w:val="center"/>
          </w:tcPr>
          <w:p>
            <w:pPr>
              <w:spacing w:line="216" w:lineRule="auto" w:after="0"/>
            </w:pPr>
            <w:r>
              <w:rPr>
                <w:sz w:val="13"/>
              </w:rPr>
              <w:t>176</w:t>
            </w:r>
          </w:p>
        </w:tc>
        <w:tc>
          <w:tcPr>
            <w:tcW w:type="dxa" w:w="1020"/>
            <w:vAlign w:val="center"/>
          </w:tcPr>
          <w:p>
            <w:pPr>
              <w:spacing w:line="216" w:lineRule="auto" w:after="0"/>
            </w:pPr>
            <w:r>
              <w:rPr>
                <w:sz w:val="13"/>
              </w:rPr>
              <w:t>0.511</w:t>
            </w:r>
          </w:p>
        </w:tc>
        <w:tc>
          <w:tcPr>
            <w:tcW w:type="dxa" w:w="1134"/>
            <w:vAlign w:val="center"/>
          </w:tcPr>
          <w:p>
            <w:pPr>
              <w:spacing w:line="216" w:lineRule="auto" w:after="0"/>
            </w:pPr>
            <w:r>
              <w:rPr>
                <w:sz w:val="13"/>
              </w:rPr>
              <w:t>0.300</w:t>
            </w:r>
          </w:p>
        </w:tc>
        <w:tc>
          <w:tcPr>
            <w:tcW w:type="dxa" w:w="1304"/>
            <w:vAlign w:val="center"/>
          </w:tcPr>
          <w:p>
            <w:pPr>
              <w:spacing w:line="216" w:lineRule="auto" w:after="0"/>
            </w:pPr>
            <w:r>
              <w:rPr>
                <w:sz w:val="13"/>
              </w:rPr>
              <w:t>0.405</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inflammatory signature</w:t>
            </w:r>
          </w:p>
        </w:tc>
        <w:tc>
          <w:tcPr>
            <w:tcW w:type="dxa" w:w="2381"/>
            <w:vAlign w:val="center"/>
          </w:tcPr>
          <w:p>
            <w:pPr>
              <w:spacing w:line="216" w:lineRule="auto" w:after="0"/>
            </w:pPr>
            <w:r>
              <w:rPr>
                <w:sz w:val="13"/>
              </w:rPr>
              <w:t>TGCT: TGF-beta Response</w:t>
            </w:r>
          </w:p>
        </w:tc>
        <w:tc>
          <w:tcPr>
            <w:tcW w:type="dxa" w:w="680"/>
            <w:vAlign w:val="center"/>
          </w:tcPr>
          <w:p>
            <w:pPr>
              <w:spacing w:line="216" w:lineRule="auto" w:after="0"/>
            </w:pPr>
            <w:r>
              <w:rPr>
                <w:sz w:val="13"/>
              </w:rPr>
              <w:t>148</w:t>
            </w:r>
          </w:p>
        </w:tc>
        <w:tc>
          <w:tcPr>
            <w:tcW w:type="dxa" w:w="1020"/>
            <w:vAlign w:val="center"/>
          </w:tcPr>
          <w:p>
            <w:pPr>
              <w:spacing w:line="216" w:lineRule="auto" w:after="0"/>
            </w:pPr>
            <w:r>
              <w:rPr>
                <w:sz w:val="13"/>
              </w:rPr>
              <w:t>0.681</w:t>
            </w:r>
          </w:p>
        </w:tc>
        <w:tc>
          <w:tcPr>
            <w:tcW w:type="dxa" w:w="1134"/>
            <w:vAlign w:val="center"/>
          </w:tcPr>
          <w:p>
            <w:pPr>
              <w:spacing w:line="216" w:lineRule="auto" w:after="0"/>
            </w:pPr>
            <w:r>
              <w:rPr>
                <w:sz w:val="13"/>
              </w:rPr>
              <w:t>0.656</w:t>
            </w:r>
          </w:p>
        </w:tc>
        <w:tc>
          <w:tcPr>
            <w:tcW w:type="dxa" w:w="1304"/>
            <w:vAlign w:val="center"/>
          </w:tcPr>
          <w:p>
            <w:pPr>
              <w:spacing w:line="216" w:lineRule="auto" w:after="0"/>
            </w:pPr>
            <w:r>
              <w:rPr>
                <w:sz w:val="13"/>
              </w:rPr>
              <w:t>0.575</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Inferred immune fraction</w:t>
            </w:r>
          </w:p>
        </w:tc>
        <w:tc>
          <w:tcPr>
            <w:tcW w:type="dxa" w:w="2381"/>
            <w:vAlign w:val="center"/>
          </w:tcPr>
          <w:p>
            <w:pPr>
              <w:spacing w:line="216" w:lineRule="auto" w:after="0"/>
            </w:pPr>
            <w:r>
              <w:rPr>
                <w:sz w:val="13"/>
              </w:rPr>
              <w:t>THYM: Th17 Cells</w:t>
            </w:r>
          </w:p>
        </w:tc>
        <w:tc>
          <w:tcPr>
            <w:tcW w:type="dxa" w:w="680"/>
            <w:vAlign w:val="center"/>
          </w:tcPr>
          <w:p>
            <w:pPr>
              <w:spacing w:line="216" w:lineRule="auto" w:after="0"/>
            </w:pPr>
            <w:r>
              <w:rPr>
                <w:sz w:val="13"/>
              </w:rPr>
              <w:t>113</w:t>
            </w:r>
          </w:p>
        </w:tc>
        <w:tc>
          <w:tcPr>
            <w:tcW w:type="dxa" w:w="1020"/>
            <w:vAlign w:val="center"/>
          </w:tcPr>
          <w:p>
            <w:pPr>
              <w:spacing w:line="216" w:lineRule="auto" w:after="0"/>
            </w:pPr>
            <w:r>
              <w:rPr>
                <w:sz w:val="13"/>
              </w:rPr>
              <w:t>0.596</w:t>
            </w:r>
          </w:p>
        </w:tc>
        <w:tc>
          <w:tcPr>
            <w:tcW w:type="dxa" w:w="1134"/>
            <w:vAlign w:val="center"/>
          </w:tcPr>
          <w:p>
            <w:pPr>
              <w:spacing w:line="216" w:lineRule="auto" w:after="0"/>
            </w:pPr>
            <w:r>
              <w:rPr>
                <w:sz w:val="13"/>
              </w:rPr>
              <w:t>0.522</w:t>
            </w:r>
          </w:p>
        </w:tc>
        <w:tc>
          <w:tcPr>
            <w:tcW w:type="dxa" w:w="1304"/>
            <w:vAlign w:val="center"/>
          </w:tcPr>
          <w:p>
            <w:pPr>
              <w:spacing w:line="216" w:lineRule="auto" w:after="0"/>
            </w:pPr>
            <w:r>
              <w:rPr>
                <w:sz w:val="13"/>
              </w:rPr>
              <w:t>0.448</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Methylation-derived fraction</w:t>
            </w:r>
          </w:p>
        </w:tc>
        <w:tc>
          <w:tcPr>
            <w:tcW w:type="dxa" w:w="2381"/>
            <w:vAlign w:val="center"/>
          </w:tcPr>
          <w:p>
            <w:pPr>
              <w:spacing w:line="216" w:lineRule="auto" w:after="0"/>
            </w:pPr>
            <w:r>
              <w:rPr>
                <w:sz w:val="13"/>
              </w:rPr>
              <w:t>BLCA: Leukocyte Fraction</w:t>
            </w:r>
          </w:p>
        </w:tc>
        <w:tc>
          <w:tcPr>
            <w:tcW w:type="dxa" w:w="680"/>
            <w:vAlign w:val="center"/>
          </w:tcPr>
          <w:p>
            <w:pPr>
              <w:spacing w:line="216" w:lineRule="auto" w:after="0"/>
            </w:pPr>
            <w:r>
              <w:rPr>
                <w:sz w:val="13"/>
              </w:rPr>
              <w:t>386</w:t>
            </w:r>
          </w:p>
        </w:tc>
        <w:tc>
          <w:tcPr>
            <w:tcW w:type="dxa" w:w="1020"/>
            <w:vAlign w:val="center"/>
          </w:tcPr>
          <w:p>
            <w:pPr>
              <w:spacing w:line="216" w:lineRule="auto" w:after="0"/>
            </w:pPr>
            <w:r>
              <w:rPr>
                <w:sz w:val="13"/>
              </w:rPr>
              <w:t>0.348</w:t>
            </w:r>
          </w:p>
        </w:tc>
        <w:tc>
          <w:tcPr>
            <w:tcW w:type="dxa" w:w="1134"/>
            <w:vAlign w:val="center"/>
          </w:tcPr>
          <w:p>
            <w:pPr>
              <w:spacing w:line="216" w:lineRule="auto" w:after="0"/>
            </w:pPr>
            <w:r>
              <w:rPr>
                <w:sz w:val="13"/>
              </w:rPr>
              <w:t>0.391</w:t>
            </w:r>
          </w:p>
        </w:tc>
        <w:tc>
          <w:tcPr>
            <w:tcW w:type="dxa" w:w="1304"/>
            <w:vAlign w:val="center"/>
          </w:tcPr>
          <w:p>
            <w:pPr>
              <w:spacing w:line="216" w:lineRule="auto" w:after="0"/>
            </w:pPr>
            <w:r>
              <w:rPr>
                <w:sz w:val="13"/>
              </w:rPr>
              <w:t>0.349</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Methylation-derived fraction</w:t>
            </w:r>
          </w:p>
        </w:tc>
        <w:tc>
          <w:tcPr>
            <w:tcW w:type="dxa" w:w="2381"/>
            <w:vAlign w:val="center"/>
          </w:tcPr>
          <w:p>
            <w:pPr>
              <w:spacing w:line="216" w:lineRule="auto" w:after="0"/>
            </w:pPr>
            <w:r>
              <w:rPr>
                <w:sz w:val="13"/>
              </w:rPr>
              <w:t>KIRP: Leukocyte Fraction</w:t>
            </w:r>
          </w:p>
        </w:tc>
        <w:tc>
          <w:tcPr>
            <w:tcW w:type="dxa" w:w="680"/>
            <w:vAlign w:val="center"/>
          </w:tcPr>
          <w:p>
            <w:pPr>
              <w:spacing w:line="216" w:lineRule="auto" w:after="0"/>
            </w:pPr>
            <w:r>
              <w:rPr>
                <w:sz w:val="13"/>
              </w:rPr>
              <w:t>268</w:t>
            </w:r>
          </w:p>
        </w:tc>
        <w:tc>
          <w:tcPr>
            <w:tcW w:type="dxa" w:w="1020"/>
            <w:vAlign w:val="center"/>
          </w:tcPr>
          <w:p>
            <w:pPr>
              <w:spacing w:line="216" w:lineRule="auto" w:after="0"/>
            </w:pPr>
            <w:r>
              <w:rPr>
                <w:sz w:val="13"/>
              </w:rPr>
              <w:t>0.367</w:t>
            </w:r>
          </w:p>
        </w:tc>
        <w:tc>
          <w:tcPr>
            <w:tcW w:type="dxa" w:w="1134"/>
            <w:vAlign w:val="center"/>
          </w:tcPr>
          <w:p>
            <w:pPr>
              <w:spacing w:line="216" w:lineRule="auto" w:after="0"/>
            </w:pPr>
            <w:r>
              <w:rPr>
                <w:sz w:val="13"/>
              </w:rPr>
              <w:t>0.413</w:t>
            </w:r>
          </w:p>
        </w:tc>
        <w:tc>
          <w:tcPr>
            <w:tcW w:type="dxa" w:w="1304"/>
            <w:vAlign w:val="center"/>
          </w:tcPr>
          <w:p>
            <w:pPr>
              <w:spacing w:line="216" w:lineRule="auto" w:after="0"/>
            </w:pPr>
            <w:r>
              <w:rPr>
                <w:sz w:val="13"/>
              </w:rPr>
              <w:t>0.408</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Immune repertoire</w:t>
            </w:r>
          </w:p>
        </w:tc>
        <w:tc>
          <w:tcPr>
            <w:tcW w:type="dxa" w:w="2381"/>
            <w:vAlign w:val="center"/>
          </w:tcPr>
          <w:p>
            <w:pPr>
              <w:spacing w:line="216" w:lineRule="auto" w:after="0"/>
            </w:pPr>
            <w:r>
              <w:rPr>
                <w:sz w:val="13"/>
              </w:rPr>
              <w:t>THYM: TCR Shannon</w:t>
            </w:r>
          </w:p>
        </w:tc>
        <w:tc>
          <w:tcPr>
            <w:tcW w:type="dxa" w:w="680"/>
            <w:vAlign w:val="center"/>
          </w:tcPr>
          <w:p>
            <w:pPr>
              <w:spacing w:line="216" w:lineRule="auto" w:after="0"/>
            </w:pPr>
            <w:r>
              <w:rPr>
                <w:sz w:val="13"/>
              </w:rPr>
              <w:t>113</w:t>
            </w:r>
          </w:p>
        </w:tc>
        <w:tc>
          <w:tcPr>
            <w:tcW w:type="dxa" w:w="1020"/>
            <w:vAlign w:val="center"/>
          </w:tcPr>
          <w:p>
            <w:pPr>
              <w:spacing w:line="216" w:lineRule="auto" w:after="0"/>
            </w:pPr>
            <w:r>
              <w:rPr>
                <w:sz w:val="13"/>
              </w:rPr>
              <w:t>0.431</w:t>
            </w:r>
          </w:p>
        </w:tc>
        <w:tc>
          <w:tcPr>
            <w:tcW w:type="dxa" w:w="1134"/>
            <w:vAlign w:val="center"/>
          </w:tcPr>
          <w:p>
            <w:pPr>
              <w:spacing w:line="216" w:lineRule="auto" w:after="0"/>
            </w:pPr>
            <w:r>
              <w:rPr>
                <w:sz w:val="13"/>
              </w:rPr>
              <w:t>0.442</w:t>
            </w:r>
          </w:p>
        </w:tc>
        <w:tc>
          <w:tcPr>
            <w:tcW w:type="dxa" w:w="1304"/>
            <w:vAlign w:val="center"/>
          </w:tcPr>
          <w:p>
            <w:pPr>
              <w:spacing w:line="216" w:lineRule="auto" w:after="0"/>
            </w:pPr>
            <w:r>
              <w:rPr>
                <w:sz w:val="13"/>
              </w:rPr>
              <w:t>0.332</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Composite tissue context</w:t>
            </w:r>
          </w:p>
        </w:tc>
        <w:tc>
          <w:tcPr>
            <w:tcW w:type="dxa" w:w="2381"/>
            <w:vAlign w:val="center"/>
          </w:tcPr>
          <w:p>
            <w:pPr>
              <w:spacing w:line="216" w:lineRule="auto" w:after="0"/>
            </w:pPr>
            <w:r>
              <w:rPr>
                <w:sz w:val="13"/>
              </w:rPr>
              <w:t>TGCT: Stromal Fraction</w:t>
            </w:r>
          </w:p>
        </w:tc>
        <w:tc>
          <w:tcPr>
            <w:tcW w:type="dxa" w:w="680"/>
            <w:vAlign w:val="center"/>
          </w:tcPr>
          <w:p>
            <w:pPr>
              <w:spacing w:line="216" w:lineRule="auto" w:after="0"/>
            </w:pPr>
            <w:r>
              <w:rPr>
                <w:sz w:val="13"/>
              </w:rPr>
              <w:t>148</w:t>
            </w:r>
          </w:p>
        </w:tc>
        <w:tc>
          <w:tcPr>
            <w:tcW w:type="dxa" w:w="1020"/>
            <w:vAlign w:val="center"/>
          </w:tcPr>
          <w:p>
            <w:pPr>
              <w:spacing w:line="216" w:lineRule="auto" w:after="0"/>
            </w:pPr>
            <w:r>
              <w:rPr>
                <w:sz w:val="13"/>
              </w:rPr>
              <w:t>0.369</w:t>
            </w:r>
          </w:p>
        </w:tc>
        <w:tc>
          <w:tcPr>
            <w:tcW w:type="dxa" w:w="1134"/>
            <w:vAlign w:val="center"/>
          </w:tcPr>
          <w:p>
            <w:pPr>
              <w:spacing w:line="216" w:lineRule="auto" w:after="0"/>
            </w:pPr>
            <w:r>
              <w:rPr>
                <w:sz w:val="13"/>
              </w:rPr>
              <w:t>0.387</w:t>
            </w:r>
          </w:p>
        </w:tc>
        <w:tc>
          <w:tcPr>
            <w:tcW w:type="dxa" w:w="1304"/>
            <w:vAlign w:val="center"/>
          </w:tcPr>
          <w:p>
            <w:pPr>
              <w:spacing w:line="216" w:lineRule="auto" w:after="0"/>
            </w:pPr>
            <w:r>
              <w:rPr>
                <w:sz w:val="13"/>
              </w:rPr>
              <w:t>0.424</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RNA inflammatory signature</w:t>
            </w:r>
          </w:p>
        </w:tc>
        <w:tc>
          <w:tcPr>
            <w:tcW w:type="dxa" w:w="2381"/>
            <w:vAlign w:val="center"/>
          </w:tcPr>
          <w:p>
            <w:pPr>
              <w:spacing w:line="216" w:lineRule="auto" w:after="0"/>
            </w:pPr>
            <w:r>
              <w:rPr>
                <w:sz w:val="13"/>
              </w:rPr>
              <w:t>THCA: Lymphocyte Infiltration Signature Score</w:t>
            </w:r>
          </w:p>
        </w:tc>
        <w:tc>
          <w:tcPr>
            <w:tcW w:type="dxa" w:w="680"/>
            <w:vAlign w:val="center"/>
          </w:tcPr>
          <w:p>
            <w:pPr>
              <w:spacing w:line="216" w:lineRule="auto" w:after="0"/>
            </w:pPr>
            <w:r>
              <w:rPr>
                <w:sz w:val="13"/>
              </w:rPr>
              <w:t>488</w:t>
            </w:r>
          </w:p>
        </w:tc>
        <w:tc>
          <w:tcPr>
            <w:tcW w:type="dxa" w:w="1020"/>
            <w:vAlign w:val="center"/>
          </w:tcPr>
          <w:p>
            <w:pPr>
              <w:spacing w:line="216" w:lineRule="auto" w:after="0"/>
            </w:pPr>
            <w:r>
              <w:rPr>
                <w:sz w:val="13"/>
              </w:rPr>
              <w:t>0.568</w:t>
            </w:r>
          </w:p>
        </w:tc>
        <w:tc>
          <w:tcPr>
            <w:tcW w:type="dxa" w:w="1134"/>
            <w:vAlign w:val="center"/>
          </w:tcPr>
          <w:p>
            <w:pPr>
              <w:spacing w:line="216" w:lineRule="auto" w:after="0"/>
            </w:pPr>
            <w:r>
              <w:rPr>
                <w:sz w:val="13"/>
              </w:rPr>
              <w:t>0.356</w:t>
            </w:r>
          </w:p>
        </w:tc>
        <w:tc>
          <w:tcPr>
            <w:tcW w:type="dxa" w:w="1304"/>
            <w:vAlign w:val="center"/>
          </w:tcPr>
          <w:p>
            <w:pPr>
              <w:spacing w:line="216" w:lineRule="auto" w:after="0"/>
            </w:pPr>
            <w:r>
              <w:rPr>
                <w:sz w:val="13"/>
              </w:rPr>
              <w:t>0.464</w:t>
            </w:r>
          </w:p>
        </w:tc>
        <w:tc>
          <w:tcPr>
            <w:tcW w:type="dxa" w:w="2098"/>
            <w:vAlign w:val="center"/>
          </w:tcPr>
          <w:p>
            <w:pPr>
              <w:spacing w:line="216" w:lineRule="auto" w:after="0"/>
            </w:pPr>
            <w:r>
              <w:rPr>
                <w:sz w:val="13"/>
              </w:rPr>
              <w:t>TITAN+Giga-SSL+Prov-GigaPath</w:t>
            </w:r>
          </w:p>
        </w:tc>
      </w:tr>
      <w:tr>
        <w:trPr>
          <w:cantSplit/>
        </w:trPr>
        <w:tc>
          <w:tcPr>
            <w:tcW w:type="dxa" w:w="1701"/>
            <w:vAlign w:val="center"/>
          </w:tcPr>
          <w:p>
            <w:pPr>
              <w:spacing w:line="216" w:lineRule="auto" w:after="0"/>
            </w:pPr>
            <w:r>
              <w:rPr>
                <w:sz w:val="13"/>
              </w:rPr>
              <w:t>Fusion burden</w:t>
            </w:r>
          </w:p>
        </w:tc>
        <w:tc>
          <w:tcPr>
            <w:tcW w:type="dxa" w:w="2381"/>
            <w:vAlign w:val="center"/>
          </w:tcPr>
          <w:p>
            <w:pPr>
              <w:spacing w:line="216" w:lineRule="auto" w:after="0"/>
            </w:pPr>
            <w:r>
              <w:rPr>
                <w:sz w:val="13"/>
              </w:rPr>
              <w:t>UCEC: Fusion burden</w:t>
            </w:r>
          </w:p>
        </w:tc>
        <w:tc>
          <w:tcPr>
            <w:tcW w:type="dxa" w:w="680"/>
            <w:vAlign w:val="center"/>
          </w:tcPr>
          <w:p>
            <w:pPr>
              <w:spacing w:line="216" w:lineRule="auto" w:after="0"/>
            </w:pPr>
            <w:r>
              <w:rPr>
                <w:sz w:val="13"/>
              </w:rPr>
              <w:t>152</w:t>
            </w:r>
          </w:p>
        </w:tc>
        <w:tc>
          <w:tcPr>
            <w:tcW w:type="dxa" w:w="1020"/>
            <w:vAlign w:val="center"/>
          </w:tcPr>
          <w:p>
            <w:pPr>
              <w:spacing w:line="216" w:lineRule="auto" w:after="0"/>
            </w:pPr>
            <w:r>
              <w:rPr>
                <w:sz w:val="13"/>
              </w:rPr>
              <w:t>0.326</w:t>
            </w:r>
          </w:p>
        </w:tc>
        <w:tc>
          <w:tcPr>
            <w:tcW w:type="dxa" w:w="1134"/>
            <w:vAlign w:val="center"/>
          </w:tcPr>
          <w:p>
            <w:pPr>
              <w:spacing w:line="216" w:lineRule="auto" w:after="0"/>
            </w:pPr>
            <w:r>
              <w:rPr>
                <w:sz w:val="13"/>
              </w:rPr>
              <w:t>0.077</w:t>
            </w:r>
          </w:p>
        </w:tc>
        <w:tc>
          <w:tcPr>
            <w:tcW w:type="dxa" w:w="1304"/>
            <w:vAlign w:val="center"/>
          </w:tcPr>
          <w:p>
            <w:pPr>
              <w:spacing w:line="216" w:lineRule="auto" w:after="0"/>
            </w:pPr>
            <w:r>
              <w:rPr>
                <w:sz w:val="13"/>
              </w:rPr>
              <w:t>0.123</w:t>
            </w:r>
          </w:p>
        </w:tc>
        <w:tc>
          <w:tcPr>
            <w:tcW w:type="dxa" w:w="2098"/>
            <w:vAlign w:val="center"/>
          </w:tcPr>
          <w:p>
            <w:pPr>
              <w:spacing w:line="216" w:lineRule="auto" w:after="0"/>
            </w:pPr>
            <w:r>
              <w:rPr>
                <w:sz w:val="13"/>
              </w:rPr>
              <w:t>TITAN</w:t>
            </w:r>
          </w:p>
        </w:tc>
      </w:tr>
      <w:tr>
        <w:trPr>
          <w:cantSplit/>
        </w:trPr>
        <w:tc>
          <w:tcPr>
            <w:tcW w:type="dxa" w:w="1701"/>
            <w:vAlign w:val="center"/>
          </w:tcPr>
          <w:p>
            <w:pPr>
              <w:spacing w:line="216" w:lineRule="auto" w:after="0"/>
            </w:pPr>
            <w:r>
              <w:rPr>
                <w:sz w:val="13"/>
              </w:rPr>
              <w:t>Fusion burden</w:t>
            </w:r>
          </w:p>
        </w:tc>
        <w:tc>
          <w:tcPr>
            <w:tcW w:type="dxa" w:w="2381"/>
            <w:vAlign w:val="center"/>
          </w:tcPr>
          <w:p>
            <w:pPr>
              <w:spacing w:line="216" w:lineRule="auto" w:after="0"/>
            </w:pPr>
            <w:r>
              <w:rPr>
                <w:sz w:val="13"/>
              </w:rPr>
              <w:t>LGG: Fusion burden</w:t>
            </w:r>
          </w:p>
        </w:tc>
        <w:tc>
          <w:tcPr>
            <w:tcW w:type="dxa" w:w="680"/>
            <w:vAlign w:val="center"/>
          </w:tcPr>
          <w:p>
            <w:pPr>
              <w:spacing w:line="216" w:lineRule="auto" w:after="0"/>
            </w:pPr>
            <w:r>
              <w:rPr>
                <w:sz w:val="13"/>
              </w:rPr>
              <w:t>487</w:t>
            </w:r>
          </w:p>
        </w:tc>
        <w:tc>
          <w:tcPr>
            <w:tcW w:type="dxa" w:w="1020"/>
            <w:vAlign w:val="center"/>
          </w:tcPr>
          <w:p>
            <w:pPr>
              <w:spacing w:line="216" w:lineRule="auto" w:after="0"/>
            </w:pPr>
            <w:r>
              <w:rPr>
                <w:sz w:val="13"/>
              </w:rPr>
              <w:t>0.222</w:t>
            </w:r>
          </w:p>
        </w:tc>
        <w:tc>
          <w:tcPr>
            <w:tcW w:type="dxa" w:w="1134"/>
            <w:vAlign w:val="center"/>
          </w:tcPr>
          <w:p>
            <w:pPr>
              <w:spacing w:line="216" w:lineRule="auto" w:after="0"/>
            </w:pPr>
            <w:r>
              <w:rPr>
                <w:sz w:val="13"/>
              </w:rPr>
              <w:t>0.100</w:t>
            </w:r>
          </w:p>
        </w:tc>
        <w:tc>
          <w:tcPr>
            <w:tcW w:type="dxa" w:w="1304"/>
            <w:vAlign w:val="center"/>
          </w:tcPr>
          <w:p>
            <w:pPr>
              <w:spacing w:line="216" w:lineRule="auto" w:after="0"/>
            </w:pPr>
            <w:r>
              <w:rPr>
                <w:sz w:val="13"/>
              </w:rPr>
              <w:t>0.072</w:t>
            </w:r>
          </w:p>
        </w:tc>
        <w:tc>
          <w:tcPr>
            <w:tcW w:type="dxa" w:w="2098"/>
            <w:vAlign w:val="center"/>
          </w:tcPr>
          <w:p>
            <w:pPr>
              <w:spacing w:line="216" w:lineRule="auto" w:after="0"/>
            </w:pPr>
            <w:r>
              <w:rPr>
                <w:sz w:val="13"/>
              </w:rPr>
              <w:t>TITAN</w:t>
            </w:r>
          </w:p>
        </w:tc>
      </w:tr>
      <w:tr>
        <w:trPr>
          <w:cantSplit/>
        </w:trPr>
        <w:tc>
          <w:tcPr>
            <w:tcW w:type="dxa" w:w="1701"/>
            <w:vAlign w:val="center"/>
          </w:tcPr>
          <w:p>
            <w:pPr>
              <w:spacing w:line="216" w:lineRule="auto" w:after="0"/>
            </w:pPr>
            <w:r>
              <w:rPr>
                <w:sz w:val="13"/>
              </w:rPr>
              <w:t>Aneuploidy</w:t>
            </w:r>
          </w:p>
        </w:tc>
        <w:tc>
          <w:tcPr>
            <w:tcW w:type="dxa" w:w="2381"/>
            <w:vAlign w:val="center"/>
          </w:tcPr>
          <w:p>
            <w:pPr>
              <w:spacing w:line="216" w:lineRule="auto" w:after="0"/>
            </w:pPr>
            <w:r>
              <w:rPr>
                <w:sz w:val="13"/>
              </w:rPr>
              <w:t>UCEC: Aneuploidy score</w:t>
            </w:r>
          </w:p>
        </w:tc>
        <w:tc>
          <w:tcPr>
            <w:tcW w:type="dxa" w:w="680"/>
            <w:vAlign w:val="center"/>
          </w:tcPr>
          <w:p>
            <w:pPr>
              <w:spacing w:line="216" w:lineRule="auto" w:after="0"/>
            </w:pPr>
            <w:r>
              <w:rPr>
                <w:sz w:val="13"/>
              </w:rPr>
              <w:t>476</w:t>
            </w:r>
          </w:p>
        </w:tc>
        <w:tc>
          <w:tcPr>
            <w:tcW w:type="dxa" w:w="1020"/>
            <w:vAlign w:val="center"/>
          </w:tcPr>
          <w:p>
            <w:pPr>
              <w:spacing w:line="216" w:lineRule="auto" w:after="0"/>
            </w:pPr>
            <w:r>
              <w:rPr>
                <w:sz w:val="13"/>
              </w:rPr>
              <w:t>0.330</w:t>
            </w:r>
          </w:p>
        </w:tc>
        <w:tc>
          <w:tcPr>
            <w:tcW w:type="dxa" w:w="1134"/>
            <w:vAlign w:val="center"/>
          </w:tcPr>
          <w:p>
            <w:pPr>
              <w:spacing w:line="216" w:lineRule="auto" w:after="0"/>
            </w:pPr>
            <w:r>
              <w:rPr>
                <w:sz w:val="13"/>
              </w:rPr>
              <w:t>0.171</w:t>
            </w:r>
          </w:p>
        </w:tc>
        <w:tc>
          <w:tcPr>
            <w:tcW w:type="dxa" w:w="1304"/>
            <w:vAlign w:val="center"/>
          </w:tcPr>
          <w:p>
            <w:pPr>
              <w:spacing w:line="216" w:lineRule="auto" w:after="0"/>
            </w:pPr>
            <w:r>
              <w:rPr>
                <w:sz w:val="13"/>
              </w:rPr>
              <w:t>0.226</w:t>
            </w:r>
          </w:p>
        </w:tc>
        <w:tc>
          <w:tcPr>
            <w:tcW w:type="dxa" w:w="2098"/>
            <w:vAlign w:val="center"/>
          </w:tcPr>
          <w:p>
            <w:pPr>
              <w:spacing w:line="216" w:lineRule="auto" w:after="0"/>
            </w:pPr>
            <w:r>
              <w:rPr>
                <w:sz w:val="13"/>
              </w:rPr>
              <w:t>TITAN+Prov-GigaPath</w:t>
            </w:r>
          </w:p>
        </w:tc>
      </w:tr>
    </w:tbl>
    <w:p/>
    <w:p>
      <w:r>
        <w:t>Continuous fusion burden crossed only with TITAN in UCEC and LGG. This contrasts with the broader binary any-fusion results and shows that detecting the presence of a called fusion is not equivalent to predicting the number of fusion calls.</w:t>
      </w:r>
    </w:p>
    <w:p>
      <w:pPr>
        <w:pStyle w:val="Heading1"/>
      </w:pPr>
      <w:r>
        <w:t>Table S6. Feature-family predictability across all three slide representations</w:t>
      </w:r>
    </w:p>
    <w:p>
      <w:r>
        <w:t>Each cell reports effect-threshold crossings divided by eligible cancer-endpoint pairs. Binary crossings use AUROC at least 0.60 and continuous crossings use Q² at least 0.20. Counts measure task-level breadth within this catalogue, not independent biological discoveries.</w:t>
      </w:r>
    </w:p>
    <w:tbl>
      <w:tblPr>
        <w:tblStyle w:val="TableGrid"/>
        <w:tblW w:type="dxa" w:w="9976"/>
        <w:jc w:val="left"/>
        <w:tblLayout w:type="fixed"/>
        <w:tblLook w:firstColumn="1" w:firstRow="1" w:lastColumn="0" w:lastRow="0" w:noHBand="0" w:noVBand="1" w:val="04A0"/>
        <w:tblLayout w:type="fixed"/>
        <w:tblInd w:type="dxa" w:w="0"/>
      </w:tblPr>
      <w:tblGrid>
        <w:gridCol w:w="964"/>
        <w:gridCol w:w="3061"/>
        <w:gridCol w:w="1020"/>
        <w:gridCol w:w="1587"/>
        <w:gridCol w:w="1587"/>
        <w:gridCol w:w="1757"/>
      </w:tblGrid>
      <w:tr>
        <w:trPr>
          <w:tblHeader w:val="true"/>
          <w:cantSplit/>
        </w:trPr>
        <w:tc>
          <w:tcPr>
            <w:tcW w:type="dxa" w:w="964"/>
          </w:tcPr>
          <w:p>
            <w:pPr>
              <w:spacing w:line="216" w:lineRule="auto" w:after="0"/>
            </w:pPr>
            <w:r>
              <w:rPr>
                <w:b/>
                <w:sz w:val="14"/>
              </w:rPr>
              <w:t>Outcome</w:t>
            </w:r>
          </w:p>
        </w:tc>
        <w:tc>
          <w:tcPr>
            <w:tcW w:type="dxa" w:w="3061"/>
          </w:tcPr>
          <w:p>
            <w:pPr>
              <w:spacing w:line="216" w:lineRule="auto" w:after="0"/>
            </w:pPr>
            <w:r>
              <w:rPr>
                <w:b/>
                <w:sz w:val="14"/>
              </w:rPr>
              <w:t>Tumour-feature family</w:t>
            </w:r>
          </w:p>
        </w:tc>
        <w:tc>
          <w:tcPr>
            <w:tcW w:type="dxa" w:w="1020"/>
          </w:tcPr>
          <w:p>
            <w:pPr>
              <w:spacing w:line="216" w:lineRule="auto" w:after="0"/>
            </w:pPr>
            <w:r>
              <w:rPr>
                <w:b/>
                <w:sz w:val="14"/>
              </w:rPr>
              <w:t>Eligible tasks</w:t>
            </w:r>
          </w:p>
        </w:tc>
        <w:tc>
          <w:tcPr>
            <w:tcW w:type="dxa" w:w="1587"/>
          </w:tcPr>
          <w:p>
            <w:pPr>
              <w:spacing w:line="216" w:lineRule="auto" w:after="0"/>
            </w:pPr>
            <w:r>
              <w:rPr>
                <w:b/>
                <w:sz w:val="14"/>
              </w:rPr>
              <w:t>TITAN</w:t>
            </w:r>
          </w:p>
        </w:tc>
        <w:tc>
          <w:tcPr>
            <w:tcW w:type="dxa" w:w="1587"/>
          </w:tcPr>
          <w:p>
            <w:pPr>
              <w:spacing w:line="216" w:lineRule="auto" w:after="0"/>
            </w:pPr>
            <w:r>
              <w:rPr>
                <w:b/>
                <w:sz w:val="14"/>
              </w:rPr>
              <w:t>Giga-SSL</w:t>
            </w:r>
          </w:p>
        </w:tc>
        <w:tc>
          <w:tcPr>
            <w:tcW w:type="dxa" w:w="1757"/>
          </w:tcPr>
          <w:p>
            <w:pPr>
              <w:spacing w:line="216" w:lineRule="auto" w:after="0"/>
            </w:pPr>
            <w:r>
              <w:rPr>
                <w:b/>
                <w:sz w:val="14"/>
              </w:rPr>
              <w:t>Prov-GigaPath</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Driver mutations</w:t>
            </w:r>
          </w:p>
        </w:tc>
        <w:tc>
          <w:tcPr>
            <w:tcW w:type="dxa" w:w="1020"/>
            <w:vAlign w:val="center"/>
          </w:tcPr>
          <w:p>
            <w:pPr>
              <w:spacing w:line="216" w:lineRule="auto" w:after="0"/>
            </w:pPr>
            <w:r>
              <w:rPr>
                <w:sz w:val="13"/>
              </w:rPr>
              <w:t>217</w:t>
            </w:r>
          </w:p>
        </w:tc>
        <w:tc>
          <w:tcPr>
            <w:tcW w:type="dxa" w:w="1587"/>
            <w:vAlign w:val="center"/>
          </w:tcPr>
          <w:p>
            <w:pPr>
              <w:spacing w:line="216" w:lineRule="auto" w:after="0"/>
            </w:pPr>
            <w:r>
              <w:rPr>
                <w:sz w:val="13"/>
              </w:rPr>
              <w:t>123/217 (56.7%)</w:t>
            </w:r>
          </w:p>
        </w:tc>
        <w:tc>
          <w:tcPr>
            <w:tcW w:type="dxa" w:w="1587"/>
            <w:vAlign w:val="center"/>
          </w:tcPr>
          <w:p>
            <w:pPr>
              <w:spacing w:line="216" w:lineRule="auto" w:after="0"/>
            </w:pPr>
            <w:r>
              <w:rPr>
                <w:sz w:val="13"/>
              </w:rPr>
              <w:t>77/217 (35.5%)</w:t>
            </w:r>
          </w:p>
        </w:tc>
        <w:tc>
          <w:tcPr>
            <w:tcW w:type="dxa" w:w="1757"/>
            <w:vAlign w:val="center"/>
          </w:tcPr>
          <w:p>
            <w:pPr>
              <w:spacing w:line="216" w:lineRule="auto" w:after="0"/>
            </w:pPr>
            <w:r>
              <w:rPr>
                <w:sz w:val="13"/>
              </w:rPr>
              <w:t>87/217 (40.1%)</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Fusion status and recurrent fusion pairs</w:t>
            </w:r>
          </w:p>
        </w:tc>
        <w:tc>
          <w:tcPr>
            <w:tcW w:type="dxa" w:w="1020"/>
            <w:vAlign w:val="center"/>
          </w:tcPr>
          <w:p>
            <w:pPr>
              <w:spacing w:line="216" w:lineRule="auto" w:after="0"/>
            </w:pPr>
            <w:r>
              <w:rPr>
                <w:sz w:val="13"/>
              </w:rPr>
              <w:t>26</w:t>
            </w:r>
          </w:p>
        </w:tc>
        <w:tc>
          <w:tcPr>
            <w:tcW w:type="dxa" w:w="1587"/>
            <w:vAlign w:val="center"/>
          </w:tcPr>
          <w:p>
            <w:pPr>
              <w:spacing w:line="216" w:lineRule="auto" w:after="0"/>
            </w:pPr>
            <w:r>
              <w:rPr>
                <w:sz w:val="13"/>
              </w:rPr>
              <w:t>13/26 (50.0%)</w:t>
            </w:r>
          </w:p>
        </w:tc>
        <w:tc>
          <w:tcPr>
            <w:tcW w:type="dxa" w:w="1587"/>
            <w:vAlign w:val="center"/>
          </w:tcPr>
          <w:p>
            <w:pPr>
              <w:spacing w:line="216" w:lineRule="auto" w:after="0"/>
            </w:pPr>
            <w:r>
              <w:rPr>
                <w:sz w:val="13"/>
              </w:rPr>
              <w:t>11/26 (42.3%)</w:t>
            </w:r>
          </w:p>
        </w:tc>
        <w:tc>
          <w:tcPr>
            <w:tcW w:type="dxa" w:w="1757"/>
            <w:vAlign w:val="center"/>
          </w:tcPr>
          <w:p>
            <w:pPr>
              <w:spacing w:line="216" w:lineRule="auto" w:after="0"/>
            </w:pPr>
            <w:r>
              <w:rPr>
                <w:sz w:val="13"/>
              </w:rPr>
              <w:t>11/26 (42.3%)</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Genome doubling</w:t>
            </w:r>
          </w:p>
        </w:tc>
        <w:tc>
          <w:tcPr>
            <w:tcW w:type="dxa" w:w="1020"/>
            <w:vAlign w:val="center"/>
          </w:tcPr>
          <w:p>
            <w:pPr>
              <w:spacing w:line="216" w:lineRule="auto" w:after="0"/>
            </w:pPr>
            <w:r>
              <w:rPr>
                <w:sz w:val="13"/>
              </w:rPr>
              <w:t>21</w:t>
            </w:r>
          </w:p>
        </w:tc>
        <w:tc>
          <w:tcPr>
            <w:tcW w:type="dxa" w:w="1587"/>
            <w:vAlign w:val="center"/>
          </w:tcPr>
          <w:p>
            <w:pPr>
              <w:spacing w:line="216" w:lineRule="auto" w:after="0"/>
            </w:pPr>
            <w:r>
              <w:rPr>
                <w:sz w:val="13"/>
              </w:rPr>
              <w:t>17/21 (81.0%)</w:t>
            </w:r>
          </w:p>
        </w:tc>
        <w:tc>
          <w:tcPr>
            <w:tcW w:type="dxa" w:w="1587"/>
            <w:vAlign w:val="center"/>
          </w:tcPr>
          <w:p>
            <w:pPr>
              <w:spacing w:line="216" w:lineRule="auto" w:after="0"/>
            </w:pPr>
            <w:r>
              <w:rPr>
                <w:sz w:val="13"/>
              </w:rPr>
              <w:t>17/21 (81.0%)</w:t>
            </w:r>
          </w:p>
        </w:tc>
        <w:tc>
          <w:tcPr>
            <w:tcW w:type="dxa" w:w="1757"/>
            <w:vAlign w:val="center"/>
          </w:tcPr>
          <w:p>
            <w:pPr>
              <w:spacing w:line="216" w:lineRule="auto" w:after="0"/>
            </w:pPr>
            <w:r>
              <w:rPr>
                <w:sz w:val="13"/>
              </w:rPr>
              <w:t>16/21 (76.2%)</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MSI-H</w:t>
            </w:r>
          </w:p>
        </w:tc>
        <w:tc>
          <w:tcPr>
            <w:tcW w:type="dxa" w:w="1020"/>
            <w:vAlign w:val="center"/>
          </w:tcPr>
          <w:p>
            <w:pPr>
              <w:spacing w:line="216" w:lineRule="auto" w:after="0"/>
            </w:pPr>
            <w:r>
              <w:rPr>
                <w:sz w:val="13"/>
              </w:rPr>
              <w:t>3</w:t>
            </w:r>
          </w:p>
        </w:tc>
        <w:tc>
          <w:tcPr>
            <w:tcW w:type="dxa" w:w="1587"/>
            <w:vAlign w:val="center"/>
          </w:tcPr>
          <w:p>
            <w:pPr>
              <w:spacing w:line="216" w:lineRule="auto" w:after="0"/>
            </w:pPr>
            <w:r>
              <w:rPr>
                <w:sz w:val="13"/>
              </w:rPr>
              <w:t>3/3 (100.0%)</w:t>
            </w:r>
          </w:p>
        </w:tc>
        <w:tc>
          <w:tcPr>
            <w:tcW w:type="dxa" w:w="1587"/>
            <w:vAlign w:val="center"/>
          </w:tcPr>
          <w:p>
            <w:pPr>
              <w:spacing w:line="216" w:lineRule="auto" w:after="0"/>
            </w:pPr>
            <w:r>
              <w:rPr>
                <w:sz w:val="13"/>
              </w:rPr>
              <w:t>3/3 (100.0%)</w:t>
            </w:r>
          </w:p>
        </w:tc>
        <w:tc>
          <w:tcPr>
            <w:tcW w:type="dxa" w:w="1757"/>
            <w:vAlign w:val="center"/>
          </w:tcPr>
          <w:p>
            <w:pPr>
              <w:spacing w:line="216" w:lineRule="auto" w:after="0"/>
            </w:pPr>
            <w:r>
              <w:rPr>
                <w:sz w:val="13"/>
              </w:rPr>
              <w:t>3/3 (100.0%)</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Strict MSI-H sensitivity</w:t>
            </w:r>
          </w:p>
        </w:tc>
        <w:tc>
          <w:tcPr>
            <w:tcW w:type="dxa" w:w="1020"/>
            <w:vAlign w:val="center"/>
          </w:tcPr>
          <w:p>
            <w:pPr>
              <w:spacing w:line="216" w:lineRule="auto" w:after="0"/>
            </w:pPr>
            <w:r>
              <w:rPr>
                <w:sz w:val="13"/>
              </w:rPr>
              <w:t>3</w:t>
            </w:r>
          </w:p>
        </w:tc>
        <w:tc>
          <w:tcPr>
            <w:tcW w:type="dxa" w:w="1587"/>
            <w:vAlign w:val="center"/>
          </w:tcPr>
          <w:p>
            <w:pPr>
              <w:spacing w:line="216" w:lineRule="auto" w:after="0"/>
            </w:pPr>
            <w:r>
              <w:rPr>
                <w:sz w:val="13"/>
              </w:rPr>
              <w:t>3/3 (100.0%)</w:t>
            </w:r>
          </w:p>
        </w:tc>
        <w:tc>
          <w:tcPr>
            <w:tcW w:type="dxa" w:w="1587"/>
            <w:vAlign w:val="center"/>
          </w:tcPr>
          <w:p>
            <w:pPr>
              <w:spacing w:line="216" w:lineRule="auto" w:after="0"/>
            </w:pPr>
            <w:r>
              <w:rPr>
                <w:sz w:val="13"/>
              </w:rPr>
              <w:t>2/3 (66.7%)</w:t>
            </w:r>
          </w:p>
        </w:tc>
        <w:tc>
          <w:tcPr>
            <w:tcW w:type="dxa" w:w="1757"/>
            <w:vAlign w:val="center"/>
          </w:tcPr>
          <w:p>
            <w:pPr>
              <w:spacing w:line="216" w:lineRule="auto" w:after="0"/>
            </w:pPr>
            <w:r>
              <w:rPr>
                <w:sz w:val="13"/>
              </w:rPr>
              <w:t>3/3 (100.0%)</w:t>
            </w:r>
          </w:p>
        </w:tc>
      </w:tr>
      <w:tr>
        <w:trPr>
          <w:cantSplit/>
        </w:trPr>
        <w:tc>
          <w:tcPr>
            <w:tcW w:type="dxa" w:w="964"/>
            <w:vAlign w:val="center"/>
          </w:tcPr>
          <w:p>
            <w:pPr>
              <w:spacing w:line="216" w:lineRule="auto" w:after="0"/>
            </w:pPr>
            <w:r>
              <w:rPr>
                <w:sz w:val="13"/>
              </w:rPr>
              <w:t>Binary</w:t>
            </w:r>
          </w:p>
        </w:tc>
        <w:tc>
          <w:tcPr>
            <w:tcW w:type="dxa" w:w="3061"/>
            <w:vAlign w:val="center"/>
          </w:tcPr>
          <w:p>
            <w:pPr>
              <w:spacing w:line="216" w:lineRule="auto" w:after="0"/>
            </w:pPr>
            <w:r>
              <w:rPr>
                <w:sz w:val="13"/>
              </w:rPr>
              <w:t>Oncogenic-pathway status</w:t>
            </w:r>
          </w:p>
        </w:tc>
        <w:tc>
          <w:tcPr>
            <w:tcW w:type="dxa" w:w="1020"/>
            <w:vAlign w:val="center"/>
          </w:tcPr>
          <w:p>
            <w:pPr>
              <w:spacing w:line="216" w:lineRule="auto" w:after="0"/>
            </w:pPr>
            <w:r>
              <w:rPr>
                <w:sz w:val="13"/>
              </w:rPr>
              <w:t>156</w:t>
            </w:r>
          </w:p>
        </w:tc>
        <w:tc>
          <w:tcPr>
            <w:tcW w:type="dxa" w:w="1587"/>
            <w:vAlign w:val="center"/>
          </w:tcPr>
          <w:p>
            <w:pPr>
              <w:spacing w:line="216" w:lineRule="auto" w:after="0"/>
            </w:pPr>
            <w:r>
              <w:rPr>
                <w:sz w:val="13"/>
              </w:rPr>
              <w:t>76/156 (48.7%)</w:t>
            </w:r>
          </w:p>
        </w:tc>
        <w:tc>
          <w:tcPr>
            <w:tcW w:type="dxa" w:w="1587"/>
            <w:vAlign w:val="center"/>
          </w:tcPr>
          <w:p>
            <w:pPr>
              <w:spacing w:line="216" w:lineRule="auto" w:after="0"/>
            </w:pPr>
            <w:r>
              <w:rPr>
                <w:sz w:val="13"/>
              </w:rPr>
              <w:t>51/156 (32.7%)</w:t>
            </w:r>
          </w:p>
        </w:tc>
        <w:tc>
          <w:tcPr>
            <w:tcW w:type="dxa" w:w="1757"/>
            <w:vAlign w:val="center"/>
          </w:tcPr>
          <w:p>
            <w:pPr>
              <w:spacing w:line="216" w:lineRule="auto" w:after="0"/>
            </w:pPr>
            <w:r>
              <w:rPr>
                <w:sz w:val="13"/>
              </w:rPr>
              <w:t>59/156 (37.8%)</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Thorsson immune, inflammatory and context features</w:t>
            </w:r>
          </w:p>
        </w:tc>
        <w:tc>
          <w:tcPr>
            <w:tcW w:type="dxa" w:w="1020"/>
            <w:vAlign w:val="center"/>
          </w:tcPr>
          <w:p>
            <w:pPr>
              <w:spacing w:line="216" w:lineRule="auto" w:after="0"/>
            </w:pPr>
            <w:r>
              <w:rPr>
                <w:sz w:val="13"/>
              </w:rPr>
              <w:t>1339</w:t>
            </w:r>
          </w:p>
        </w:tc>
        <w:tc>
          <w:tcPr>
            <w:tcW w:type="dxa" w:w="1587"/>
            <w:vAlign w:val="center"/>
          </w:tcPr>
          <w:p>
            <w:pPr>
              <w:spacing w:line="216" w:lineRule="auto" w:after="0"/>
            </w:pPr>
            <w:r>
              <w:rPr>
                <w:sz w:val="13"/>
              </w:rPr>
              <w:t>201/1339 (15.0%)</w:t>
            </w:r>
          </w:p>
        </w:tc>
        <w:tc>
          <w:tcPr>
            <w:tcW w:type="dxa" w:w="1587"/>
            <w:vAlign w:val="center"/>
          </w:tcPr>
          <w:p>
            <w:pPr>
              <w:spacing w:line="216" w:lineRule="auto" w:after="0"/>
            </w:pPr>
            <w:r>
              <w:rPr>
                <w:sz w:val="13"/>
              </w:rPr>
              <w:t>100/1339 (7.5%)</w:t>
            </w:r>
          </w:p>
        </w:tc>
        <w:tc>
          <w:tcPr>
            <w:tcW w:type="dxa" w:w="1757"/>
            <w:vAlign w:val="center"/>
          </w:tcPr>
          <w:p>
            <w:pPr>
              <w:spacing w:line="216" w:lineRule="auto" w:after="0"/>
            </w:pPr>
            <w:r>
              <w:rPr>
                <w:sz w:val="13"/>
              </w:rPr>
              <w:t>129/1339 (9.6%)</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Aneuploidy burdens</w:t>
            </w:r>
          </w:p>
        </w:tc>
        <w:tc>
          <w:tcPr>
            <w:tcW w:type="dxa" w:w="1020"/>
            <w:vAlign w:val="center"/>
          </w:tcPr>
          <w:p>
            <w:pPr>
              <w:spacing w:line="216" w:lineRule="auto" w:after="0"/>
            </w:pPr>
            <w:r>
              <w:rPr>
                <w:sz w:val="13"/>
              </w:rPr>
              <w:t>84</w:t>
            </w:r>
          </w:p>
        </w:tc>
        <w:tc>
          <w:tcPr>
            <w:tcW w:type="dxa" w:w="1587"/>
            <w:vAlign w:val="center"/>
          </w:tcPr>
          <w:p>
            <w:pPr>
              <w:spacing w:line="216" w:lineRule="auto" w:after="0"/>
            </w:pPr>
            <w:r>
              <w:rPr>
                <w:sz w:val="13"/>
              </w:rPr>
              <w:t>4/84 (4.8%)</w:t>
            </w:r>
          </w:p>
        </w:tc>
        <w:tc>
          <w:tcPr>
            <w:tcW w:type="dxa" w:w="1587"/>
            <w:vAlign w:val="center"/>
          </w:tcPr>
          <w:p>
            <w:pPr>
              <w:spacing w:line="216" w:lineRule="auto" w:after="0"/>
            </w:pPr>
            <w:r>
              <w:rPr>
                <w:sz w:val="13"/>
              </w:rPr>
              <w:t>2/84 (2.4%)</w:t>
            </w:r>
          </w:p>
        </w:tc>
        <w:tc>
          <w:tcPr>
            <w:tcW w:type="dxa" w:w="1757"/>
            <w:vAlign w:val="center"/>
          </w:tcPr>
          <w:p>
            <w:pPr>
              <w:spacing w:line="216" w:lineRule="auto" w:after="0"/>
            </w:pPr>
            <w:r>
              <w:rPr>
                <w:sz w:val="13"/>
              </w:rPr>
              <w:t>3/84 (3.6%)</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Fusion burden</w:t>
            </w:r>
          </w:p>
        </w:tc>
        <w:tc>
          <w:tcPr>
            <w:tcW w:type="dxa" w:w="1020"/>
            <w:vAlign w:val="center"/>
          </w:tcPr>
          <w:p>
            <w:pPr>
              <w:spacing w:line="216" w:lineRule="auto" w:after="0"/>
            </w:pPr>
            <w:r>
              <w:rPr>
                <w:sz w:val="13"/>
              </w:rPr>
              <w:t>28</w:t>
            </w:r>
          </w:p>
        </w:tc>
        <w:tc>
          <w:tcPr>
            <w:tcW w:type="dxa" w:w="1587"/>
            <w:vAlign w:val="center"/>
          </w:tcPr>
          <w:p>
            <w:pPr>
              <w:spacing w:line="216" w:lineRule="auto" w:after="0"/>
            </w:pPr>
            <w:r>
              <w:rPr>
                <w:sz w:val="13"/>
              </w:rPr>
              <w:t>2/28 (7.1%)</w:t>
            </w:r>
          </w:p>
        </w:tc>
        <w:tc>
          <w:tcPr>
            <w:tcW w:type="dxa" w:w="1587"/>
            <w:vAlign w:val="center"/>
          </w:tcPr>
          <w:p>
            <w:pPr>
              <w:spacing w:line="216" w:lineRule="auto" w:after="0"/>
            </w:pPr>
            <w:r>
              <w:rPr>
                <w:sz w:val="13"/>
              </w:rPr>
              <w:t>0/28 (0.0%)</w:t>
            </w:r>
          </w:p>
        </w:tc>
        <w:tc>
          <w:tcPr>
            <w:tcW w:type="dxa" w:w="1757"/>
            <w:vAlign w:val="center"/>
          </w:tcPr>
          <w:p>
            <w:pPr>
              <w:spacing w:line="216" w:lineRule="auto" w:after="0"/>
            </w:pPr>
            <w:r>
              <w:rPr>
                <w:sz w:val="13"/>
              </w:rPr>
              <w:t>0/28 (0.0%)</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MSI scores</w:t>
            </w:r>
          </w:p>
        </w:tc>
        <w:tc>
          <w:tcPr>
            <w:tcW w:type="dxa" w:w="1020"/>
            <w:vAlign w:val="center"/>
          </w:tcPr>
          <w:p>
            <w:pPr>
              <w:spacing w:line="216" w:lineRule="auto" w:after="0"/>
            </w:pPr>
            <w:r>
              <w:rPr>
                <w:sz w:val="13"/>
              </w:rPr>
              <w:t>56</w:t>
            </w:r>
          </w:p>
        </w:tc>
        <w:tc>
          <w:tcPr>
            <w:tcW w:type="dxa" w:w="1587"/>
            <w:vAlign w:val="center"/>
          </w:tcPr>
          <w:p>
            <w:pPr>
              <w:spacing w:line="216" w:lineRule="auto" w:after="0"/>
            </w:pPr>
            <w:r>
              <w:rPr>
                <w:sz w:val="13"/>
              </w:rPr>
              <w:t>3/56 (5.4%)</w:t>
            </w:r>
          </w:p>
        </w:tc>
        <w:tc>
          <w:tcPr>
            <w:tcW w:type="dxa" w:w="1587"/>
            <w:vAlign w:val="center"/>
          </w:tcPr>
          <w:p>
            <w:pPr>
              <w:spacing w:line="216" w:lineRule="auto" w:after="0"/>
            </w:pPr>
            <w:r>
              <w:rPr>
                <w:sz w:val="13"/>
              </w:rPr>
              <w:t>2/56 (3.6%)</w:t>
            </w:r>
          </w:p>
        </w:tc>
        <w:tc>
          <w:tcPr>
            <w:tcW w:type="dxa" w:w="1757"/>
            <w:vAlign w:val="center"/>
          </w:tcPr>
          <w:p>
            <w:pPr>
              <w:spacing w:line="216" w:lineRule="auto" w:after="0"/>
            </w:pPr>
            <w:r>
              <w:rPr>
                <w:sz w:val="13"/>
              </w:rPr>
              <w:t>4/56 (7.1%)</w:t>
            </w:r>
          </w:p>
        </w:tc>
      </w:tr>
      <w:tr>
        <w:trPr>
          <w:cantSplit/>
        </w:trPr>
        <w:tc>
          <w:tcPr>
            <w:tcW w:type="dxa" w:w="964"/>
            <w:vAlign w:val="center"/>
          </w:tcPr>
          <w:p>
            <w:pPr>
              <w:spacing w:line="216" w:lineRule="auto" w:after="0"/>
            </w:pPr>
            <w:r>
              <w:rPr>
                <w:sz w:val="13"/>
              </w:rPr>
              <w:t>Continuous</w:t>
            </w:r>
          </w:p>
        </w:tc>
        <w:tc>
          <w:tcPr>
            <w:tcW w:type="dxa" w:w="3061"/>
            <w:vAlign w:val="center"/>
          </w:tcPr>
          <w:p>
            <w:pPr>
              <w:spacing w:line="216" w:lineRule="auto" w:after="0"/>
            </w:pPr>
            <w:r>
              <w:rPr>
                <w:sz w:val="13"/>
              </w:rPr>
              <w:t>RNA-derived pathway activities</w:t>
            </w:r>
          </w:p>
        </w:tc>
        <w:tc>
          <w:tcPr>
            <w:tcW w:type="dxa" w:w="1020"/>
            <w:vAlign w:val="center"/>
          </w:tcPr>
          <w:p>
            <w:pPr>
              <w:spacing w:line="216" w:lineRule="auto" w:after="0"/>
            </w:pPr>
            <w:r>
              <w:rPr>
                <w:sz w:val="13"/>
              </w:rPr>
              <w:t>1456</w:t>
            </w:r>
          </w:p>
        </w:tc>
        <w:tc>
          <w:tcPr>
            <w:tcW w:type="dxa" w:w="1587"/>
            <w:vAlign w:val="center"/>
          </w:tcPr>
          <w:p>
            <w:pPr>
              <w:spacing w:line="216" w:lineRule="auto" w:after="0"/>
            </w:pPr>
            <w:r>
              <w:rPr>
                <w:sz w:val="13"/>
              </w:rPr>
              <w:t>459/1456 (31.5%)</w:t>
            </w:r>
          </w:p>
        </w:tc>
        <w:tc>
          <w:tcPr>
            <w:tcW w:type="dxa" w:w="1587"/>
            <w:vAlign w:val="center"/>
          </w:tcPr>
          <w:p>
            <w:pPr>
              <w:spacing w:line="216" w:lineRule="auto" w:after="0"/>
            </w:pPr>
            <w:r>
              <w:rPr>
                <w:sz w:val="13"/>
              </w:rPr>
              <w:t>247/1456 (17.0%)</w:t>
            </w:r>
          </w:p>
        </w:tc>
        <w:tc>
          <w:tcPr>
            <w:tcW w:type="dxa" w:w="1757"/>
            <w:vAlign w:val="center"/>
          </w:tcPr>
          <w:p>
            <w:pPr>
              <w:spacing w:line="216" w:lineRule="auto" w:after="0"/>
            </w:pPr>
            <w:r>
              <w:rPr>
                <w:sz w:val="13"/>
              </w:rPr>
              <w:t>303/1456 (20.8%)</w:t>
            </w:r>
          </w:p>
        </w:tc>
      </w:tr>
    </w:tbl>
    <w:p/>
    <w:p>
      <w:pPr>
        <w:pStyle w:val="Heading1"/>
      </w:pPr>
      <w:r>
        <w:t>Table S7. Literature context and contribution by tumour-feature class</w:t>
      </w:r>
    </w:p>
    <w:tbl>
      <w:tblPr>
        <w:tblStyle w:val="TableGrid"/>
        <w:tblW w:type="dxa" w:w="9638"/>
        <w:jc w:val="left"/>
        <w:tblLayout w:type="fixed"/>
        <w:tblLook w:firstColumn="1" w:firstRow="1" w:lastColumn="0" w:lastRow="0" w:noHBand="0" w:noVBand="1" w:val="04A0"/>
        <w:tblLayout w:type="fixed"/>
        <w:tblInd w:type="dxa" w:w="0"/>
      </w:tblPr>
      <w:tblGrid>
        <w:gridCol w:w="1814"/>
        <w:gridCol w:w="3855"/>
        <w:gridCol w:w="3969"/>
      </w:tblGrid>
      <w:tr>
        <w:trPr>
          <w:tblHeader w:val="true"/>
          <w:cantSplit/>
        </w:trPr>
        <w:tc>
          <w:tcPr>
            <w:tcW w:type="dxa" w:w="1814"/>
          </w:tcPr>
          <w:p>
            <w:pPr>
              <w:spacing w:line="228" w:lineRule="auto" w:after="0"/>
            </w:pPr>
            <w:r>
              <w:rPr>
                <w:b/>
                <w:sz w:val="14"/>
              </w:rPr>
              <w:t>Feature class</w:t>
            </w:r>
          </w:p>
        </w:tc>
        <w:tc>
          <w:tcPr>
            <w:tcW w:type="dxa" w:w="3855"/>
          </w:tcPr>
          <w:p>
            <w:pPr>
              <w:spacing w:line="228" w:lineRule="auto" w:after="0"/>
            </w:pPr>
            <w:r>
              <w:rPr>
                <w:b/>
                <w:sz w:val="14"/>
              </w:rPr>
              <w:t>Representative prior H&amp;E evidence</w:t>
            </w:r>
          </w:p>
        </w:tc>
        <w:tc>
          <w:tcPr>
            <w:tcW w:type="dxa" w:w="3969"/>
          </w:tcPr>
          <w:p>
            <w:pPr>
              <w:spacing w:line="228" w:lineRule="auto" w:after="0"/>
            </w:pPr>
            <w:r>
              <w:rPr>
                <w:b/>
                <w:sz w:val="14"/>
              </w:rPr>
              <w:t>What the present atlas contributes</w:t>
            </w:r>
          </w:p>
        </w:tc>
      </w:tr>
      <w:tr>
        <w:trPr>
          <w:cantSplit/>
        </w:trPr>
        <w:tc>
          <w:tcPr>
            <w:tcW w:type="dxa" w:w="1814"/>
            <w:vAlign w:val="center"/>
          </w:tcPr>
          <w:p>
            <w:pPr>
              <w:spacing w:line="228" w:lineRule="auto" w:after="0"/>
            </w:pPr>
            <w:r>
              <w:rPr>
                <w:sz w:val="13"/>
              </w:rPr>
              <w:t>Driver mutations</w:t>
            </w:r>
          </w:p>
        </w:tc>
        <w:tc>
          <w:tcPr>
            <w:tcW w:type="dxa" w:w="3855"/>
            <w:vAlign w:val="center"/>
          </w:tcPr>
          <w:p>
            <w:pPr>
              <w:spacing w:line="228" w:lineRule="auto" w:after="0"/>
            </w:pPr>
            <w:r>
              <w:rPr>
                <w:sz w:val="13"/>
              </w:rPr>
              <w:t>Coudray et al.; Fu et al.; Kather et al.; Loeffler et al.; Saldanha et al.; Arslan et al. [2,5-7,11,40]</w:t>
            </w:r>
          </w:p>
        </w:tc>
        <w:tc>
          <w:tcPr>
            <w:tcW w:type="dxa" w:w="3969"/>
            <w:vAlign w:val="center"/>
          </w:tcPr>
          <w:p>
            <w:pPr>
              <w:spacing w:line="228" w:lineRule="auto" w:after="0"/>
            </w:pPr>
            <w:r>
              <w:rPr>
                <w:sz w:val="13"/>
              </w:rPr>
              <w:t>Matched patient-level comparison of three released slide representations, negative and ineligible records, and cancer-specific reusable linear heads.</w:t>
            </w:r>
          </w:p>
        </w:tc>
      </w:tr>
      <w:tr>
        <w:trPr>
          <w:cantSplit/>
        </w:trPr>
        <w:tc>
          <w:tcPr>
            <w:tcW w:type="dxa" w:w="1814"/>
            <w:vAlign w:val="center"/>
          </w:tcPr>
          <w:p>
            <w:pPr>
              <w:spacing w:line="228" w:lineRule="auto" w:after="0"/>
            </w:pPr>
            <w:r>
              <w:rPr>
                <w:sz w:val="13"/>
              </w:rPr>
              <w:t>Gene fusions</w:t>
            </w:r>
          </w:p>
        </w:tc>
        <w:tc>
          <w:tcPr>
            <w:tcW w:type="dxa" w:w="3855"/>
            <w:vAlign w:val="center"/>
          </w:tcPr>
          <w:p>
            <w:pPr>
              <w:spacing w:line="228" w:lineRule="auto" w:after="0"/>
            </w:pPr>
            <w:r>
              <w:rPr>
                <w:sz w:val="13"/>
              </w:rPr>
              <w:t>ERG rearrangement in prostate cancer and ALK/ROS1 fusions in lung cancer were predicted previously, including external testing [12-13].</w:t>
            </w:r>
          </w:p>
        </w:tc>
        <w:tc>
          <w:tcPr>
            <w:tcW w:type="dxa" w:w="3969"/>
            <w:vAlign w:val="center"/>
          </w:tcPr>
          <w:p>
            <w:pPr>
              <w:spacing w:line="228" w:lineRule="auto" w:after="0"/>
            </w:pPr>
            <w:r>
              <w:rPr>
                <w:sz w:val="13"/>
              </w:rPr>
              <w:t>Compares any-fusion and eligible recurrent-pair tasks across cancers and representations; identifies UCEC any-fusion as the strongest shared result and separates fusion status from continuous fusion burden.</w:t>
            </w:r>
          </w:p>
        </w:tc>
      </w:tr>
      <w:tr>
        <w:trPr>
          <w:cantSplit/>
        </w:trPr>
        <w:tc>
          <w:tcPr>
            <w:tcW w:type="dxa" w:w="1814"/>
            <w:vAlign w:val="center"/>
          </w:tcPr>
          <w:p>
            <w:pPr>
              <w:spacing w:line="228" w:lineRule="auto" w:after="0"/>
            </w:pPr>
            <w:r>
              <w:rPr>
                <w:sz w:val="13"/>
              </w:rPr>
              <w:t>MSI</w:t>
            </w:r>
          </w:p>
        </w:tc>
        <w:tc>
          <w:tcPr>
            <w:tcW w:type="dxa" w:w="3855"/>
            <w:vAlign w:val="center"/>
          </w:tcPr>
          <w:p>
            <w:pPr>
              <w:spacing w:line="228" w:lineRule="auto" w:after="0"/>
            </w:pPr>
            <w:r>
              <w:rPr>
                <w:sz w:val="13"/>
              </w:rPr>
              <w:t>Kather et al., Echle et al. and Wagner et al. studied gastrointestinal MSI, including independent cohorts; Wang et al. studied endometrial MSI [3-4,36-37].</w:t>
            </w:r>
          </w:p>
        </w:tc>
        <w:tc>
          <w:tcPr>
            <w:tcW w:type="dxa" w:w="3969"/>
            <w:vAlign w:val="center"/>
          </w:tcPr>
          <w:p>
            <w:pPr>
              <w:spacing w:line="228" w:lineRule="auto" w:after="0"/>
            </w:pPr>
            <w:r>
              <w:rPr>
                <w:sz w:val="13"/>
              </w:rPr>
              <w:t>Applies common broad and strict MANTIS definitions across the matched slide representations and reports PR-AUC, prevalence and cohort-structure sensitivity.</w:t>
            </w:r>
          </w:p>
        </w:tc>
      </w:tr>
      <w:tr>
        <w:trPr>
          <w:cantSplit/>
        </w:trPr>
        <w:tc>
          <w:tcPr>
            <w:tcW w:type="dxa" w:w="1814"/>
            <w:vAlign w:val="center"/>
          </w:tcPr>
          <w:p>
            <w:pPr>
              <w:spacing w:line="228" w:lineRule="auto" w:after="0"/>
            </w:pPr>
            <w:r>
              <w:rPr>
                <w:sz w:val="13"/>
              </w:rPr>
              <w:t>Aneuploidy and genome doubling</w:t>
            </w:r>
          </w:p>
        </w:tc>
        <w:tc>
          <w:tcPr>
            <w:tcW w:type="dxa" w:w="3855"/>
            <w:vAlign w:val="center"/>
          </w:tcPr>
          <w:p>
            <w:pPr>
              <w:spacing w:line="228" w:lineRule="auto" w:after="0"/>
            </w:pPr>
            <w:r>
              <w:rPr>
                <w:sz w:val="13"/>
              </w:rPr>
              <w:t>Fu et al. linked H&amp;E to genome doubling and aneuploidy; Xu et al. studied breast chromosomal instability and Hyeon et al. studied colorectal aneuploidy [5,38-39].</w:t>
            </w:r>
          </w:p>
        </w:tc>
        <w:tc>
          <w:tcPr>
            <w:tcW w:type="dxa" w:w="3969"/>
            <w:vAlign w:val="center"/>
          </w:tcPr>
          <w:p>
            <w:pPr>
              <w:spacing w:line="228" w:lineRule="auto" w:after="0"/>
            </w:pPr>
            <w:r>
              <w:rPr>
                <w:sz w:val="13"/>
              </w:rPr>
              <w:t>Evaluates Taylor arm-level burdens and genome doubling with the same patient-level probe across all three slide representations.</w:t>
            </w:r>
          </w:p>
        </w:tc>
      </w:tr>
      <w:tr>
        <w:trPr>
          <w:cantSplit/>
        </w:trPr>
        <w:tc>
          <w:tcPr>
            <w:tcW w:type="dxa" w:w="1814"/>
            <w:vAlign w:val="center"/>
          </w:tcPr>
          <w:p>
            <w:pPr>
              <w:spacing w:line="228" w:lineRule="auto" w:after="0"/>
            </w:pPr>
            <w:r>
              <w:rPr>
                <w:sz w:val="13"/>
              </w:rPr>
              <w:t>Oncogenic pathways</w:t>
            </w:r>
          </w:p>
        </w:tc>
        <w:tc>
          <w:tcPr>
            <w:tcW w:type="dxa" w:w="3855"/>
            <w:vAlign w:val="center"/>
          </w:tcPr>
          <w:p>
            <w:pPr>
              <w:spacing w:line="228" w:lineRule="auto" w:after="0"/>
            </w:pPr>
            <w:r>
              <w:rPr>
                <w:sz w:val="13"/>
              </w:rPr>
              <w:t>Loeffler et al. compared gene and pathway alterations; HE2RNA linked histology to transcriptomic pathways [8,40].</w:t>
            </w:r>
          </w:p>
        </w:tc>
        <w:tc>
          <w:tcPr>
            <w:tcW w:type="dxa" w:w="3969"/>
            <w:vAlign w:val="center"/>
          </w:tcPr>
          <w:p>
            <w:pPr>
              <w:spacing w:line="228" w:lineRule="auto" w:after="0"/>
            </w:pPr>
            <w:r>
              <w:rPr>
                <w:sz w:val="13"/>
              </w:rPr>
              <w:t>Screens the same ten Sanchez-Vega pathway states across eligible cancers and all three representations.</w:t>
            </w:r>
          </w:p>
        </w:tc>
      </w:tr>
      <w:tr>
        <w:trPr>
          <w:cantSplit/>
        </w:trPr>
        <w:tc>
          <w:tcPr>
            <w:tcW w:type="dxa" w:w="1814"/>
            <w:vAlign w:val="center"/>
          </w:tcPr>
          <w:p>
            <w:pPr>
              <w:spacing w:line="228" w:lineRule="auto" w:after="0"/>
            </w:pPr>
            <w:r>
              <w:rPr>
                <w:sz w:val="13"/>
              </w:rPr>
              <w:t>Immune and inflammatory phenotypes</w:t>
            </w:r>
          </w:p>
        </w:tc>
        <w:tc>
          <w:tcPr>
            <w:tcW w:type="dxa" w:w="3855"/>
            <w:vAlign w:val="center"/>
          </w:tcPr>
          <w:p>
            <w:pPr>
              <w:spacing w:line="228" w:lineRule="auto" w:after="0"/>
            </w:pPr>
            <w:r>
              <w:rPr>
                <w:sz w:val="13"/>
              </w:rPr>
              <w:t>Schmauch et al. inferred RNA expression; Diao et al. associated image features with leukocyte and TGF-beta measures; other studies modelled microenvironment phenotypes [8-9,15,41].</w:t>
            </w:r>
          </w:p>
        </w:tc>
        <w:tc>
          <w:tcPr>
            <w:tcW w:type="dxa" w:w="3969"/>
            <w:vAlign w:val="center"/>
          </w:tcPr>
          <w:p>
            <w:pPr>
              <w:spacing w:line="228" w:lineRule="auto" w:after="0"/>
            </w:pPr>
            <w:r>
              <w:rPr>
                <w:sz w:val="13"/>
              </w:rPr>
              <w:t>Evaluates one documented panel of inferred fractions, RNA signatures, repertoire measures and composite tissue-context scores across 30 jointly represented cancers while preserving their reference-label provenance.</w:t>
            </w:r>
          </w:p>
        </w:tc>
      </w:tr>
      <w:tr>
        <w:trPr>
          <w:cantSplit/>
        </w:trPr>
        <w:tc>
          <w:tcPr>
            <w:tcW w:type="dxa" w:w="1814"/>
            <w:vAlign w:val="center"/>
          </w:tcPr>
          <w:p>
            <w:pPr>
              <w:spacing w:line="228" w:lineRule="auto" w:after="0"/>
            </w:pPr>
            <w:r>
              <w:rPr>
                <w:sz w:val="13"/>
              </w:rPr>
              <w:t>Broad multi-omic screening</w:t>
            </w:r>
          </w:p>
        </w:tc>
        <w:tc>
          <w:tcPr>
            <w:tcW w:type="dxa" w:w="3855"/>
            <w:vAlign w:val="center"/>
          </w:tcPr>
          <w:p>
            <w:pPr>
              <w:spacing w:line="228" w:lineRule="auto" w:after="0"/>
            </w:pPr>
            <w:r>
              <w:rPr>
                <w:sz w:val="13"/>
              </w:rPr>
              <w:t>Arslan et al. trained 12,093 models for 4,031 biomarkers across the same 32 TCGA cancers [7].</w:t>
            </w:r>
          </w:p>
        </w:tc>
        <w:tc>
          <w:tcPr>
            <w:tcW w:type="dxa" w:w="3969"/>
            <w:vAlign w:val="center"/>
          </w:tcPr>
          <w:p>
            <w:pPr>
              <w:spacing w:line="228" w:lineRule="auto" w:after="0"/>
            </w:pPr>
            <w:r>
              <w:rPr>
                <w:sz w:val="13"/>
              </w:rPr>
              <w:t>Adds a matched three-representation comparison, deterministic patient-level slide pooling, explicit tested-negative outputs and representation-specific linear model records.</w:t>
            </w:r>
          </w:p>
        </w:tc>
      </w:tr>
    </w:tbl>
    <w:p/>
    <w:p>
      <w:r>
        <w:t>The literature establishes precedent for every broad feature class. The contribution of this study lies primarily in the common three-representation, patient-level atlas and its reusable model records. Some exact cancer-feature combinations, including UCEC and LGG fusion burden, appear less commonly studied, but endpoint novelty cannot be established without a dedicated systematic review.</w:t>
      </w:r>
    </w:p>
    <w:p>
      <w:pPr>
        <w:pStyle w:val="Heading1"/>
      </w:pPr>
      <w:r>
        <w:t>Table S8. Statistical and robustness audit summary</w:t>
      </w:r>
    </w:p>
    <w:tbl>
      <w:tblPr>
        <w:tblStyle w:val="TableGrid"/>
        <w:tblW w:type="dxa" w:w="9411"/>
        <w:jc w:val="left"/>
        <w:tblLayout w:type="fixed"/>
        <w:tblLook w:firstColumn="1" w:firstRow="1" w:lastColumn="0" w:lastRow="0" w:noHBand="0" w:noVBand="1" w:val="04A0"/>
        <w:tblLayout w:type="fixed"/>
        <w:tblInd w:type="dxa" w:w="0"/>
      </w:tblPr>
      <w:tblGrid>
        <w:gridCol w:w="1814"/>
        <w:gridCol w:w="1701"/>
        <w:gridCol w:w="3515"/>
        <w:gridCol w:w="2381"/>
      </w:tblGrid>
      <w:tr>
        <w:trPr>
          <w:tblHeader w:val="true"/>
          <w:cantSplit/>
        </w:trPr>
        <w:tc>
          <w:tcPr>
            <w:tcW w:type="dxa" w:w="1814"/>
          </w:tcPr>
          <w:p>
            <w:pPr>
              <w:spacing w:line="240" w:lineRule="auto" w:after="0"/>
            </w:pPr>
            <w:r>
              <w:rPr>
                <w:b/>
                <w:sz w:val="14"/>
              </w:rPr>
              <w:t>Audit</w:t>
            </w:r>
          </w:p>
        </w:tc>
        <w:tc>
          <w:tcPr>
            <w:tcW w:type="dxa" w:w="1701"/>
          </w:tcPr>
          <w:p>
            <w:pPr>
              <w:spacing w:line="240" w:lineRule="auto" w:after="0"/>
            </w:pPr>
            <w:r>
              <w:rPr>
                <w:b/>
                <w:sz w:val="14"/>
              </w:rPr>
              <w:t>Scope</w:t>
            </w:r>
          </w:p>
        </w:tc>
        <w:tc>
          <w:tcPr>
            <w:tcW w:type="dxa" w:w="3515"/>
          </w:tcPr>
          <w:p>
            <w:pPr>
              <w:spacing w:line="240" w:lineRule="auto" w:after="0"/>
            </w:pPr>
            <w:r>
              <w:rPr>
                <w:b/>
                <w:sz w:val="14"/>
              </w:rPr>
              <w:t>Principal result</w:t>
            </w:r>
          </w:p>
        </w:tc>
        <w:tc>
          <w:tcPr>
            <w:tcW w:type="dxa" w:w="2381"/>
          </w:tcPr>
          <w:p>
            <w:pPr>
              <w:spacing w:line="240" w:lineRule="auto" w:after="0"/>
            </w:pPr>
            <w:r>
              <w:rPr>
                <w:b/>
                <w:sz w:val="14"/>
              </w:rPr>
              <w:t>Complete companion</w:t>
            </w:r>
          </w:p>
        </w:tc>
      </w:tr>
      <w:tr>
        <w:trPr>
          <w:cantSplit/>
        </w:trPr>
        <w:tc>
          <w:tcPr>
            <w:tcW w:type="dxa" w:w="1814"/>
            <w:vAlign w:val="center"/>
          </w:tcPr>
          <w:p>
            <w:pPr>
              <w:spacing w:line="240" w:lineRule="auto" w:after="0"/>
            </w:pPr>
            <w:r>
              <w:rPr>
                <w:sz w:val="14"/>
              </w:rPr>
              <w:t>Alternative patient folds</w:t>
            </w:r>
          </w:p>
        </w:tc>
        <w:tc>
          <w:tcPr>
            <w:tcW w:type="dxa" w:w="1701"/>
            <w:vAlign w:val="center"/>
          </w:tcPr>
          <w:p>
            <w:pPr>
              <w:spacing w:line="240" w:lineRule="auto" w:after="0"/>
            </w:pPr>
            <w:r>
              <w:rPr>
                <w:sz w:val="14"/>
              </w:rPr>
              <w:t>1,360 matched pairs</w:t>
            </w:r>
          </w:p>
        </w:tc>
        <w:tc>
          <w:tcPr>
            <w:tcW w:type="dxa" w:w="3515"/>
            <w:vAlign w:val="center"/>
          </w:tcPr>
          <w:p>
            <w:pPr>
              <w:spacing w:line="240" w:lineRule="auto" w:after="0"/>
            </w:pPr>
            <w:r>
              <w:rPr>
                <w:sz w:val="14"/>
              </w:rPr>
              <w:t>Five new paired nested partitions; effect and crossing frequency reported per representation</w:t>
            </w:r>
          </w:p>
        </w:tc>
        <w:tc>
          <w:tcPr>
            <w:tcW w:type="dxa" w:w="2381"/>
            <w:vAlign w:val="center"/>
          </w:tcPr>
          <w:p>
            <w:pPr>
              <w:spacing w:line="240" w:lineRule="auto" w:after="0"/>
            </w:pPr>
            <w:r>
              <w:rPr>
                <w:sz w:val="14"/>
              </w:rPr>
              <w:t>foundation_model_fold_stability_repeats.csv</w:t>
            </w:r>
          </w:p>
        </w:tc>
      </w:tr>
      <w:tr>
        <w:trPr>
          <w:cantSplit/>
        </w:trPr>
        <w:tc>
          <w:tcPr>
            <w:tcW w:type="dxa" w:w="1814"/>
            <w:vAlign w:val="center"/>
          </w:tcPr>
          <w:p>
            <w:pPr>
              <w:spacing w:line="240" w:lineRule="auto" w:after="0"/>
            </w:pPr>
            <w:r>
              <w:rPr>
                <w:sz w:val="14"/>
              </w:rPr>
              <w:t>TCGA tissue-source-site code grouping</w:t>
            </w:r>
          </w:p>
        </w:tc>
        <w:tc>
          <w:tcPr>
            <w:tcW w:type="dxa" w:w="1701"/>
            <w:vAlign w:val="center"/>
          </w:tcPr>
          <w:p>
            <w:pPr>
              <w:spacing w:line="240" w:lineRule="auto" w:after="0"/>
            </w:pPr>
            <w:r>
              <w:rPr>
                <w:sz w:val="14"/>
              </w:rPr>
              <w:t>1,004 matched pairs</w:t>
            </w:r>
          </w:p>
        </w:tc>
        <w:tc>
          <w:tcPr>
            <w:tcW w:type="dxa" w:w="3515"/>
            <w:vAlign w:val="center"/>
          </w:tcPr>
          <w:p>
            <w:pPr>
              <w:spacing w:line="240" w:lineRule="auto" w:after="0"/>
            </w:pPr>
            <w:r>
              <w:rPr>
                <w:sz w:val="14"/>
              </w:rPr>
              <w:t>All three representations evaluated with grouped and matched-random folds</w:t>
            </w:r>
          </w:p>
        </w:tc>
        <w:tc>
          <w:tcPr>
            <w:tcW w:type="dxa" w:w="2381"/>
            <w:vAlign w:val="center"/>
          </w:tcPr>
          <w:p>
            <w:pPr>
              <w:spacing w:line="240" w:lineRule="auto" w:after="0"/>
            </w:pPr>
            <w:r>
              <w:rPr>
                <w:sz w:val="14"/>
              </w:rPr>
              <w:t>foundation_model_tss_grouped_sensitivity.csv</w:t>
            </w:r>
          </w:p>
        </w:tc>
      </w:tr>
      <w:tr>
        <w:trPr>
          <w:cantSplit/>
        </w:trPr>
        <w:tc>
          <w:tcPr>
            <w:tcW w:type="dxa" w:w="1814"/>
            <w:vAlign w:val="center"/>
          </w:tcPr>
          <w:p>
            <w:pPr>
              <w:spacing w:line="240" w:lineRule="auto" w:after="0"/>
            </w:pPr>
            <w:r>
              <w:rPr>
                <w:sz w:val="14"/>
              </w:rPr>
              <w:t>Grouped-fold adequacy</w:t>
            </w:r>
          </w:p>
        </w:tc>
        <w:tc>
          <w:tcPr>
            <w:tcW w:type="dxa" w:w="1701"/>
            <w:vAlign w:val="center"/>
          </w:tcPr>
          <w:p>
            <w:pPr>
              <w:spacing w:line="240" w:lineRule="auto" w:after="0"/>
            </w:pPr>
            <w:r>
              <w:rPr>
                <w:sz w:val="14"/>
              </w:rPr>
              <w:t>276 binary pairs</w:t>
            </w:r>
          </w:p>
        </w:tc>
        <w:tc>
          <w:tcPr>
            <w:tcW w:type="dxa" w:w="3515"/>
            <w:vAlign w:val="center"/>
          </w:tcPr>
          <w:p>
            <w:pPr>
              <w:spacing w:line="240" w:lineRule="auto" w:after="0"/>
            </w:pPr>
            <w:r>
              <w:rPr>
                <w:sz w:val="14"/>
              </w:rPr>
              <w:t>161 had a sparse-fold warning</w:t>
            </w:r>
          </w:p>
        </w:tc>
        <w:tc>
          <w:tcPr>
            <w:tcW w:type="dxa" w:w="2381"/>
            <w:vAlign w:val="center"/>
          </w:tcPr>
          <w:p>
            <w:pPr>
              <w:spacing w:line="240" w:lineRule="auto" w:after="0"/>
            </w:pPr>
            <w:r>
              <w:rPr>
                <w:sz w:val="14"/>
              </w:rPr>
              <w:t>foundation_model_tss_grouped_fold_adequacy.csv</w:t>
            </w:r>
          </w:p>
        </w:tc>
      </w:tr>
      <w:tr>
        <w:trPr>
          <w:cantSplit/>
        </w:trPr>
        <w:tc>
          <w:tcPr>
            <w:tcW w:type="dxa" w:w="1814"/>
            <w:vAlign w:val="center"/>
          </w:tcPr>
          <w:p>
            <w:pPr>
              <w:spacing w:line="240" w:lineRule="auto" w:after="0"/>
            </w:pPr>
            <w:r>
              <w:rPr>
                <w:sz w:val="14"/>
              </w:rPr>
              <w:t>Downstream-probe sensitivity</w:t>
            </w:r>
          </w:p>
        </w:tc>
        <w:tc>
          <w:tcPr>
            <w:tcW w:type="dxa" w:w="1701"/>
            <w:vAlign w:val="center"/>
          </w:tcPr>
          <w:p>
            <w:pPr>
              <w:spacing w:line="240" w:lineRule="auto" w:after="0"/>
            </w:pPr>
            <w:r>
              <w:rPr>
                <w:sz w:val="14"/>
              </w:rPr>
              <w:t>44 selected pairs</w:t>
            </w:r>
          </w:p>
        </w:tc>
        <w:tc>
          <w:tcPr>
            <w:tcW w:type="dxa" w:w="3515"/>
            <w:vAlign w:val="center"/>
          </w:tcPr>
          <w:p>
            <w:pPr>
              <w:spacing w:line="240" w:lineRule="auto" w:after="0"/>
            </w:pPr>
            <w:r>
              <w:rPr>
                <w:sz w:val="14"/>
              </w:rPr>
              <w:t>Matched PLS-based and ridge comparisons under common patient folds</w:t>
            </w:r>
          </w:p>
        </w:tc>
        <w:tc>
          <w:tcPr>
            <w:tcW w:type="dxa" w:w="2381"/>
            <w:vAlign w:val="center"/>
          </w:tcPr>
          <w:p>
            <w:pPr>
              <w:spacing w:line="240" w:lineRule="auto" w:after="0"/>
            </w:pPr>
            <w:r>
              <w:rPr>
                <w:sz w:val="14"/>
              </w:rPr>
              <w:t>foundation_model_probe_ranking_summary.csv</w:t>
            </w:r>
          </w:p>
        </w:tc>
      </w:tr>
      <w:tr>
        <w:trPr>
          <w:cantSplit/>
        </w:trPr>
        <w:tc>
          <w:tcPr>
            <w:tcW w:type="dxa" w:w="1814"/>
            <w:vAlign w:val="center"/>
          </w:tcPr>
          <w:p>
            <w:pPr>
              <w:spacing w:line="240" w:lineRule="auto" w:after="0"/>
            </w:pPr>
            <w:r>
              <w:rPr>
                <w:sz w:val="14"/>
              </w:rPr>
              <w:t>Binary operating rule</w:t>
            </w:r>
          </w:p>
        </w:tc>
        <w:tc>
          <w:tcPr>
            <w:tcW w:type="dxa" w:w="1701"/>
            <w:vAlign w:val="center"/>
          </w:tcPr>
          <w:p>
            <w:pPr>
              <w:spacing w:line="240" w:lineRule="auto" w:after="0"/>
            </w:pPr>
            <w:r>
              <w:rPr>
                <w:sz w:val="14"/>
              </w:rPr>
              <w:t>426 matched pairs</w:t>
            </w:r>
          </w:p>
        </w:tc>
        <w:tc>
          <w:tcPr>
            <w:tcW w:type="dxa" w:w="3515"/>
            <w:vAlign w:val="center"/>
          </w:tcPr>
          <w:p>
            <w:pPr>
              <w:spacing w:line="240" w:lineRule="auto" w:after="0"/>
            </w:pPr>
            <w:r>
              <w:rPr>
                <w:sz w:val="14"/>
              </w:rPr>
              <w:t>Empirical priors, equal priors and training-derived thresholds compared on the same AUROC-selected scores</w:t>
            </w:r>
          </w:p>
        </w:tc>
        <w:tc>
          <w:tcPr>
            <w:tcW w:type="dxa" w:w="2381"/>
            <w:vAlign w:val="center"/>
          </w:tcPr>
          <w:p>
            <w:pPr>
              <w:spacing w:line="240" w:lineRule="auto" w:after="0"/>
            </w:pPr>
            <w:r>
              <w:rPr>
                <w:sz w:val="14"/>
              </w:rPr>
              <w:t>foundation_model_binary_operating_rule_metrics.csv</w:t>
            </w:r>
          </w:p>
        </w:tc>
      </w:tr>
    </w:tbl>
    <w:p/>
    <w:p>
      <w:r>
        <w:t>These audits describe variation within TCGA. They do not estimate performance in an independent clinical cohort, and no effect-threshold crossing is interpreted as a multiplicity-controlled discovery.</w:t>
      </w:r>
    </w:p>
    <w:p>
      <w:pPr>
        <w:pStyle w:val="Heading1"/>
      </w:pPr>
      <w:r>
        <w:t>Table S9. Endpoint provenance, derivation and assay equivalence</w:t>
      </w:r>
    </w:p>
    <w:tbl>
      <w:tblPr>
        <w:tblStyle w:val="TableGrid"/>
        <w:tblW w:type="dxa" w:w="9638"/>
        <w:jc w:val="left"/>
        <w:tblLayout w:type="fixed"/>
        <w:tblLook w:firstColumn="1" w:firstRow="1" w:lastColumn="0" w:lastRow="0" w:noHBand="0" w:noVBand="1" w:val="04A0"/>
        <w:tblLayout w:type="fixed"/>
        <w:tblInd w:type="dxa" w:w="0"/>
      </w:tblPr>
      <w:tblGrid>
        <w:gridCol w:w="4535"/>
        <w:gridCol w:w="1701"/>
        <w:gridCol w:w="1701"/>
        <w:gridCol w:w="1701"/>
      </w:tblGrid>
      <w:tr>
        <w:trPr>
          <w:tblHeader w:val="true"/>
          <w:cantSplit/>
        </w:trPr>
        <w:tc>
          <w:tcPr>
            <w:tcW w:type="dxa" w:w="4535"/>
          </w:tcPr>
          <w:p>
            <w:pPr>
              <w:spacing w:line="240" w:lineRule="auto" w:after="0"/>
            </w:pPr>
            <w:r>
              <w:rPr>
                <w:b/>
                <w:sz w:val="14"/>
              </w:rPr>
              <w:t>Measurement class</w:t>
            </w:r>
          </w:p>
        </w:tc>
        <w:tc>
          <w:tcPr>
            <w:tcW w:type="dxa" w:w="1701"/>
          </w:tcPr>
          <w:p>
            <w:pPr>
              <w:spacing w:line="240" w:lineRule="auto" w:after="0"/>
            </w:pPr>
            <w:r>
              <w:rPr>
                <w:b/>
                <w:sz w:val="14"/>
              </w:rPr>
              <w:t>Cancer-endpoint tests</w:t>
            </w:r>
          </w:p>
        </w:tc>
        <w:tc>
          <w:tcPr>
            <w:tcW w:type="dxa" w:w="1701"/>
          </w:tcPr>
          <w:p>
            <w:pPr>
              <w:spacing w:line="240" w:lineRule="auto" w:after="0"/>
            </w:pPr>
            <w:r>
              <w:rPr>
                <w:b/>
                <w:sz w:val="14"/>
              </w:rPr>
              <w:t>Unique definitions</w:t>
            </w:r>
          </w:p>
        </w:tc>
        <w:tc>
          <w:tcPr>
            <w:tcW w:type="dxa" w:w="1701"/>
          </w:tcPr>
          <w:p>
            <w:pPr>
              <w:spacing w:line="240" w:lineRule="auto" w:after="0"/>
            </w:pPr>
            <w:r>
              <w:rPr>
                <w:b/>
                <w:sz w:val="14"/>
              </w:rPr>
              <w:t>Same-H&amp;E tests</w:t>
            </w:r>
          </w:p>
        </w:tc>
      </w:tr>
      <w:tr>
        <w:trPr>
          <w:cantSplit/>
        </w:trPr>
        <w:tc>
          <w:tcPr>
            <w:tcW w:type="dxa" w:w="4535"/>
            <w:vAlign w:val="center"/>
          </w:tcPr>
          <w:p>
            <w:pPr>
              <w:spacing w:line="240" w:lineRule="auto" w:after="0"/>
            </w:pPr>
            <w:r>
              <w:rPr>
                <w:sz w:val="14"/>
              </w:rPr>
              <w:t>directly observed genomic alteration</w:t>
            </w:r>
          </w:p>
        </w:tc>
        <w:tc>
          <w:tcPr>
            <w:tcW w:type="dxa" w:w="1701"/>
            <w:vAlign w:val="center"/>
          </w:tcPr>
          <w:p>
            <w:pPr>
              <w:spacing w:line="240" w:lineRule="auto" w:after="0"/>
            </w:pPr>
            <w:r>
              <w:rPr>
                <w:sz w:val="14"/>
              </w:rPr>
              <w:t>265</w:t>
            </w:r>
          </w:p>
        </w:tc>
        <w:tc>
          <w:tcPr>
            <w:tcW w:type="dxa" w:w="1701"/>
            <w:vAlign w:val="center"/>
          </w:tcPr>
          <w:p>
            <w:pPr>
              <w:spacing w:line="240" w:lineRule="auto" w:after="0"/>
            </w:pPr>
            <w:r>
              <w:rPr>
                <w:sz w:val="14"/>
              </w:rPr>
              <w:t>125</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sequencing-derived continuous burden</w:t>
            </w:r>
          </w:p>
        </w:tc>
        <w:tc>
          <w:tcPr>
            <w:tcW w:type="dxa" w:w="1701"/>
            <w:vAlign w:val="center"/>
          </w:tcPr>
          <w:p>
            <w:pPr>
              <w:spacing w:line="240" w:lineRule="auto" w:after="0"/>
            </w:pPr>
            <w:r>
              <w:rPr>
                <w:sz w:val="14"/>
              </w:rPr>
              <w:t>439</w:t>
            </w:r>
          </w:p>
        </w:tc>
        <w:tc>
          <w:tcPr>
            <w:tcW w:type="dxa" w:w="1701"/>
            <w:vAlign w:val="center"/>
          </w:tcPr>
          <w:p>
            <w:pPr>
              <w:spacing w:line="240" w:lineRule="auto" w:after="0"/>
            </w:pPr>
            <w:r>
              <w:rPr>
                <w:sz w:val="14"/>
              </w:rPr>
              <w:t>16</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computationally inferred immune-cell fraction</w:t>
            </w:r>
          </w:p>
        </w:tc>
        <w:tc>
          <w:tcPr>
            <w:tcW w:type="dxa" w:w="1701"/>
            <w:vAlign w:val="center"/>
          </w:tcPr>
          <w:p>
            <w:pPr>
              <w:spacing w:line="240" w:lineRule="auto" w:after="0"/>
            </w:pPr>
            <w:r>
              <w:rPr>
                <w:sz w:val="14"/>
              </w:rPr>
              <w:t>685</w:t>
            </w:r>
          </w:p>
        </w:tc>
        <w:tc>
          <w:tcPr>
            <w:tcW w:type="dxa" w:w="1701"/>
            <w:vAlign w:val="center"/>
          </w:tcPr>
          <w:p>
            <w:pPr>
              <w:spacing w:line="240" w:lineRule="auto" w:after="0"/>
            </w:pPr>
            <w:r>
              <w:rPr>
                <w:sz w:val="14"/>
              </w:rPr>
              <w:t>23</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transcriptomic signature</w:t>
            </w:r>
          </w:p>
        </w:tc>
        <w:tc>
          <w:tcPr>
            <w:tcW w:type="dxa" w:w="1701"/>
            <w:vAlign w:val="center"/>
          </w:tcPr>
          <w:p>
            <w:pPr>
              <w:spacing w:line="240" w:lineRule="auto" w:after="0"/>
            </w:pPr>
            <w:r>
              <w:rPr>
                <w:sz w:val="14"/>
              </w:rPr>
              <w:t>299</w:t>
            </w:r>
          </w:p>
        </w:tc>
        <w:tc>
          <w:tcPr>
            <w:tcW w:type="dxa" w:w="1701"/>
            <w:vAlign w:val="center"/>
          </w:tcPr>
          <w:p>
            <w:pPr>
              <w:spacing w:line="240" w:lineRule="auto" w:after="0"/>
            </w:pPr>
            <w:r>
              <w:rPr>
                <w:sz w:val="14"/>
              </w:rPr>
              <w:t>10</w:t>
            </w:r>
          </w:p>
        </w:tc>
        <w:tc>
          <w:tcPr>
            <w:tcW w:type="dxa" w:w="1701"/>
            <w:vAlign w:val="center"/>
          </w:tcPr>
          <w:p>
            <w:pPr>
              <w:spacing w:line="240" w:lineRule="auto" w:after="0"/>
            </w:pPr>
            <w:r>
              <w:rPr>
                <w:sz w:val="14"/>
              </w:rPr>
              <w:t>0</w:t>
            </w:r>
          </w:p>
        </w:tc>
      </w:tr>
      <w:tr>
        <w:trPr>
          <w:cantSplit/>
        </w:trPr>
        <w:tc>
          <w:tcPr>
            <w:tcW w:type="dxa" w:w="4535"/>
            <w:vAlign w:val="center"/>
          </w:tcPr>
          <w:p>
            <w:pPr>
              <w:spacing w:line="240" w:lineRule="auto" w:after="0"/>
            </w:pPr>
            <w:r>
              <w:rPr>
                <w:sz w:val="14"/>
              </w:rPr>
              <w:t>pathology-associated quantity</w:t>
            </w:r>
          </w:p>
        </w:tc>
        <w:tc>
          <w:tcPr>
            <w:tcW w:type="dxa" w:w="1701"/>
            <w:vAlign w:val="center"/>
          </w:tcPr>
          <w:p>
            <w:pPr>
              <w:spacing w:line="240" w:lineRule="auto" w:after="0"/>
            </w:pPr>
            <w:r>
              <w:rPr>
                <w:sz w:val="14"/>
              </w:rPr>
              <w:t>13</w:t>
            </w:r>
          </w:p>
        </w:tc>
        <w:tc>
          <w:tcPr>
            <w:tcW w:type="dxa" w:w="1701"/>
            <w:vAlign w:val="center"/>
          </w:tcPr>
          <w:p>
            <w:pPr>
              <w:spacing w:line="240" w:lineRule="auto" w:after="0"/>
            </w:pPr>
            <w:r>
              <w:rPr>
                <w:sz w:val="14"/>
              </w:rPr>
              <w:t>1</w:t>
            </w:r>
          </w:p>
        </w:tc>
        <w:tc>
          <w:tcPr>
            <w:tcW w:type="dxa" w:w="1701"/>
            <w:vAlign w:val="center"/>
          </w:tcPr>
          <w:p>
            <w:pPr>
              <w:spacing w:line="240" w:lineRule="auto" w:after="0"/>
            </w:pPr>
            <w:r>
              <w:rPr>
                <w:sz w:val="14"/>
              </w:rPr>
              <w:t>13</w:t>
            </w:r>
          </w:p>
        </w:tc>
      </w:tr>
      <w:tr>
        <w:trPr>
          <w:cantSplit/>
        </w:trPr>
        <w:tc>
          <w:tcPr>
            <w:tcW w:type="dxa" w:w="4535"/>
            <w:vAlign w:val="center"/>
          </w:tcPr>
          <w:p>
            <w:pPr>
              <w:spacing w:line="240" w:lineRule="auto" w:after="0"/>
            </w:pPr>
            <w:r>
              <w:rPr>
                <w:sz w:val="14"/>
              </w:rPr>
              <w:t>composite genomic-context score</w:t>
            </w:r>
          </w:p>
        </w:tc>
        <w:tc>
          <w:tcPr>
            <w:tcW w:type="dxa" w:w="1701"/>
            <w:vAlign w:val="center"/>
          </w:tcPr>
          <w:p>
            <w:pPr>
              <w:spacing w:line="240" w:lineRule="auto" w:after="0"/>
            </w:pPr>
            <w:r>
              <w:rPr>
                <w:sz w:val="14"/>
              </w:rPr>
              <w:t>372</w:t>
            </w:r>
          </w:p>
        </w:tc>
        <w:tc>
          <w:tcPr>
            <w:tcW w:type="dxa" w:w="1701"/>
            <w:vAlign w:val="center"/>
          </w:tcPr>
          <w:p>
            <w:pPr>
              <w:spacing w:line="240" w:lineRule="auto" w:after="0"/>
            </w:pPr>
            <w:r>
              <w:rPr>
                <w:sz w:val="14"/>
              </w:rPr>
              <w:t>19</w:t>
            </w:r>
          </w:p>
        </w:tc>
        <w:tc>
          <w:tcPr>
            <w:tcW w:type="dxa" w:w="1701"/>
            <w:vAlign w:val="center"/>
          </w:tcPr>
          <w:p>
            <w:pPr>
              <w:spacing w:line="240" w:lineRule="auto" w:after="0"/>
            </w:pPr>
            <w:r>
              <w:rPr>
                <w:sz w:val="14"/>
              </w:rPr>
              <w:t>0</w:t>
            </w:r>
          </w:p>
        </w:tc>
      </w:tr>
    </w:tbl>
    <w:p/>
    <w:tbl>
      <w:tblPr>
        <w:tblStyle w:val="TableGrid"/>
        <w:tblW w:type="dxa" w:w="9638"/>
        <w:jc w:val="left"/>
        <w:tblLayout w:type="fixed"/>
        <w:tblLook w:firstColumn="1" w:firstRow="1" w:lastColumn="0" w:lastRow="0" w:noHBand="0" w:noVBand="1" w:val="04A0"/>
        <w:tblLayout w:type="fixed"/>
        <w:tblInd w:type="dxa" w:w="0"/>
      </w:tblPr>
      <w:tblGrid>
        <w:gridCol w:w="1531"/>
        <w:gridCol w:w="2381"/>
        <w:gridCol w:w="1531"/>
        <w:gridCol w:w="4195"/>
      </w:tblGrid>
      <w:tr>
        <w:trPr>
          <w:tblHeader w:val="true"/>
          <w:cantSplit/>
        </w:trPr>
        <w:tc>
          <w:tcPr>
            <w:tcW w:type="dxa" w:w="1531"/>
          </w:tcPr>
          <w:p>
            <w:pPr>
              <w:spacing w:line="216" w:lineRule="auto" w:after="0"/>
            </w:pPr>
            <w:r>
              <w:rPr>
                <w:b/>
                <w:sz w:val="13"/>
              </w:rPr>
              <w:t>Source</w:t>
            </w:r>
          </w:p>
        </w:tc>
        <w:tc>
          <w:tcPr>
            <w:tcW w:type="dxa" w:w="2381"/>
          </w:tcPr>
          <w:p>
            <w:pPr>
              <w:spacing w:line="216" w:lineRule="auto" w:after="0"/>
            </w:pPr>
            <w:r>
              <w:rPr>
                <w:b/>
                <w:sz w:val="13"/>
              </w:rPr>
              <w:t>Label domains</w:t>
            </w:r>
          </w:p>
        </w:tc>
        <w:tc>
          <w:tcPr>
            <w:tcW w:type="dxa" w:w="1531"/>
          </w:tcPr>
          <w:p>
            <w:pPr>
              <w:spacing w:line="216" w:lineRule="auto" w:after="0"/>
            </w:pPr>
            <w:r>
              <w:rPr>
                <w:b/>
                <w:sz w:val="13"/>
              </w:rPr>
              <w:t>Identifier</w:t>
            </w:r>
          </w:p>
        </w:tc>
        <w:tc>
          <w:tcPr>
            <w:tcW w:type="dxa" w:w="4195"/>
          </w:tcPr>
          <w:p>
            <w:pPr>
              <w:spacing w:line="216" w:lineRule="auto" w:after="0"/>
            </w:pPr>
            <w:r>
              <w:rPr>
                <w:b/>
                <w:sz w:val="13"/>
              </w:rPr>
              <w:t>Processing and participant rule</w:t>
            </w:r>
          </w:p>
        </w:tc>
      </w:tr>
      <w:tr>
        <w:trPr>
          <w:cantSplit/>
        </w:trPr>
        <w:tc>
          <w:tcPr>
            <w:tcW w:type="dxa" w:w="1531"/>
            <w:vAlign w:val="center"/>
          </w:tcPr>
          <w:p>
            <w:pPr>
              <w:spacing w:line="216" w:lineRule="auto" w:after="0"/>
            </w:pPr>
            <w:r>
              <w:rPr>
                <w:sz w:val="13"/>
              </w:rPr>
              <w:t>Thorsson PanImmune</w:t>
            </w:r>
          </w:p>
        </w:tc>
        <w:tc>
          <w:tcPr>
            <w:tcW w:type="dxa" w:w="2381"/>
            <w:vAlign w:val="center"/>
          </w:tcPr>
          <w:p>
            <w:pPr>
              <w:spacing w:line="216" w:lineRule="auto" w:after="0"/>
            </w:pPr>
            <w:r>
              <w:rPr>
                <w:sz w:val="13"/>
              </w:rPr>
              <w:t>22 CIBERSORT LM22 fractions; methylation-derived leukocyte fraction; 10 RNA inflammatory or immune signatures; six BCR/TCR repertoire metrics; two mutation rates; two predicted neoantigen burdens; six genomic-context quantities; H&amp;E-derived TIL Regional Fraction</w:t>
            </w:r>
          </w:p>
        </w:tc>
        <w:tc>
          <w:tcPr>
            <w:tcW w:type="dxa" w:w="1531"/>
            <w:vAlign w:val="center"/>
          </w:tcPr>
          <w:p>
            <w:pPr>
              <w:spacing w:line="216" w:lineRule="auto" w:after="0"/>
            </w:pPr>
            <w:r>
              <w:rPr>
                <w:sz w:val="13"/>
              </w:rPr>
              <w:t>12-character TCGA Participant Barcode only</w:t>
            </w:r>
          </w:p>
        </w:tc>
        <w:tc>
          <w:tcPr>
            <w:tcW w:type="dxa" w:w="4195"/>
            <w:vAlign w:val="center"/>
          </w:tcPr>
          <w:p>
            <w:pPr>
              <w:spacing w:line="216" w:lineRule="auto" w:after="0"/>
            </w:pPr>
            <w:r>
              <w:rPr>
                <w:sz w:val="13"/>
              </w:rPr>
              <w:t>Selected 50 non-survival, non-subtype, non-aggregate fields; imported published values rather than recomputing them; One published participant row; endpoint-specific missing values retained; Not applicable to continuous endpoints; absence from the table remained missing</w:t>
            </w:r>
          </w:p>
        </w:tc>
      </w:tr>
      <w:tr>
        <w:trPr>
          <w:cantSplit/>
        </w:trPr>
        <w:tc>
          <w:tcPr>
            <w:tcW w:type="dxa" w:w="1531"/>
            <w:vAlign w:val="center"/>
          </w:tcPr>
          <w:p>
            <w:pPr>
              <w:spacing w:line="216" w:lineRule="auto" w:after="0"/>
            </w:pPr>
            <w:r>
              <w:rPr>
                <w:sz w:val="13"/>
              </w:rPr>
              <w:t>MC3 mutations with Bailey driver catalogue</w:t>
            </w:r>
          </w:p>
        </w:tc>
        <w:tc>
          <w:tcPr>
            <w:tcW w:type="dxa" w:w="2381"/>
            <w:vAlign w:val="center"/>
          </w:tcPr>
          <w:p>
            <w:pPr>
              <w:spacing w:line="216" w:lineRule="auto" w:after="0"/>
            </w:pPr>
            <w:r>
              <w:rPr>
                <w:sz w:val="13"/>
              </w:rPr>
              <w:t>Binary tissue-specific driver-gene mutation status</w:t>
            </w:r>
          </w:p>
        </w:tc>
        <w:tc>
          <w:tcPr>
            <w:tcW w:type="dxa" w:w="1531"/>
            <w:vAlign w:val="center"/>
          </w:tcPr>
          <w:p>
            <w:pPr>
              <w:spacing w:line="216" w:lineRule="auto" w:after="0"/>
            </w:pPr>
            <w:r>
              <w:rPr>
                <w:sz w:val="13"/>
              </w:rPr>
              <w:t>15-character TCGA Tumor Sample Barcode from MC3 clinical metadata</w:t>
            </w:r>
          </w:p>
        </w:tc>
        <w:tc>
          <w:tcPr>
            <w:tcW w:type="dxa" w:w="4195"/>
            <w:vAlign w:val="center"/>
          </w:tcPr>
          <w:p>
            <w:pPr>
              <w:spacing w:line="216" w:lineRule="auto" w:after="0"/>
            </w:pPr>
            <w:r>
              <w:rPr>
                <w:sz w:val="13"/>
              </w:rPr>
              <w:t>Retained primary-tumour sample type 01, FILTER=PASS and protein-altering missense, nonsense, nonstop, splice-site, translation-start, frameshift or in-frame variants; COADREAD drivers mapped to COAD and READ; Any qualifying variant in any matched profiled primary sample defined mutated; Wild type assigned only to patients with an MC3-profiled primary tumour and no qualifying variant in that gene; patients without MC3 profiling remained missing</w:t>
            </w:r>
          </w:p>
        </w:tc>
      </w:tr>
      <w:tr>
        <w:trPr>
          <w:cantSplit/>
        </w:trPr>
        <w:tc>
          <w:tcPr>
            <w:tcW w:type="dxa" w:w="1531"/>
            <w:vAlign w:val="center"/>
          </w:tcPr>
          <w:p>
            <w:pPr>
              <w:spacing w:line="216" w:lineRule="auto" w:after="0"/>
            </w:pPr>
            <w:r>
              <w:rPr>
                <w:sz w:val="13"/>
              </w:rPr>
              <w:t>Sanchez-Vega oncogenic pathways</w:t>
            </w:r>
          </w:p>
        </w:tc>
        <w:tc>
          <w:tcPr>
            <w:tcW w:type="dxa" w:w="2381"/>
            <w:vAlign w:val="center"/>
          </w:tcPr>
          <w:p>
            <w:pPr>
              <w:spacing w:line="216" w:lineRule="auto" w:after="0"/>
            </w:pPr>
            <w:r>
              <w:rPr>
                <w:sz w:val="13"/>
              </w:rPr>
              <w:t>Binary alteration status for ten oncogenic signalling pathways</w:t>
            </w:r>
          </w:p>
        </w:tc>
        <w:tc>
          <w:tcPr>
            <w:tcW w:type="dxa" w:w="1531"/>
            <w:vAlign w:val="center"/>
          </w:tcPr>
          <w:p>
            <w:pPr>
              <w:spacing w:line="216" w:lineRule="auto" w:after="0"/>
            </w:pPr>
            <w:r>
              <w:rPr>
                <w:sz w:val="13"/>
              </w:rPr>
              <w:t>15-character SAMPLE_BARCODE</w:t>
            </w:r>
          </w:p>
        </w:tc>
        <w:tc>
          <w:tcPr>
            <w:tcW w:type="dxa" w:w="4195"/>
            <w:vAlign w:val="center"/>
          </w:tcPr>
          <w:p>
            <w:pPr>
              <w:spacing w:line="216" w:lineRule="auto" w:after="0"/>
            </w:pPr>
            <w:r>
              <w:rPr>
                <w:sz w:val="13"/>
              </w:rPr>
              <w:t>Retained primary-tumour sample type 01 and the published pathway-level binary matrix; Any altered primary sample defined the patient-level pathway as altered; Covered primary samples without the pathway alteration were negative; participants absent from the source remained missing</w:t>
            </w:r>
          </w:p>
        </w:tc>
      </w:tr>
      <w:tr>
        <w:trPr>
          <w:cantSplit/>
        </w:trPr>
        <w:tc>
          <w:tcPr>
            <w:tcW w:type="dxa" w:w="1531"/>
            <w:vAlign w:val="center"/>
          </w:tcPr>
          <w:p>
            <w:pPr>
              <w:spacing w:line="216" w:lineRule="auto" w:after="0"/>
            </w:pPr>
            <w:r>
              <w:rPr>
                <w:sz w:val="13"/>
              </w:rPr>
              <w:t>Taylor aneuploidy</w:t>
            </w:r>
          </w:p>
        </w:tc>
        <w:tc>
          <w:tcPr>
            <w:tcW w:type="dxa" w:w="2381"/>
            <w:vAlign w:val="center"/>
          </w:tcPr>
          <w:p>
            <w:pPr>
              <w:spacing w:line="216" w:lineRule="auto" w:after="0"/>
            </w:pPr>
            <w:r>
              <w:rPr>
                <w:sz w:val="13"/>
              </w:rPr>
              <w:t>Aneuploidy score, deleted-arm count, amplified-arm count and genome doubling</w:t>
            </w:r>
          </w:p>
        </w:tc>
        <w:tc>
          <w:tcPr>
            <w:tcW w:type="dxa" w:w="1531"/>
            <w:vAlign w:val="center"/>
          </w:tcPr>
          <w:p>
            <w:pPr>
              <w:spacing w:line="216" w:lineRule="auto" w:after="0"/>
            </w:pPr>
            <w:r>
              <w:rPr>
                <w:sz w:val="13"/>
              </w:rPr>
              <w:t>15-character Sample barcode</w:t>
            </w:r>
          </w:p>
        </w:tc>
        <w:tc>
          <w:tcPr>
            <w:tcW w:type="dxa" w:w="4195"/>
            <w:vAlign w:val="center"/>
          </w:tcPr>
          <w:p>
            <w:pPr>
              <w:spacing w:line="216" w:lineRule="auto" w:after="0"/>
            </w:pPr>
            <w:r>
              <w:rPr>
                <w:sz w:val="13"/>
              </w:rPr>
              <w:t>Retained primary-tumour sample type 01 and the published aneuploidy fields; Continuous values were averaged across primary samples; any positive primary sample defined genome doubling; Participants absent from the source remained missing</w:t>
            </w:r>
          </w:p>
        </w:tc>
      </w:tr>
      <w:tr>
        <w:trPr>
          <w:cantSplit/>
        </w:trPr>
        <w:tc>
          <w:tcPr>
            <w:tcW w:type="dxa" w:w="1531"/>
            <w:vAlign w:val="center"/>
          </w:tcPr>
          <w:p>
            <w:pPr>
              <w:spacing w:line="216" w:lineRule="auto" w:after="0"/>
            </w:pPr>
            <w:r>
              <w:rPr>
                <w:sz w:val="13"/>
              </w:rPr>
              <w:t>Gao fusions</w:t>
            </w:r>
          </w:p>
        </w:tc>
        <w:tc>
          <w:tcPr>
            <w:tcW w:type="dxa" w:w="2381"/>
            <w:vAlign w:val="center"/>
          </w:tcPr>
          <w:p>
            <w:pPr>
              <w:spacing w:line="216" w:lineRule="auto" w:after="0"/>
            </w:pPr>
            <w:r>
              <w:rPr>
                <w:sz w:val="13"/>
              </w:rPr>
              <w:t>Fusion burden, any called fusion and eligible recurrent fusion-pair indicators</w:t>
            </w:r>
          </w:p>
        </w:tc>
        <w:tc>
          <w:tcPr>
            <w:tcW w:type="dxa" w:w="1531"/>
            <w:vAlign w:val="center"/>
          </w:tcPr>
          <w:p>
            <w:pPr>
              <w:spacing w:line="216" w:lineRule="auto" w:after="0"/>
            </w:pPr>
            <w:r>
              <w:rPr>
                <w:sz w:val="13"/>
              </w:rPr>
              <w:t>15-character Sample barcode</w:t>
            </w:r>
          </w:p>
        </w:tc>
        <w:tc>
          <w:tcPr>
            <w:tcW w:type="dxa" w:w="4195"/>
            <w:vAlign w:val="center"/>
          </w:tcPr>
          <w:p>
            <w:pPr>
              <w:spacing w:line="216" w:lineRule="auto" w:after="0"/>
            </w:pPr>
            <w:r>
              <w:rPr>
                <w:sz w:val="13"/>
              </w:rPr>
              <w:t>Retained primary-tumour sample type 01; the study sample sheet defined assay coverage and the final-call sheet defined unique fusions; Unique fusion calls were collapsed by participant; Within the assayed denominator, no fusion call meant zero; participants outside the study sample list remained missing</w:t>
            </w:r>
          </w:p>
        </w:tc>
      </w:tr>
      <w:tr>
        <w:trPr>
          <w:cantSplit/>
        </w:trPr>
        <w:tc>
          <w:tcPr>
            <w:tcW w:type="dxa" w:w="1531"/>
            <w:vAlign w:val="center"/>
          </w:tcPr>
          <w:p>
            <w:pPr>
              <w:spacing w:line="216" w:lineRule="auto" w:after="0"/>
            </w:pPr>
            <w:r>
              <w:rPr>
                <w:sz w:val="13"/>
              </w:rPr>
              <w:t>cBioPortal TCGA PanCancer MSI</w:t>
            </w:r>
          </w:p>
        </w:tc>
        <w:tc>
          <w:tcPr>
            <w:tcW w:type="dxa" w:w="2381"/>
            <w:vAlign w:val="center"/>
          </w:tcPr>
          <w:p>
            <w:pPr>
              <w:spacing w:line="216" w:lineRule="auto" w:after="0"/>
            </w:pPr>
            <w:r>
              <w:rPr>
                <w:sz w:val="13"/>
              </w:rPr>
              <w:t>MANTIS score, MSIsensor score and two MANTIS-based MSI-H definitions</w:t>
            </w:r>
          </w:p>
        </w:tc>
        <w:tc>
          <w:tcPr>
            <w:tcW w:type="dxa" w:w="1531"/>
            <w:vAlign w:val="center"/>
          </w:tcPr>
          <w:p>
            <w:pPr>
              <w:spacing w:line="216" w:lineRule="auto" w:after="0"/>
            </w:pPr>
            <w:r>
              <w:rPr>
                <w:sz w:val="13"/>
              </w:rPr>
              <w:t>15-character SAMPLE_ID</w:t>
            </w:r>
          </w:p>
        </w:tc>
        <w:tc>
          <w:tcPr>
            <w:tcW w:type="dxa" w:w="4195"/>
            <w:vAlign w:val="center"/>
          </w:tcPr>
          <w:p>
            <w:pPr>
              <w:spacing w:line="216" w:lineRule="auto" w:after="0"/>
            </w:pPr>
            <w:r>
              <w:rPr>
                <w:sz w:val="13"/>
              </w:rPr>
              <w:t>Retained primary-tumour sample type 01 and finite MSI_SCORE_MANTIS or MSI_SENSOR_SCORE values; Finite scores were averaged across primary samples; All missing primary-sample scores remained missing; MANTIS greater than 0.4 defined MSI-H in the main binary definition; the strict sensitivity used greater than 0.6 as MSI-H, less than 0.4 as MSS and excluded 0.4 to 0.6</w:t>
            </w:r>
          </w:p>
        </w:tc>
      </w:tr>
      <w:tr>
        <w:trPr>
          <w:cantSplit/>
        </w:trPr>
        <w:tc>
          <w:tcPr>
            <w:tcW w:type="dxa" w:w="1531"/>
            <w:vAlign w:val="center"/>
          </w:tcPr>
          <w:p>
            <w:pPr>
              <w:spacing w:line="216" w:lineRule="auto" w:after="0"/>
            </w:pPr>
            <w:r>
              <w:rPr>
                <w:sz w:val="13"/>
              </w:rPr>
              <w:t>UCSC Xena RNA pathway activity</w:t>
            </w:r>
          </w:p>
        </w:tc>
        <w:tc>
          <w:tcPr>
            <w:tcW w:type="dxa" w:w="2381"/>
            <w:vAlign w:val="center"/>
          </w:tcPr>
          <w:p>
            <w:pPr>
              <w:spacing w:line="216" w:lineRule="auto" w:after="0"/>
            </w:pPr>
            <w:r>
              <w:rPr>
                <w:sz w:val="13"/>
              </w:rPr>
              <w:t>50 MSigDB Hallmark pathways; Reactome glutathione synthesis and recycling; Gene Ontology vitamin B6 metabolic process</w:t>
            </w:r>
          </w:p>
        </w:tc>
        <w:tc>
          <w:tcPr>
            <w:tcW w:type="dxa" w:w="1531"/>
            <w:vAlign w:val="center"/>
          </w:tcPr>
          <w:p>
            <w:pPr>
              <w:spacing w:line="216" w:lineRule="auto" w:after="0"/>
            </w:pPr>
            <w:r>
              <w:rPr>
                <w:sz w:val="13"/>
              </w:rPr>
              <w:t>15-character TCGA RNA-seq sample barcode</w:t>
            </w:r>
          </w:p>
        </w:tc>
        <w:tc>
          <w:tcPr>
            <w:tcW w:type="dxa" w:w="4195"/>
            <w:vAlign w:val="center"/>
          </w:tcPr>
          <w:p>
            <w:pPr>
              <w:spacing w:line="216" w:lineRule="auto" w:after="0"/>
            </w:pPr>
            <w:r>
              <w:rPr>
                <w:sz w:val="13"/>
              </w:rPr>
              <w:t>Retained primary-tumour sample type 01; standardized each measured gene within cancer; scored each set as mean standardized expression of measured member genes; Expression was averaged across multiple primary-tumour aliquots before pathway scoring; Participants without a matched primary-tumour RNA sample remained missing; a pathway required at least two measured member genes</w:t>
            </w:r>
          </w:p>
        </w:tc>
      </w:tr>
    </w:tbl>
    <w:p/>
    <w:p>
      <w:r>
        <w:t>endpoint_dictionary.csv supplies the complete target-level dictionary, including modality, direct or inferred status, derivation algorithm, scale, transformation, missingness, expected error, interpretation and assay-equivalence caveat.</w:t>
      </w:r>
    </w:p>
    <w:p>
      <w:pPr>
        <w:pStyle w:val="Heading1"/>
      </w:pPr>
      <w:r>
        <w:t>Table S10. Matched three-representation benchmark</w:t>
      </w:r>
    </w:p>
    <w:tbl>
      <w:tblPr>
        <w:tblStyle w:val="TableGrid"/>
        <w:tblW w:type="dxa" w:w="8789"/>
        <w:jc w:val="left"/>
        <w:tblLayout w:type="fixed"/>
        <w:tblLook w:firstColumn="1" w:firstRow="1" w:lastColumn="0" w:lastRow="0" w:noHBand="0" w:noVBand="1" w:val="04A0"/>
        <w:tblLayout w:type="fixed"/>
        <w:tblInd w:type="dxa" w:w="0"/>
      </w:tblPr>
      <w:tblGrid>
        <w:gridCol w:w="1531"/>
        <w:gridCol w:w="1134"/>
        <w:gridCol w:w="1191"/>
        <w:gridCol w:w="1134"/>
        <w:gridCol w:w="907"/>
        <w:gridCol w:w="1531"/>
        <w:gridCol w:w="1361"/>
      </w:tblGrid>
      <w:tr>
        <w:trPr>
          <w:tblHeader w:val="true"/>
          <w:cantSplit/>
        </w:trPr>
        <w:tc>
          <w:tcPr>
            <w:tcW w:type="dxa" w:w="1531"/>
          </w:tcPr>
          <w:p>
            <w:pPr>
              <w:spacing w:line="240" w:lineRule="auto" w:after="0"/>
            </w:pPr>
            <w:r>
              <w:rPr>
                <w:b/>
                <w:sz w:val="14"/>
              </w:rPr>
              <w:t>Representation</w:t>
            </w:r>
          </w:p>
        </w:tc>
        <w:tc>
          <w:tcPr>
            <w:tcW w:type="dxa" w:w="1134"/>
          </w:tcPr>
          <w:p>
            <w:pPr>
              <w:spacing w:line="240" w:lineRule="auto" w:after="0"/>
            </w:pPr>
            <w:r>
              <w:rPr>
                <w:b/>
                <w:sz w:val="14"/>
              </w:rPr>
              <w:t>Released slides</w:t>
            </w:r>
          </w:p>
        </w:tc>
        <w:tc>
          <w:tcPr>
            <w:tcW w:type="dxa" w:w="1191"/>
          </w:tcPr>
          <w:p>
            <w:pPr>
              <w:spacing w:line="240" w:lineRule="auto" w:after="0"/>
            </w:pPr>
            <w:r>
              <w:rPr>
                <w:b/>
                <w:sz w:val="14"/>
              </w:rPr>
              <w:t>Released patients</w:t>
            </w:r>
          </w:p>
        </w:tc>
        <w:tc>
          <w:tcPr>
            <w:tcW w:type="dxa" w:w="1134"/>
          </w:tcPr>
          <w:p>
            <w:pPr>
              <w:spacing w:line="240" w:lineRule="auto" w:after="0"/>
            </w:pPr>
            <w:r>
              <w:rPr>
                <w:b/>
                <w:sz w:val="14"/>
              </w:rPr>
              <w:t>Matched patients</w:t>
            </w:r>
          </w:p>
        </w:tc>
        <w:tc>
          <w:tcPr>
            <w:tcW w:type="dxa" w:w="907"/>
          </w:tcPr>
          <w:p>
            <w:pPr>
              <w:spacing w:line="240" w:lineRule="auto" w:after="0"/>
            </w:pPr>
            <w:r>
              <w:rPr>
                <w:b/>
                <w:sz w:val="14"/>
              </w:rPr>
              <w:t>Dimensions</w:t>
            </w:r>
          </w:p>
        </w:tc>
        <w:tc>
          <w:tcPr>
            <w:tcW w:type="dxa" w:w="1531"/>
          </w:tcPr>
          <w:p>
            <w:pPr>
              <w:spacing w:line="240" w:lineRule="auto" w:after="0"/>
            </w:pPr>
            <w:r>
              <w:rPr>
                <w:b/>
                <w:sz w:val="14"/>
              </w:rPr>
              <w:t>Continuous crossings</w:t>
            </w:r>
          </w:p>
        </w:tc>
        <w:tc>
          <w:tcPr>
            <w:tcW w:type="dxa" w:w="1361"/>
          </w:tcPr>
          <w:p>
            <w:pPr>
              <w:spacing w:line="240" w:lineRule="auto" w:after="0"/>
            </w:pPr>
            <w:r>
              <w:rPr>
                <w:b/>
                <w:sz w:val="14"/>
              </w:rPr>
              <w:t>Binary crossings</w:t>
            </w:r>
          </w:p>
        </w:tc>
      </w:tr>
      <w:tr>
        <w:trPr>
          <w:cantSplit/>
        </w:trPr>
        <w:tc>
          <w:tcPr>
            <w:tcW w:type="dxa" w:w="1531"/>
            <w:vAlign w:val="center"/>
          </w:tcPr>
          <w:p>
            <w:pPr>
              <w:spacing w:line="240" w:lineRule="auto" w:after="0"/>
            </w:pPr>
            <w:r>
              <w:rPr>
                <w:sz w:val="14"/>
              </w:rPr>
              <w:t>TITAN</w:t>
            </w:r>
          </w:p>
        </w:tc>
        <w:tc>
          <w:tcPr>
            <w:tcW w:type="dxa" w:w="1134"/>
            <w:vAlign w:val="center"/>
          </w:tcPr>
          <w:p>
            <w:pPr>
              <w:spacing w:line="240" w:lineRule="auto" w:after="0"/>
            </w:pPr>
            <w:r>
              <w:rPr>
                <w:sz w:val="14"/>
              </w:rPr>
              <w:t>11449</w:t>
            </w:r>
          </w:p>
        </w:tc>
        <w:tc>
          <w:tcPr>
            <w:tcW w:type="dxa" w:w="1191"/>
            <w:vAlign w:val="center"/>
          </w:tcPr>
          <w:p>
            <w:pPr>
              <w:spacing w:line="240" w:lineRule="auto" w:after="0"/>
            </w:pPr>
            <w:r>
              <w:rPr>
                <w:sz w:val="14"/>
              </w:rPr>
              <w:t>9404</w:t>
            </w:r>
          </w:p>
        </w:tc>
        <w:tc>
          <w:tcPr>
            <w:tcW w:type="dxa" w:w="1134"/>
            <w:vAlign w:val="center"/>
          </w:tcPr>
          <w:p>
            <w:pPr>
              <w:spacing w:line="240" w:lineRule="auto" w:after="0"/>
            </w:pPr>
            <w:r>
              <w:rPr>
                <w:sz w:val="14"/>
              </w:rPr>
              <w:t>8241</w:t>
            </w:r>
          </w:p>
        </w:tc>
        <w:tc>
          <w:tcPr>
            <w:tcW w:type="dxa" w:w="907"/>
            <w:vAlign w:val="center"/>
          </w:tcPr>
          <w:p>
            <w:pPr>
              <w:spacing w:line="240" w:lineRule="auto" w:after="0"/>
            </w:pPr>
            <w:r>
              <w:rPr>
                <w:sz w:val="14"/>
              </w:rPr>
              <w:t>768</w:t>
            </w:r>
          </w:p>
        </w:tc>
        <w:tc>
          <w:tcPr>
            <w:tcW w:type="dxa" w:w="1531"/>
            <w:vAlign w:val="center"/>
          </w:tcPr>
          <w:p>
            <w:pPr>
              <w:spacing w:line="240" w:lineRule="auto" w:after="0"/>
            </w:pPr>
            <w:r>
              <w:rPr>
                <w:sz w:val="14"/>
              </w:rPr>
              <w:t>669</w:t>
            </w:r>
          </w:p>
        </w:tc>
        <w:tc>
          <w:tcPr>
            <w:tcW w:type="dxa" w:w="1361"/>
            <w:vAlign w:val="center"/>
          </w:tcPr>
          <w:p>
            <w:pPr>
              <w:spacing w:line="240" w:lineRule="auto" w:after="0"/>
            </w:pPr>
            <w:r>
              <w:rPr>
                <w:sz w:val="14"/>
              </w:rPr>
              <w:t>235</w:t>
            </w:r>
          </w:p>
        </w:tc>
      </w:tr>
      <w:tr>
        <w:trPr>
          <w:cantSplit/>
        </w:trPr>
        <w:tc>
          <w:tcPr>
            <w:tcW w:type="dxa" w:w="1531"/>
            <w:vAlign w:val="center"/>
          </w:tcPr>
          <w:p>
            <w:pPr>
              <w:spacing w:line="240" w:lineRule="auto" w:after="0"/>
            </w:pPr>
            <w:r>
              <w:rPr>
                <w:sz w:val="14"/>
              </w:rPr>
              <w:t>Giga-SSL</w:t>
            </w:r>
          </w:p>
        </w:tc>
        <w:tc>
          <w:tcPr>
            <w:tcW w:type="dxa" w:w="1134"/>
            <w:vAlign w:val="center"/>
          </w:tcPr>
          <w:p>
            <w:pPr>
              <w:spacing w:line="240" w:lineRule="auto" w:after="0"/>
            </w:pPr>
            <w:r>
              <w:rPr>
                <w:sz w:val="14"/>
              </w:rPr>
              <w:t>11427</w:t>
            </w:r>
          </w:p>
        </w:tc>
        <w:tc>
          <w:tcPr>
            <w:tcW w:type="dxa" w:w="1191"/>
            <w:vAlign w:val="center"/>
          </w:tcPr>
          <w:p>
            <w:pPr>
              <w:spacing w:line="240" w:lineRule="auto" w:after="0"/>
            </w:pPr>
            <w:r>
              <w:rPr>
                <w:sz w:val="14"/>
              </w:rPr>
              <w:t>9378</w:t>
            </w:r>
          </w:p>
        </w:tc>
        <w:tc>
          <w:tcPr>
            <w:tcW w:type="dxa" w:w="1134"/>
            <w:vAlign w:val="center"/>
          </w:tcPr>
          <w:p>
            <w:pPr>
              <w:spacing w:line="240" w:lineRule="auto" w:after="0"/>
            </w:pPr>
            <w:r>
              <w:rPr>
                <w:sz w:val="14"/>
              </w:rPr>
              <w:t>8241</w:t>
            </w:r>
          </w:p>
        </w:tc>
        <w:tc>
          <w:tcPr>
            <w:tcW w:type="dxa" w:w="907"/>
            <w:vAlign w:val="center"/>
          </w:tcPr>
          <w:p>
            <w:pPr>
              <w:spacing w:line="240" w:lineRule="auto" w:after="0"/>
            </w:pPr>
            <w:r>
              <w:rPr>
                <w:sz w:val="14"/>
              </w:rPr>
              <w:t>512</w:t>
            </w:r>
          </w:p>
        </w:tc>
        <w:tc>
          <w:tcPr>
            <w:tcW w:type="dxa" w:w="1531"/>
            <w:vAlign w:val="center"/>
          </w:tcPr>
          <w:p>
            <w:pPr>
              <w:spacing w:line="240" w:lineRule="auto" w:after="0"/>
            </w:pPr>
            <w:r>
              <w:rPr>
                <w:sz w:val="14"/>
              </w:rPr>
              <w:t>351</w:t>
            </w:r>
          </w:p>
        </w:tc>
        <w:tc>
          <w:tcPr>
            <w:tcW w:type="dxa" w:w="1361"/>
            <w:vAlign w:val="center"/>
          </w:tcPr>
          <w:p>
            <w:pPr>
              <w:spacing w:line="240" w:lineRule="auto" w:after="0"/>
            </w:pPr>
            <w:r>
              <w:rPr>
                <w:sz w:val="14"/>
              </w:rPr>
              <w:t>161</w:t>
            </w:r>
          </w:p>
        </w:tc>
      </w:tr>
      <w:tr>
        <w:trPr>
          <w:cantSplit/>
        </w:trPr>
        <w:tc>
          <w:tcPr>
            <w:tcW w:type="dxa" w:w="1531"/>
            <w:vAlign w:val="center"/>
          </w:tcPr>
          <w:p>
            <w:pPr>
              <w:spacing w:line="240" w:lineRule="auto" w:after="0"/>
            </w:pPr>
            <w:r>
              <w:rPr>
                <w:sz w:val="14"/>
              </w:rPr>
              <w:t>Prov-GigaPath</w:t>
            </w:r>
          </w:p>
        </w:tc>
        <w:tc>
          <w:tcPr>
            <w:tcW w:type="dxa" w:w="1134"/>
            <w:vAlign w:val="center"/>
          </w:tcPr>
          <w:p>
            <w:pPr>
              <w:spacing w:line="240" w:lineRule="auto" w:after="0"/>
            </w:pPr>
            <w:r>
              <w:rPr>
                <w:sz w:val="14"/>
              </w:rPr>
              <w:t>10328</w:t>
            </w:r>
          </w:p>
        </w:tc>
        <w:tc>
          <w:tcPr>
            <w:tcW w:type="dxa" w:w="1191"/>
            <w:vAlign w:val="center"/>
          </w:tcPr>
          <w:p>
            <w:pPr>
              <w:spacing w:line="240" w:lineRule="auto" w:after="0"/>
            </w:pPr>
            <w:r>
              <w:rPr>
                <w:sz w:val="14"/>
              </w:rPr>
              <w:t>8393</w:t>
            </w:r>
          </w:p>
        </w:tc>
        <w:tc>
          <w:tcPr>
            <w:tcW w:type="dxa" w:w="1134"/>
            <w:vAlign w:val="center"/>
          </w:tcPr>
          <w:p>
            <w:pPr>
              <w:spacing w:line="240" w:lineRule="auto" w:after="0"/>
            </w:pPr>
            <w:r>
              <w:rPr>
                <w:sz w:val="14"/>
              </w:rPr>
              <w:t>8241</w:t>
            </w:r>
          </w:p>
        </w:tc>
        <w:tc>
          <w:tcPr>
            <w:tcW w:type="dxa" w:w="907"/>
            <w:vAlign w:val="center"/>
          </w:tcPr>
          <w:p>
            <w:pPr>
              <w:spacing w:line="240" w:lineRule="auto" w:after="0"/>
            </w:pPr>
            <w:r>
              <w:rPr>
                <w:sz w:val="14"/>
              </w:rPr>
              <w:t>768</w:t>
            </w:r>
          </w:p>
        </w:tc>
        <w:tc>
          <w:tcPr>
            <w:tcW w:type="dxa" w:w="1531"/>
            <w:vAlign w:val="center"/>
          </w:tcPr>
          <w:p>
            <w:pPr>
              <w:spacing w:line="240" w:lineRule="auto" w:after="0"/>
            </w:pPr>
            <w:r>
              <w:rPr>
                <w:sz w:val="14"/>
              </w:rPr>
              <w:t>439</w:t>
            </w:r>
          </w:p>
        </w:tc>
        <w:tc>
          <w:tcPr>
            <w:tcW w:type="dxa" w:w="1361"/>
            <w:vAlign w:val="center"/>
          </w:tcPr>
          <w:p>
            <w:pPr>
              <w:spacing w:line="240" w:lineRule="auto" w:after="0"/>
            </w:pPr>
            <w:r>
              <w:rPr>
                <w:sz w:val="14"/>
              </w:rPr>
              <w:t>179</w:t>
            </w:r>
          </w:p>
        </w:tc>
      </w:tr>
    </w:tbl>
    <w:p/>
    <w:p>
      <w:r>
        <w:t>Crossings use Q² at least 0.20 or AUROC at least 0.60. They are descriptive and are not representation-specific permutation/FDR discoveries.</w:t>
      </w:r>
    </w:p>
    <w:p>
      <w:pPr>
        <w:pStyle w:val="Heading2"/>
      </w:pPr>
      <w:r>
        <w:t>Table S10a. Component-ceiling audit</w:t>
      </w:r>
    </w:p>
    <w:tbl>
      <w:tblPr>
        <w:tblStyle w:val="TableGrid"/>
        <w:tblW w:type="dxa" w:w="8504"/>
        <w:jc w:val="left"/>
        <w:tblLayout w:type="fixed"/>
        <w:tblLook w:firstColumn="1" w:firstRow="1" w:lastColumn="0" w:lastRow="0" w:noHBand="0" w:noVBand="1" w:val="04A0"/>
        <w:tblLayout w:type="fixed"/>
        <w:tblInd w:type="dxa" w:w="0"/>
      </w:tblPr>
      <w:tblGrid>
        <w:gridCol w:w="1531"/>
        <w:gridCol w:w="1134"/>
        <w:gridCol w:w="850"/>
        <w:gridCol w:w="1417"/>
        <w:gridCol w:w="1871"/>
        <w:gridCol w:w="1701"/>
      </w:tblGrid>
      <w:tr>
        <w:trPr>
          <w:tblHeader w:val="true"/>
          <w:cantSplit/>
        </w:trPr>
        <w:tc>
          <w:tcPr>
            <w:tcW w:type="dxa" w:w="1531"/>
          </w:tcPr>
          <w:p>
            <w:pPr>
              <w:spacing w:line="240" w:lineRule="auto" w:after="0"/>
            </w:pPr>
            <w:r>
              <w:rPr>
                <w:b/>
                <w:sz w:val="14"/>
              </w:rPr>
              <w:t>Representation</w:t>
            </w:r>
          </w:p>
        </w:tc>
        <w:tc>
          <w:tcPr>
            <w:tcW w:type="dxa" w:w="1134"/>
          </w:tcPr>
          <w:p>
            <w:pPr>
              <w:spacing w:line="240" w:lineRule="auto" w:after="0"/>
            </w:pPr>
            <w:r>
              <w:rPr>
                <w:b/>
                <w:sz w:val="14"/>
              </w:rPr>
              <w:t>Outcome</w:t>
            </w:r>
          </w:p>
        </w:tc>
        <w:tc>
          <w:tcPr>
            <w:tcW w:type="dxa" w:w="850"/>
          </w:tcPr>
          <w:p>
            <w:pPr>
              <w:spacing w:line="240" w:lineRule="auto" w:after="0"/>
            </w:pPr>
            <w:r>
              <w:rPr>
                <w:b/>
                <w:sz w:val="14"/>
              </w:rPr>
              <w:t>Targets</w:t>
            </w:r>
          </w:p>
        </w:tc>
        <w:tc>
          <w:tcPr>
            <w:tcW w:type="dxa" w:w="1417"/>
          </w:tcPr>
          <w:p>
            <w:pPr>
              <w:spacing w:line="240" w:lineRule="auto" w:after="0"/>
            </w:pPr>
            <w:r>
              <w:rPr>
                <w:b/>
                <w:sz w:val="14"/>
              </w:rPr>
              <w:t>Median components</w:t>
            </w:r>
          </w:p>
        </w:tc>
        <w:tc>
          <w:tcPr>
            <w:tcW w:type="dxa" w:w="1871"/>
          </w:tcPr>
          <w:p>
            <w:pPr>
              <w:spacing w:line="240" w:lineRule="auto" w:after="0"/>
            </w:pPr>
            <w:r>
              <w:rPr>
                <w:b/>
                <w:sz w:val="14"/>
              </w:rPr>
              <w:t>Targets with any ceiling</w:t>
            </w:r>
          </w:p>
        </w:tc>
        <w:tc>
          <w:tcPr>
            <w:tcW w:type="dxa" w:w="1701"/>
          </w:tcPr>
          <w:p>
            <w:pPr>
              <w:spacing w:line="240" w:lineRule="auto" w:after="0"/>
            </w:pPr>
            <w:r>
              <w:rPr>
                <w:b/>
                <w:sz w:val="14"/>
              </w:rPr>
              <w:t>Outer fits at ceiling</w:t>
            </w:r>
          </w:p>
        </w:tc>
      </w:tr>
      <w:tr>
        <w:trPr>
          <w:cantSplit/>
        </w:trPr>
        <w:tc>
          <w:tcPr>
            <w:tcW w:type="dxa" w:w="1531"/>
            <w:vAlign w:val="center"/>
          </w:tcPr>
          <w:p>
            <w:pPr>
              <w:spacing w:line="240" w:lineRule="auto" w:after="0"/>
            </w:pPr>
            <w:r>
              <w:rPr>
                <w:sz w:val="14"/>
              </w:rPr>
              <w:t>Giga-SSL</w:t>
            </w:r>
          </w:p>
        </w:tc>
        <w:tc>
          <w:tcPr>
            <w:tcW w:type="dxa" w:w="1134"/>
            <w:vAlign w:val="center"/>
          </w:tcPr>
          <w:p>
            <w:pPr>
              <w:spacing w:line="240" w:lineRule="auto" w:after="0"/>
            </w:pPr>
            <w:r>
              <w:rPr>
                <w:sz w:val="14"/>
              </w:rPr>
              <w:t>binary</w:t>
            </w:r>
          </w:p>
        </w:tc>
        <w:tc>
          <w:tcPr>
            <w:tcW w:type="dxa" w:w="850"/>
            <w:vAlign w:val="center"/>
          </w:tcPr>
          <w:p>
            <w:pPr>
              <w:spacing w:line="240" w:lineRule="auto" w:after="0"/>
            </w:pPr>
            <w:r>
              <w:rPr>
                <w:sz w:val="14"/>
              </w:rPr>
              <w:t>426</w:t>
            </w:r>
          </w:p>
        </w:tc>
        <w:tc>
          <w:tcPr>
            <w:tcW w:type="dxa" w:w="1417"/>
            <w:vAlign w:val="center"/>
          </w:tcPr>
          <w:p>
            <w:pPr>
              <w:spacing w:line="240" w:lineRule="auto" w:after="0"/>
            </w:pPr>
            <w:r>
              <w:rPr>
                <w:sz w:val="14"/>
              </w:rPr>
              <w:t>4.0</w:t>
            </w:r>
          </w:p>
        </w:tc>
        <w:tc>
          <w:tcPr>
            <w:tcW w:type="dxa" w:w="1871"/>
            <w:vAlign w:val="center"/>
          </w:tcPr>
          <w:p>
            <w:pPr>
              <w:spacing w:line="240" w:lineRule="auto" w:after="0"/>
            </w:pPr>
            <w:r>
              <w:rPr>
                <w:sz w:val="14"/>
              </w:rPr>
              <w:t>54</w:t>
            </w:r>
          </w:p>
        </w:tc>
        <w:tc>
          <w:tcPr>
            <w:tcW w:type="dxa" w:w="1701"/>
            <w:vAlign w:val="center"/>
          </w:tcPr>
          <w:p>
            <w:pPr>
              <w:spacing w:line="240" w:lineRule="auto" w:after="0"/>
            </w:pPr>
            <w:r>
              <w:rPr>
                <w:sz w:val="14"/>
              </w:rPr>
              <w:t>67/2130</w:t>
            </w:r>
          </w:p>
        </w:tc>
      </w:tr>
      <w:tr>
        <w:trPr>
          <w:cantSplit/>
        </w:trPr>
        <w:tc>
          <w:tcPr>
            <w:tcW w:type="dxa" w:w="1531"/>
            <w:vAlign w:val="center"/>
          </w:tcPr>
          <w:p>
            <w:pPr>
              <w:spacing w:line="240" w:lineRule="auto" w:after="0"/>
            </w:pPr>
            <w:r>
              <w:rPr>
                <w:sz w:val="14"/>
              </w:rPr>
              <w:t>Prov-GigaPath</w:t>
            </w:r>
          </w:p>
        </w:tc>
        <w:tc>
          <w:tcPr>
            <w:tcW w:type="dxa" w:w="1134"/>
            <w:vAlign w:val="center"/>
          </w:tcPr>
          <w:p>
            <w:pPr>
              <w:spacing w:line="240" w:lineRule="auto" w:after="0"/>
            </w:pPr>
            <w:r>
              <w:rPr>
                <w:sz w:val="14"/>
              </w:rPr>
              <w:t>binary</w:t>
            </w:r>
          </w:p>
        </w:tc>
        <w:tc>
          <w:tcPr>
            <w:tcW w:type="dxa" w:w="850"/>
            <w:vAlign w:val="center"/>
          </w:tcPr>
          <w:p>
            <w:pPr>
              <w:spacing w:line="240" w:lineRule="auto" w:after="0"/>
            </w:pPr>
            <w:r>
              <w:rPr>
                <w:sz w:val="14"/>
              </w:rPr>
              <w:t>426</w:t>
            </w:r>
          </w:p>
        </w:tc>
        <w:tc>
          <w:tcPr>
            <w:tcW w:type="dxa" w:w="1417"/>
            <w:vAlign w:val="center"/>
          </w:tcPr>
          <w:p>
            <w:pPr>
              <w:spacing w:line="240" w:lineRule="auto" w:after="0"/>
            </w:pPr>
            <w:r>
              <w:rPr>
                <w:sz w:val="14"/>
              </w:rPr>
              <w:t>3.0</w:t>
            </w:r>
          </w:p>
        </w:tc>
        <w:tc>
          <w:tcPr>
            <w:tcW w:type="dxa" w:w="1871"/>
            <w:vAlign w:val="center"/>
          </w:tcPr>
          <w:p>
            <w:pPr>
              <w:spacing w:line="240" w:lineRule="auto" w:after="0"/>
            </w:pPr>
            <w:r>
              <w:rPr>
                <w:sz w:val="14"/>
              </w:rPr>
              <w:t>56</w:t>
            </w:r>
          </w:p>
        </w:tc>
        <w:tc>
          <w:tcPr>
            <w:tcW w:type="dxa" w:w="1701"/>
            <w:vAlign w:val="center"/>
          </w:tcPr>
          <w:p>
            <w:pPr>
              <w:spacing w:line="240" w:lineRule="auto" w:after="0"/>
            </w:pPr>
            <w:r>
              <w:rPr>
                <w:sz w:val="14"/>
              </w:rPr>
              <w:t>64/2130</w:t>
            </w:r>
          </w:p>
        </w:tc>
      </w:tr>
      <w:tr>
        <w:trPr>
          <w:cantSplit/>
        </w:trPr>
        <w:tc>
          <w:tcPr>
            <w:tcW w:type="dxa" w:w="1531"/>
            <w:vAlign w:val="center"/>
          </w:tcPr>
          <w:p>
            <w:pPr>
              <w:spacing w:line="240" w:lineRule="auto" w:after="0"/>
            </w:pPr>
            <w:r>
              <w:rPr>
                <w:sz w:val="14"/>
              </w:rPr>
              <w:t>TITAN</w:t>
            </w:r>
          </w:p>
        </w:tc>
        <w:tc>
          <w:tcPr>
            <w:tcW w:type="dxa" w:w="1134"/>
            <w:vAlign w:val="center"/>
          </w:tcPr>
          <w:p>
            <w:pPr>
              <w:spacing w:line="240" w:lineRule="auto" w:after="0"/>
            </w:pPr>
            <w:r>
              <w:rPr>
                <w:sz w:val="14"/>
              </w:rPr>
              <w:t>binary</w:t>
            </w:r>
          </w:p>
        </w:tc>
        <w:tc>
          <w:tcPr>
            <w:tcW w:type="dxa" w:w="850"/>
            <w:vAlign w:val="center"/>
          </w:tcPr>
          <w:p>
            <w:pPr>
              <w:spacing w:line="240" w:lineRule="auto" w:after="0"/>
            </w:pPr>
            <w:r>
              <w:rPr>
                <w:sz w:val="14"/>
              </w:rPr>
              <w:t>426</w:t>
            </w:r>
          </w:p>
        </w:tc>
        <w:tc>
          <w:tcPr>
            <w:tcW w:type="dxa" w:w="1417"/>
            <w:vAlign w:val="center"/>
          </w:tcPr>
          <w:p>
            <w:pPr>
              <w:spacing w:line="240" w:lineRule="auto" w:after="0"/>
            </w:pPr>
            <w:r>
              <w:rPr>
                <w:sz w:val="14"/>
              </w:rPr>
              <w:t>3.0</w:t>
            </w:r>
          </w:p>
        </w:tc>
        <w:tc>
          <w:tcPr>
            <w:tcW w:type="dxa" w:w="1871"/>
            <w:vAlign w:val="center"/>
          </w:tcPr>
          <w:p>
            <w:pPr>
              <w:spacing w:line="240" w:lineRule="auto" w:after="0"/>
            </w:pPr>
            <w:r>
              <w:rPr>
                <w:sz w:val="14"/>
              </w:rPr>
              <w:t>36</w:t>
            </w:r>
          </w:p>
        </w:tc>
        <w:tc>
          <w:tcPr>
            <w:tcW w:type="dxa" w:w="1701"/>
            <w:vAlign w:val="center"/>
          </w:tcPr>
          <w:p>
            <w:pPr>
              <w:spacing w:line="240" w:lineRule="auto" w:after="0"/>
            </w:pPr>
            <w:r>
              <w:rPr>
                <w:sz w:val="14"/>
              </w:rPr>
              <w:t>46/2130</w:t>
            </w:r>
          </w:p>
        </w:tc>
      </w:tr>
      <w:tr>
        <w:trPr>
          <w:cantSplit/>
        </w:trPr>
        <w:tc>
          <w:tcPr>
            <w:tcW w:type="dxa" w:w="1531"/>
            <w:vAlign w:val="center"/>
          </w:tcPr>
          <w:p>
            <w:pPr>
              <w:spacing w:line="240" w:lineRule="auto" w:after="0"/>
            </w:pPr>
            <w:r>
              <w:rPr>
                <w:sz w:val="14"/>
              </w:rPr>
              <w:t>Giga-SSL</w:t>
            </w:r>
          </w:p>
        </w:tc>
        <w:tc>
          <w:tcPr>
            <w:tcW w:type="dxa" w:w="1134"/>
            <w:vAlign w:val="center"/>
          </w:tcPr>
          <w:p>
            <w:pPr>
              <w:spacing w:line="240" w:lineRule="auto" w:after="0"/>
            </w:pPr>
            <w:r>
              <w:rPr>
                <w:sz w:val="14"/>
              </w:rPr>
              <w:t>continuous</w:t>
            </w:r>
          </w:p>
        </w:tc>
        <w:tc>
          <w:tcPr>
            <w:tcW w:type="dxa" w:w="850"/>
            <w:vAlign w:val="center"/>
          </w:tcPr>
          <w:p>
            <w:pPr>
              <w:spacing w:line="240" w:lineRule="auto" w:after="0"/>
            </w:pPr>
            <w:r>
              <w:rPr>
                <w:sz w:val="14"/>
              </w:rPr>
              <w:t>2963</w:t>
            </w:r>
          </w:p>
        </w:tc>
        <w:tc>
          <w:tcPr>
            <w:tcW w:type="dxa" w:w="1417"/>
            <w:vAlign w:val="center"/>
          </w:tcPr>
          <w:p>
            <w:pPr>
              <w:spacing w:line="240" w:lineRule="auto" w:after="0"/>
            </w:pPr>
            <w:r>
              <w:rPr>
                <w:sz w:val="14"/>
              </w:rPr>
              <w:t>1.0</w:t>
            </w:r>
          </w:p>
        </w:tc>
        <w:tc>
          <w:tcPr>
            <w:tcW w:type="dxa" w:w="1871"/>
            <w:vAlign w:val="center"/>
          </w:tcPr>
          <w:p>
            <w:pPr>
              <w:spacing w:line="240" w:lineRule="auto" w:after="0"/>
            </w:pPr>
            <w:r>
              <w:rPr>
                <w:sz w:val="14"/>
              </w:rPr>
              <w:t>7</w:t>
            </w:r>
          </w:p>
        </w:tc>
        <w:tc>
          <w:tcPr>
            <w:tcW w:type="dxa" w:w="1701"/>
            <w:vAlign w:val="center"/>
          </w:tcPr>
          <w:p>
            <w:pPr>
              <w:spacing w:line="240" w:lineRule="auto" w:after="0"/>
            </w:pPr>
            <w:r>
              <w:rPr>
                <w:sz w:val="14"/>
              </w:rPr>
              <w:t>7/14815</w:t>
            </w:r>
          </w:p>
        </w:tc>
      </w:tr>
      <w:tr>
        <w:trPr>
          <w:cantSplit/>
        </w:trPr>
        <w:tc>
          <w:tcPr>
            <w:tcW w:type="dxa" w:w="1531"/>
            <w:vAlign w:val="center"/>
          </w:tcPr>
          <w:p>
            <w:pPr>
              <w:spacing w:line="240" w:lineRule="auto" w:after="0"/>
            </w:pPr>
            <w:r>
              <w:rPr>
                <w:sz w:val="14"/>
              </w:rPr>
              <w:t>Prov-GigaPath</w:t>
            </w:r>
          </w:p>
        </w:tc>
        <w:tc>
          <w:tcPr>
            <w:tcW w:type="dxa" w:w="1134"/>
            <w:vAlign w:val="center"/>
          </w:tcPr>
          <w:p>
            <w:pPr>
              <w:spacing w:line="240" w:lineRule="auto" w:after="0"/>
            </w:pPr>
            <w:r>
              <w:rPr>
                <w:sz w:val="14"/>
              </w:rPr>
              <w:t>continuous</w:t>
            </w:r>
          </w:p>
        </w:tc>
        <w:tc>
          <w:tcPr>
            <w:tcW w:type="dxa" w:w="850"/>
            <w:vAlign w:val="center"/>
          </w:tcPr>
          <w:p>
            <w:pPr>
              <w:spacing w:line="240" w:lineRule="auto" w:after="0"/>
            </w:pPr>
            <w:r>
              <w:rPr>
                <w:sz w:val="14"/>
              </w:rPr>
              <w:t>2963</w:t>
            </w:r>
          </w:p>
        </w:tc>
        <w:tc>
          <w:tcPr>
            <w:tcW w:type="dxa" w:w="1417"/>
            <w:vAlign w:val="center"/>
          </w:tcPr>
          <w:p>
            <w:pPr>
              <w:spacing w:line="240" w:lineRule="auto" w:after="0"/>
            </w:pPr>
            <w:r>
              <w:rPr>
                <w:sz w:val="14"/>
              </w:rPr>
              <w:t>2.0</w:t>
            </w:r>
          </w:p>
        </w:tc>
        <w:tc>
          <w:tcPr>
            <w:tcW w:type="dxa" w:w="1871"/>
            <w:vAlign w:val="center"/>
          </w:tcPr>
          <w:p>
            <w:pPr>
              <w:spacing w:line="240" w:lineRule="auto" w:after="0"/>
            </w:pPr>
            <w:r>
              <w:rPr>
                <w:sz w:val="14"/>
              </w:rPr>
              <w:t>12</w:t>
            </w:r>
          </w:p>
        </w:tc>
        <w:tc>
          <w:tcPr>
            <w:tcW w:type="dxa" w:w="1701"/>
            <w:vAlign w:val="center"/>
          </w:tcPr>
          <w:p>
            <w:pPr>
              <w:spacing w:line="240" w:lineRule="auto" w:after="0"/>
            </w:pPr>
            <w:r>
              <w:rPr>
                <w:sz w:val="14"/>
              </w:rPr>
              <w:t>13/14815</w:t>
            </w:r>
          </w:p>
        </w:tc>
      </w:tr>
      <w:tr>
        <w:trPr>
          <w:cantSplit/>
        </w:trPr>
        <w:tc>
          <w:tcPr>
            <w:tcW w:type="dxa" w:w="1531"/>
            <w:vAlign w:val="center"/>
          </w:tcPr>
          <w:p>
            <w:pPr>
              <w:spacing w:line="240" w:lineRule="auto" w:after="0"/>
            </w:pPr>
            <w:r>
              <w:rPr>
                <w:sz w:val="14"/>
              </w:rPr>
              <w:t>TITAN</w:t>
            </w:r>
          </w:p>
        </w:tc>
        <w:tc>
          <w:tcPr>
            <w:tcW w:type="dxa" w:w="1134"/>
            <w:vAlign w:val="center"/>
          </w:tcPr>
          <w:p>
            <w:pPr>
              <w:spacing w:line="240" w:lineRule="auto" w:after="0"/>
            </w:pPr>
            <w:r>
              <w:rPr>
                <w:sz w:val="14"/>
              </w:rPr>
              <w:t>continuous</w:t>
            </w:r>
          </w:p>
        </w:tc>
        <w:tc>
          <w:tcPr>
            <w:tcW w:type="dxa" w:w="850"/>
            <w:vAlign w:val="center"/>
          </w:tcPr>
          <w:p>
            <w:pPr>
              <w:spacing w:line="240" w:lineRule="auto" w:after="0"/>
            </w:pPr>
            <w:r>
              <w:rPr>
                <w:sz w:val="14"/>
              </w:rPr>
              <w:t>2963</w:t>
            </w:r>
          </w:p>
        </w:tc>
        <w:tc>
          <w:tcPr>
            <w:tcW w:type="dxa" w:w="1417"/>
            <w:vAlign w:val="center"/>
          </w:tcPr>
          <w:p>
            <w:pPr>
              <w:spacing w:line="240" w:lineRule="auto" w:after="0"/>
            </w:pPr>
            <w:r>
              <w:rPr>
                <w:sz w:val="14"/>
              </w:rPr>
              <w:t>2.0</w:t>
            </w:r>
          </w:p>
        </w:tc>
        <w:tc>
          <w:tcPr>
            <w:tcW w:type="dxa" w:w="1871"/>
            <w:vAlign w:val="center"/>
          </w:tcPr>
          <w:p>
            <w:pPr>
              <w:spacing w:line="240" w:lineRule="auto" w:after="0"/>
            </w:pPr>
            <w:r>
              <w:rPr>
                <w:sz w:val="14"/>
              </w:rPr>
              <w:t>4</w:t>
            </w:r>
          </w:p>
        </w:tc>
        <w:tc>
          <w:tcPr>
            <w:tcW w:type="dxa" w:w="1701"/>
            <w:vAlign w:val="center"/>
          </w:tcPr>
          <w:p>
            <w:pPr>
              <w:spacing w:line="240" w:lineRule="auto" w:after="0"/>
            </w:pPr>
            <w:r>
              <w:rPr>
                <w:sz w:val="14"/>
              </w:rPr>
              <w:t>4/14815</w:t>
            </w:r>
          </w:p>
        </w:tc>
      </w:tr>
    </w:tbl>
    <w:p/>
    <w:p>
      <w:pPr>
        <w:pStyle w:val="Heading2"/>
      </w:pPr>
      <w:r>
        <w:t>Table S10b. Other foundation models not included</w:t>
      </w:r>
    </w:p>
    <w:tbl>
      <w:tblPr>
        <w:tblStyle w:val="TableGrid"/>
        <w:tblW w:type="dxa" w:w="9582"/>
        <w:jc w:val="left"/>
        <w:tblLayout w:type="fixed"/>
        <w:tblLook w:firstColumn="1" w:firstRow="1" w:lastColumn="0" w:lastRow="0" w:noHBand="0" w:noVBand="1" w:val="04A0"/>
        <w:tblLayout w:type="fixed"/>
        <w:tblInd w:type="dxa" w:w="0"/>
      </w:tblPr>
      <w:tblGrid>
        <w:gridCol w:w="1701"/>
        <w:gridCol w:w="1531"/>
        <w:gridCol w:w="3969"/>
        <w:gridCol w:w="2381"/>
      </w:tblGrid>
      <w:tr>
        <w:trPr>
          <w:tblHeader w:val="true"/>
          <w:cantSplit/>
        </w:trPr>
        <w:tc>
          <w:tcPr>
            <w:tcW w:type="dxa" w:w="1701"/>
          </w:tcPr>
          <w:p>
            <w:pPr>
              <w:spacing w:line="216" w:lineRule="auto" w:after="0"/>
            </w:pPr>
            <w:r>
              <w:rPr>
                <w:b/>
                <w:sz w:val="13"/>
              </w:rPr>
              <w:t>Model or family</w:t>
            </w:r>
          </w:p>
        </w:tc>
        <w:tc>
          <w:tcPr>
            <w:tcW w:type="dxa" w:w="1531"/>
          </w:tcPr>
          <w:p>
            <w:pPr>
              <w:spacing w:line="216" w:lineRule="auto" w:after="0"/>
            </w:pPr>
            <w:r>
              <w:rPr>
                <w:b/>
                <w:sz w:val="13"/>
              </w:rPr>
              <w:t>Representation level</w:t>
            </w:r>
          </w:p>
        </w:tc>
        <w:tc>
          <w:tcPr>
            <w:tcW w:type="dxa" w:w="3969"/>
          </w:tcPr>
          <w:p>
            <w:pPr>
              <w:spacing w:line="216" w:lineRule="auto" w:after="0"/>
            </w:pPr>
            <w:r>
              <w:rPr>
                <w:b/>
                <w:sz w:val="13"/>
              </w:rPr>
              <w:t>Reason not included</w:t>
            </w:r>
          </w:p>
        </w:tc>
        <w:tc>
          <w:tcPr>
            <w:tcW w:type="dxa" w:w="2381"/>
          </w:tcPr>
          <w:p>
            <w:pPr>
              <w:spacing w:line="216" w:lineRule="auto" w:after="0"/>
            </w:pPr>
            <w:r>
              <w:rPr>
                <w:b/>
                <w:sz w:val="13"/>
              </w:rPr>
              <w:t>Criterion not met</w:t>
            </w:r>
          </w:p>
        </w:tc>
      </w:tr>
      <w:tr>
        <w:trPr>
          <w:cantSplit/>
        </w:trPr>
        <w:tc>
          <w:tcPr>
            <w:tcW w:type="dxa" w:w="1701"/>
            <w:vAlign w:val="center"/>
          </w:tcPr>
          <w:p>
            <w:pPr>
              <w:spacing w:line="216" w:lineRule="auto" w:after="0"/>
            </w:pPr>
            <w:r>
              <w:rPr>
                <w:sz w:val="13"/>
              </w:rPr>
              <w:t>UNI / UNI2-h</w:t>
            </w:r>
          </w:p>
        </w:tc>
        <w:tc>
          <w:tcPr>
            <w:tcW w:type="dxa" w:w="1531"/>
            <w:vAlign w:val="center"/>
          </w:tcPr>
          <w:p>
            <w:pPr>
              <w:spacing w:line="216" w:lineRule="auto" w:after="0"/>
            </w:pPr>
            <w:r>
              <w:rPr>
                <w:sz w:val="13"/>
              </w:rPr>
              <w:t>tile encoder</w:t>
            </w:r>
          </w:p>
        </w:tc>
        <w:tc>
          <w:tcPr>
            <w:tcW w:type="dxa" w:w="3969"/>
            <w:vAlign w:val="center"/>
          </w:tcPr>
          <w:p>
            <w:pPr>
              <w:spacing w:line="216" w:lineRule="auto" w:after="0"/>
            </w:pPr>
            <w:r>
              <w:rPr>
                <w:sz w:val="13"/>
              </w:rPr>
              <w:t>Released weights and selected pre-extracted features were available, but this project did not identify a ready-to-use one-vector-per-slide TCGA artifact with deterministic slide identifiers and the complete common-cohort coverage required by the matched patient-level analysis.</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CONCH / CONCH v1.5</w:t>
            </w:r>
          </w:p>
        </w:tc>
        <w:tc>
          <w:tcPr>
            <w:tcW w:type="dxa" w:w="1531"/>
            <w:vAlign w:val="center"/>
          </w:tcPr>
          <w:p>
            <w:pPr>
              <w:spacing w:line="216" w:lineRule="auto" w:after="0"/>
            </w:pPr>
            <w:r>
              <w:rPr>
                <w:sz w:val="13"/>
              </w:rPr>
              <w:t>tile vision-language encoder</w:t>
            </w:r>
          </w:p>
        </w:tc>
        <w:tc>
          <w:tcPr>
            <w:tcW w:type="dxa" w:w="3969"/>
            <w:vAlign w:val="center"/>
          </w:tcPr>
          <w:p>
            <w:pPr>
              <w:spacing w:line="216" w:lineRule="auto" w:after="0"/>
            </w:pPr>
            <w:r>
              <w:rPr>
                <w:sz w:val="13"/>
              </w:rPr>
              <w:t>The released interface produces tile or ROI embeddings and requires slide tiling plus an aggregation pipeline; no compatible complete slide-level TCGA embedding table meeting the benchmark criteria was used.</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Virchow / Virchow2</w:t>
            </w:r>
          </w:p>
        </w:tc>
        <w:tc>
          <w:tcPr>
            <w:tcW w:type="dxa" w:w="1531"/>
            <w:vAlign w:val="center"/>
          </w:tcPr>
          <w:p>
            <w:pPr>
              <w:spacing w:line="216" w:lineRule="auto" w:after="0"/>
            </w:pPr>
            <w:r>
              <w:rPr>
                <w:sz w:val="13"/>
              </w:rPr>
              <w:t>tile encoder</w:t>
            </w:r>
          </w:p>
        </w:tc>
        <w:tc>
          <w:tcPr>
            <w:tcW w:type="dxa" w:w="3969"/>
            <w:vAlign w:val="center"/>
          </w:tcPr>
          <w:p>
            <w:pPr>
              <w:spacing w:line="216" w:lineRule="auto" w:after="0"/>
            </w:pPr>
            <w:r>
              <w:rPr>
                <w:sz w:val="13"/>
              </w:rPr>
              <w:t>The released models are tile encoders; no ready-to-use complete slide-level TCGA embedding artifact with the identifiers and common-cohort coverage required here was identified for the analysis snapshot.</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H-optimus-0 / H-optimus-1</w:t>
            </w:r>
          </w:p>
        </w:tc>
        <w:tc>
          <w:tcPr>
            <w:tcW w:type="dxa" w:w="1531"/>
            <w:vAlign w:val="center"/>
          </w:tcPr>
          <w:p>
            <w:pPr>
              <w:spacing w:line="216" w:lineRule="auto" w:after="0"/>
            </w:pPr>
            <w:r>
              <w:rPr>
                <w:sz w:val="13"/>
              </w:rPr>
              <w:t>tile encoder</w:t>
            </w:r>
          </w:p>
        </w:tc>
        <w:tc>
          <w:tcPr>
            <w:tcW w:type="dxa" w:w="3969"/>
            <w:vAlign w:val="center"/>
          </w:tcPr>
          <w:p>
            <w:pPr>
              <w:spacing w:line="216" w:lineRule="auto" w:after="0"/>
            </w:pPr>
            <w:r>
              <w:rPr>
                <w:sz w:val="13"/>
              </w:rPr>
              <w:t>The released models provide tile-level feature extraction and would require downloading or reprocessing WSI pixels plus a separately chosen slide aggregator.</w:t>
            </w:r>
          </w:p>
        </w:tc>
        <w:tc>
          <w:tcPr>
            <w:tcW w:type="dxa" w:w="2381"/>
            <w:vAlign w:val="center"/>
          </w:tcPr>
          <w:p>
            <w:pPr>
              <w:spacing w:line="216" w:lineRule="auto" w:after="0"/>
            </w:pPr>
            <w:r>
              <w:rPr>
                <w:sz w:val="13"/>
              </w:rPr>
              <w:t>no-pixel-reprocessing and compatible slide-level artifact</w:t>
            </w:r>
          </w:p>
        </w:tc>
      </w:tr>
      <w:tr>
        <w:trPr>
          <w:cantSplit/>
        </w:trPr>
        <w:tc>
          <w:tcPr>
            <w:tcW w:type="dxa" w:w="1701"/>
            <w:vAlign w:val="center"/>
          </w:tcPr>
          <w:p>
            <w:pPr>
              <w:spacing w:line="216" w:lineRule="auto" w:after="0"/>
            </w:pPr>
            <w:r>
              <w:rPr>
                <w:sz w:val="13"/>
              </w:rPr>
              <w:t>CHIEF</w:t>
            </w:r>
          </w:p>
        </w:tc>
        <w:tc>
          <w:tcPr>
            <w:tcW w:type="dxa" w:w="1531"/>
            <w:vAlign w:val="center"/>
          </w:tcPr>
          <w:p>
            <w:pPr>
              <w:spacing w:line="216" w:lineRule="auto" w:after="0"/>
            </w:pPr>
            <w:r>
              <w:rPr>
                <w:sz w:val="13"/>
              </w:rPr>
              <w:t>whole-slide model</w:t>
            </w:r>
          </w:p>
        </w:tc>
        <w:tc>
          <w:tcPr>
            <w:tcW w:type="dxa" w:w="3969"/>
            <w:vAlign w:val="center"/>
          </w:tcPr>
          <w:p>
            <w:pPr>
              <w:spacing w:line="216" w:lineRule="auto" w:after="0"/>
            </w:pPr>
            <w:r>
              <w:rPr>
                <w:sz w:val="13"/>
              </w:rPr>
              <w:t>A published whole-slide framework was available, but no ready-to-use complete slide-level TCGA embedding artifact satisfying the deterministic identifier and common-cohort requirements was identified for this project snapshot.</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PRISM / PRISM2</w:t>
            </w:r>
          </w:p>
        </w:tc>
        <w:tc>
          <w:tcPr>
            <w:tcW w:type="dxa" w:w="1531"/>
            <w:vAlign w:val="center"/>
          </w:tcPr>
          <w:p>
            <w:pPr>
              <w:spacing w:line="216" w:lineRule="auto" w:after="0"/>
            </w:pPr>
            <w:r>
              <w:rPr>
                <w:sz w:val="13"/>
              </w:rPr>
              <w:t>whole-slide multimodal model</w:t>
            </w:r>
          </w:p>
        </w:tc>
        <w:tc>
          <w:tcPr>
            <w:tcW w:type="dxa" w:w="3969"/>
            <w:vAlign w:val="center"/>
          </w:tcPr>
          <w:p>
            <w:pPr>
              <w:spacing w:line="216" w:lineRule="auto" w:after="0"/>
            </w:pPr>
            <w:r>
              <w:rPr>
                <w:sz w:val="13"/>
              </w:rPr>
              <w:t>These slide-level models were relevant, but the project did not have a released complete TCGA slide-embedding artifact meeting the identifier and common-cohort requirements of the matched analysis.</w:t>
            </w:r>
          </w:p>
        </w:tc>
        <w:tc>
          <w:tcPr>
            <w:tcW w:type="dxa" w:w="2381"/>
            <w:vAlign w:val="center"/>
          </w:tcPr>
          <w:p>
            <w:pPr>
              <w:spacing w:line="216" w:lineRule="auto" w:after="0"/>
            </w:pPr>
            <w:r>
              <w:rPr>
                <w:sz w:val="13"/>
              </w:rPr>
              <w:t>compatible released slide-level TCGA artifact</w:t>
            </w:r>
          </w:p>
        </w:tc>
      </w:tr>
      <w:tr>
        <w:trPr>
          <w:cantSplit/>
        </w:trPr>
        <w:tc>
          <w:tcPr>
            <w:tcW w:type="dxa" w:w="1701"/>
            <w:vAlign w:val="center"/>
          </w:tcPr>
          <w:p>
            <w:pPr>
              <w:spacing w:line="216" w:lineRule="auto" w:after="0"/>
            </w:pPr>
            <w:r>
              <w:rPr>
                <w:sz w:val="13"/>
              </w:rPr>
              <w:t>Threads</w:t>
            </w:r>
          </w:p>
        </w:tc>
        <w:tc>
          <w:tcPr>
            <w:tcW w:type="dxa" w:w="1531"/>
            <w:vAlign w:val="center"/>
          </w:tcPr>
          <w:p>
            <w:pPr>
              <w:spacing w:line="216" w:lineRule="auto" w:after="0"/>
            </w:pPr>
            <w:r>
              <w:rPr>
                <w:sz w:val="13"/>
              </w:rPr>
              <w:t>whole-slide multimodal model</w:t>
            </w:r>
          </w:p>
        </w:tc>
        <w:tc>
          <w:tcPr>
            <w:tcW w:type="dxa" w:w="3969"/>
            <w:vAlign w:val="center"/>
          </w:tcPr>
          <w:p>
            <w:pPr>
              <w:spacing w:line="216" w:lineRule="auto" w:after="0"/>
            </w:pPr>
            <w:r>
              <w:rPr>
                <w:sz w:val="13"/>
              </w:rPr>
              <w:t>The slide-level model was relevant, but no ready-to-use complete TCGA slide-embedding artifact meeting all pragmatic inclusion criteria was available in the project snapshot.</w:t>
            </w:r>
          </w:p>
        </w:tc>
        <w:tc>
          <w:tcPr>
            <w:tcW w:type="dxa" w:w="2381"/>
            <w:vAlign w:val="center"/>
          </w:tcPr>
          <w:p>
            <w:pPr>
              <w:spacing w:line="216" w:lineRule="auto" w:after="0"/>
            </w:pPr>
            <w:r>
              <w:rPr>
                <w:sz w:val="13"/>
              </w:rPr>
              <w:t>compatible released slide-level TCGA artifact</w:t>
            </w:r>
          </w:p>
        </w:tc>
      </w:tr>
    </w:tbl>
    <w:p/>
    <w:p>
      <w:r>
        <w:t>Complete pairwise effects, alternative partitions, threshold curves, grouped-fold adequacy, ridge sensitivity and the 1-20-component audit remain in the foundation_model_* companion files.</w:t>
      </w:r>
    </w:p>
    <w:p>
      <w:pPr>
        <w:pStyle w:val="Heading1"/>
      </w:pPr>
      <w:r>
        <w:t>Table S11. All-available-slide sensitivity</w:t>
      </w:r>
    </w:p>
    <w:p>
      <w:r>
        <w:t>The primary comparison used the same 10,165 slide identifiers for every representation. This sensitivity used all slides available to each representation for the same 8,241 patients.</w:t>
      </w:r>
    </w:p>
    <w:tbl>
      <w:tblPr>
        <w:tblStyle w:val="TableGrid"/>
        <w:tblW w:type="dxa" w:w="9014"/>
        <w:jc w:val="left"/>
        <w:tblLayout w:type="fixed"/>
        <w:tblLook w:firstColumn="1" w:firstRow="1" w:lastColumn="0" w:lastRow="0" w:noHBand="0" w:noVBand="1" w:val="04A0"/>
        <w:tblLayout w:type="fixed"/>
        <w:tblInd w:type="dxa" w:w="0"/>
      </w:tblPr>
      <w:tblGrid>
        <w:gridCol w:w="1361"/>
        <w:gridCol w:w="964"/>
        <w:gridCol w:w="680"/>
        <w:gridCol w:w="1247"/>
        <w:gridCol w:w="1361"/>
        <w:gridCol w:w="1020"/>
        <w:gridCol w:w="1247"/>
        <w:gridCol w:w="1134"/>
      </w:tblGrid>
      <w:tr>
        <w:trPr>
          <w:tblHeader w:val="true"/>
          <w:cantSplit/>
        </w:trPr>
        <w:tc>
          <w:tcPr>
            <w:tcW w:type="dxa" w:w="1361"/>
          </w:tcPr>
          <w:p>
            <w:pPr>
              <w:spacing w:line="216" w:lineRule="auto" w:after="0"/>
            </w:pPr>
            <w:r>
              <w:rPr>
                <w:b/>
                <w:sz w:val="14"/>
              </w:rPr>
              <w:t>Representation</w:t>
            </w:r>
          </w:p>
        </w:tc>
        <w:tc>
          <w:tcPr>
            <w:tcW w:type="dxa" w:w="964"/>
          </w:tcPr>
          <w:p>
            <w:pPr>
              <w:spacing w:line="216" w:lineRule="auto" w:after="0"/>
            </w:pPr>
            <w:r>
              <w:rPr>
                <w:b/>
                <w:sz w:val="14"/>
              </w:rPr>
              <w:t>Outcome</w:t>
            </w:r>
          </w:p>
        </w:tc>
        <w:tc>
          <w:tcPr>
            <w:tcW w:type="dxa" w:w="680"/>
          </w:tcPr>
          <w:p>
            <w:pPr>
              <w:spacing w:line="216" w:lineRule="auto" w:after="0"/>
            </w:pPr>
            <w:r>
              <w:rPr>
                <w:b/>
                <w:sz w:val="14"/>
              </w:rPr>
              <w:t>Tasks</w:t>
            </w:r>
          </w:p>
        </w:tc>
        <w:tc>
          <w:tcPr>
            <w:tcW w:type="dxa" w:w="1247"/>
          </w:tcPr>
          <w:p>
            <w:pPr>
              <w:spacing w:line="216" w:lineRule="auto" w:after="0"/>
            </w:pPr>
            <w:r>
              <w:rPr>
                <w:b/>
                <w:sz w:val="14"/>
              </w:rPr>
              <w:t>Primary crossings</w:t>
            </w:r>
          </w:p>
        </w:tc>
        <w:tc>
          <w:tcPr>
            <w:tcW w:type="dxa" w:w="1361"/>
          </w:tcPr>
          <w:p>
            <w:pPr>
              <w:spacing w:line="216" w:lineRule="auto" w:after="0"/>
            </w:pPr>
            <w:r>
              <w:rPr>
                <w:b/>
                <w:sz w:val="14"/>
              </w:rPr>
              <w:t>All-slide crossings</w:t>
            </w:r>
          </w:p>
        </w:tc>
        <w:tc>
          <w:tcPr>
            <w:tcW w:type="dxa" w:w="1020"/>
          </w:tcPr>
          <w:p>
            <w:pPr>
              <w:spacing w:line="216" w:lineRule="auto" w:after="0"/>
            </w:pPr>
            <w:r>
              <w:rPr>
                <w:b/>
                <w:sz w:val="14"/>
              </w:rPr>
              <w:t>Lost/gained</w:t>
            </w:r>
          </w:p>
        </w:tc>
        <w:tc>
          <w:tcPr>
            <w:tcW w:type="dxa" w:w="1247"/>
          </w:tcPr>
          <w:p>
            <w:pPr>
              <w:spacing w:line="216" w:lineRule="auto" w:after="0"/>
            </w:pPr>
            <w:r>
              <w:rPr>
                <w:b/>
                <w:sz w:val="14"/>
              </w:rPr>
              <w:t>Median change</w:t>
            </w:r>
          </w:p>
        </w:tc>
        <w:tc>
          <w:tcPr>
            <w:tcW w:type="dxa" w:w="1134"/>
          </w:tcPr>
          <w:p>
            <w:pPr>
              <w:spacing w:line="216" w:lineRule="auto" w:after="0"/>
            </w:pPr>
            <w:r>
              <w:rPr>
                <w:b/>
                <w:sz w:val="14"/>
              </w:rPr>
              <w:t>Spearman</w:t>
            </w:r>
          </w:p>
        </w:tc>
      </w:tr>
      <w:tr>
        <w:trPr>
          <w:cantSplit/>
        </w:trPr>
        <w:tc>
          <w:tcPr>
            <w:tcW w:type="dxa" w:w="1361"/>
            <w:vAlign w:val="center"/>
          </w:tcPr>
          <w:p>
            <w:pPr>
              <w:spacing w:line="216" w:lineRule="auto" w:after="0"/>
            </w:pPr>
            <w:r>
              <w:rPr>
                <w:sz w:val="13"/>
              </w:rPr>
              <w:t>Giga-SSL</w:t>
            </w:r>
          </w:p>
        </w:tc>
        <w:tc>
          <w:tcPr>
            <w:tcW w:type="dxa" w:w="964"/>
            <w:vAlign w:val="center"/>
          </w:tcPr>
          <w:p>
            <w:pPr>
              <w:spacing w:line="216" w:lineRule="auto" w:after="0"/>
            </w:pPr>
            <w:r>
              <w:rPr>
                <w:sz w:val="13"/>
              </w:rPr>
              <w:t>binary</w:t>
            </w:r>
          </w:p>
        </w:tc>
        <w:tc>
          <w:tcPr>
            <w:tcW w:type="dxa" w:w="680"/>
            <w:vAlign w:val="center"/>
          </w:tcPr>
          <w:p>
            <w:pPr>
              <w:spacing w:line="216" w:lineRule="auto" w:after="0"/>
            </w:pPr>
            <w:r>
              <w:rPr>
                <w:sz w:val="13"/>
              </w:rPr>
              <w:t>426</w:t>
            </w:r>
          </w:p>
        </w:tc>
        <w:tc>
          <w:tcPr>
            <w:tcW w:type="dxa" w:w="1247"/>
            <w:vAlign w:val="center"/>
          </w:tcPr>
          <w:p>
            <w:pPr>
              <w:spacing w:line="216" w:lineRule="auto" w:after="0"/>
            </w:pPr>
            <w:r>
              <w:rPr>
                <w:sz w:val="13"/>
              </w:rPr>
              <w:t>161</w:t>
            </w:r>
          </w:p>
        </w:tc>
        <w:tc>
          <w:tcPr>
            <w:tcW w:type="dxa" w:w="1361"/>
            <w:vAlign w:val="center"/>
          </w:tcPr>
          <w:p>
            <w:pPr>
              <w:spacing w:line="216" w:lineRule="auto" w:after="0"/>
            </w:pPr>
            <w:r>
              <w:rPr>
                <w:sz w:val="13"/>
              </w:rPr>
              <w:t>160</w:t>
            </w:r>
          </w:p>
        </w:tc>
        <w:tc>
          <w:tcPr>
            <w:tcW w:type="dxa" w:w="1020"/>
            <w:vAlign w:val="center"/>
          </w:tcPr>
          <w:p>
            <w:pPr>
              <w:spacing w:line="216" w:lineRule="auto" w:after="0"/>
            </w:pPr>
            <w:r>
              <w:rPr>
                <w:sz w:val="13"/>
              </w:rPr>
              <w:t>2/1</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0.995</w:t>
            </w:r>
          </w:p>
        </w:tc>
      </w:tr>
      <w:tr>
        <w:trPr>
          <w:cantSplit/>
        </w:trPr>
        <w:tc>
          <w:tcPr>
            <w:tcW w:type="dxa" w:w="1361"/>
            <w:vAlign w:val="center"/>
          </w:tcPr>
          <w:p>
            <w:pPr>
              <w:spacing w:line="216" w:lineRule="auto" w:after="0"/>
            </w:pPr>
            <w:r>
              <w:rPr>
                <w:sz w:val="13"/>
              </w:rPr>
              <w:t>Giga-SSL</w:t>
            </w:r>
          </w:p>
        </w:tc>
        <w:tc>
          <w:tcPr>
            <w:tcW w:type="dxa" w:w="964"/>
            <w:vAlign w:val="center"/>
          </w:tcPr>
          <w:p>
            <w:pPr>
              <w:spacing w:line="216" w:lineRule="auto" w:after="0"/>
            </w:pPr>
            <w:r>
              <w:rPr>
                <w:sz w:val="13"/>
              </w:rPr>
              <w:t>continuous</w:t>
            </w:r>
          </w:p>
        </w:tc>
        <w:tc>
          <w:tcPr>
            <w:tcW w:type="dxa" w:w="680"/>
            <w:vAlign w:val="center"/>
          </w:tcPr>
          <w:p>
            <w:pPr>
              <w:spacing w:line="216" w:lineRule="auto" w:after="0"/>
            </w:pPr>
            <w:r>
              <w:rPr>
                <w:sz w:val="13"/>
              </w:rPr>
              <w:t>2963</w:t>
            </w:r>
          </w:p>
        </w:tc>
        <w:tc>
          <w:tcPr>
            <w:tcW w:type="dxa" w:w="1247"/>
            <w:vAlign w:val="center"/>
          </w:tcPr>
          <w:p>
            <w:pPr>
              <w:spacing w:line="216" w:lineRule="auto" w:after="0"/>
            </w:pPr>
            <w:r>
              <w:rPr>
                <w:sz w:val="13"/>
              </w:rPr>
              <w:t>351</w:t>
            </w:r>
          </w:p>
        </w:tc>
        <w:tc>
          <w:tcPr>
            <w:tcW w:type="dxa" w:w="1361"/>
            <w:vAlign w:val="center"/>
          </w:tcPr>
          <w:p>
            <w:pPr>
              <w:spacing w:line="216" w:lineRule="auto" w:after="0"/>
            </w:pPr>
            <w:r>
              <w:rPr>
                <w:sz w:val="13"/>
              </w:rPr>
              <w:t>347</w:t>
            </w:r>
          </w:p>
        </w:tc>
        <w:tc>
          <w:tcPr>
            <w:tcW w:type="dxa" w:w="1020"/>
            <w:vAlign w:val="center"/>
          </w:tcPr>
          <w:p>
            <w:pPr>
              <w:spacing w:line="216" w:lineRule="auto" w:after="0"/>
            </w:pPr>
            <w:r>
              <w:rPr>
                <w:sz w:val="13"/>
              </w:rPr>
              <w:t>6/2</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0.995</w:t>
            </w:r>
          </w:p>
        </w:tc>
      </w:tr>
      <w:tr>
        <w:trPr>
          <w:cantSplit/>
        </w:trPr>
        <w:tc>
          <w:tcPr>
            <w:tcW w:type="dxa" w:w="1361"/>
            <w:vAlign w:val="center"/>
          </w:tcPr>
          <w:p>
            <w:pPr>
              <w:spacing w:line="216" w:lineRule="auto" w:after="0"/>
            </w:pPr>
            <w:r>
              <w:rPr>
                <w:sz w:val="13"/>
              </w:rPr>
              <w:t>Prov-GigaPath</w:t>
            </w:r>
          </w:p>
        </w:tc>
        <w:tc>
          <w:tcPr>
            <w:tcW w:type="dxa" w:w="964"/>
            <w:vAlign w:val="center"/>
          </w:tcPr>
          <w:p>
            <w:pPr>
              <w:spacing w:line="216" w:lineRule="auto" w:after="0"/>
            </w:pPr>
            <w:r>
              <w:rPr>
                <w:sz w:val="13"/>
              </w:rPr>
              <w:t>binary</w:t>
            </w:r>
          </w:p>
        </w:tc>
        <w:tc>
          <w:tcPr>
            <w:tcW w:type="dxa" w:w="680"/>
            <w:vAlign w:val="center"/>
          </w:tcPr>
          <w:p>
            <w:pPr>
              <w:spacing w:line="216" w:lineRule="auto" w:after="0"/>
            </w:pPr>
            <w:r>
              <w:rPr>
                <w:sz w:val="13"/>
              </w:rPr>
              <w:t>426</w:t>
            </w:r>
          </w:p>
        </w:tc>
        <w:tc>
          <w:tcPr>
            <w:tcW w:type="dxa" w:w="1247"/>
            <w:vAlign w:val="center"/>
          </w:tcPr>
          <w:p>
            <w:pPr>
              <w:spacing w:line="216" w:lineRule="auto" w:after="0"/>
            </w:pPr>
            <w:r>
              <w:rPr>
                <w:sz w:val="13"/>
              </w:rPr>
              <w:t>179</w:t>
            </w:r>
          </w:p>
        </w:tc>
        <w:tc>
          <w:tcPr>
            <w:tcW w:type="dxa" w:w="1361"/>
            <w:vAlign w:val="center"/>
          </w:tcPr>
          <w:p>
            <w:pPr>
              <w:spacing w:line="216" w:lineRule="auto" w:after="0"/>
            </w:pPr>
            <w:r>
              <w:rPr>
                <w:sz w:val="13"/>
              </w:rPr>
              <w:t>177</w:t>
            </w:r>
          </w:p>
        </w:tc>
        <w:tc>
          <w:tcPr>
            <w:tcW w:type="dxa" w:w="1020"/>
            <w:vAlign w:val="center"/>
          </w:tcPr>
          <w:p>
            <w:pPr>
              <w:spacing w:line="216" w:lineRule="auto" w:after="0"/>
            </w:pPr>
            <w:r>
              <w:rPr>
                <w:sz w:val="13"/>
              </w:rPr>
              <w:t>2/0</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0.999</w:t>
            </w:r>
          </w:p>
        </w:tc>
      </w:tr>
      <w:tr>
        <w:trPr>
          <w:cantSplit/>
        </w:trPr>
        <w:tc>
          <w:tcPr>
            <w:tcW w:type="dxa" w:w="1361"/>
            <w:vAlign w:val="center"/>
          </w:tcPr>
          <w:p>
            <w:pPr>
              <w:spacing w:line="216" w:lineRule="auto" w:after="0"/>
            </w:pPr>
            <w:r>
              <w:rPr>
                <w:sz w:val="13"/>
              </w:rPr>
              <w:t>Prov-GigaPath</w:t>
            </w:r>
          </w:p>
        </w:tc>
        <w:tc>
          <w:tcPr>
            <w:tcW w:type="dxa" w:w="964"/>
            <w:vAlign w:val="center"/>
          </w:tcPr>
          <w:p>
            <w:pPr>
              <w:spacing w:line="216" w:lineRule="auto" w:after="0"/>
            </w:pPr>
            <w:r>
              <w:rPr>
                <w:sz w:val="13"/>
              </w:rPr>
              <w:t>continuous</w:t>
            </w:r>
          </w:p>
        </w:tc>
        <w:tc>
          <w:tcPr>
            <w:tcW w:type="dxa" w:w="680"/>
            <w:vAlign w:val="center"/>
          </w:tcPr>
          <w:p>
            <w:pPr>
              <w:spacing w:line="216" w:lineRule="auto" w:after="0"/>
            </w:pPr>
            <w:r>
              <w:rPr>
                <w:sz w:val="13"/>
              </w:rPr>
              <w:t>2963</w:t>
            </w:r>
          </w:p>
        </w:tc>
        <w:tc>
          <w:tcPr>
            <w:tcW w:type="dxa" w:w="1247"/>
            <w:vAlign w:val="center"/>
          </w:tcPr>
          <w:p>
            <w:pPr>
              <w:spacing w:line="216" w:lineRule="auto" w:after="0"/>
            </w:pPr>
            <w:r>
              <w:rPr>
                <w:sz w:val="13"/>
              </w:rPr>
              <w:t>439</w:t>
            </w:r>
          </w:p>
        </w:tc>
        <w:tc>
          <w:tcPr>
            <w:tcW w:type="dxa" w:w="1361"/>
            <w:vAlign w:val="center"/>
          </w:tcPr>
          <w:p>
            <w:pPr>
              <w:spacing w:line="216" w:lineRule="auto" w:after="0"/>
            </w:pPr>
            <w:r>
              <w:rPr>
                <w:sz w:val="13"/>
              </w:rPr>
              <w:t>438</w:t>
            </w:r>
          </w:p>
        </w:tc>
        <w:tc>
          <w:tcPr>
            <w:tcW w:type="dxa" w:w="1020"/>
            <w:vAlign w:val="center"/>
          </w:tcPr>
          <w:p>
            <w:pPr>
              <w:spacing w:line="216" w:lineRule="auto" w:after="0"/>
            </w:pPr>
            <w:r>
              <w:rPr>
                <w:sz w:val="13"/>
              </w:rPr>
              <w:t>2/1</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1.000</w:t>
            </w:r>
          </w:p>
        </w:tc>
      </w:tr>
      <w:tr>
        <w:trPr>
          <w:cantSplit/>
        </w:trPr>
        <w:tc>
          <w:tcPr>
            <w:tcW w:type="dxa" w:w="1361"/>
            <w:vAlign w:val="center"/>
          </w:tcPr>
          <w:p>
            <w:pPr>
              <w:spacing w:line="216" w:lineRule="auto" w:after="0"/>
            </w:pPr>
            <w:r>
              <w:rPr>
                <w:sz w:val="13"/>
              </w:rPr>
              <w:t>TITAN</w:t>
            </w:r>
          </w:p>
        </w:tc>
        <w:tc>
          <w:tcPr>
            <w:tcW w:type="dxa" w:w="964"/>
            <w:vAlign w:val="center"/>
          </w:tcPr>
          <w:p>
            <w:pPr>
              <w:spacing w:line="216" w:lineRule="auto" w:after="0"/>
            </w:pPr>
            <w:r>
              <w:rPr>
                <w:sz w:val="13"/>
              </w:rPr>
              <w:t>binary</w:t>
            </w:r>
          </w:p>
        </w:tc>
        <w:tc>
          <w:tcPr>
            <w:tcW w:type="dxa" w:w="680"/>
            <w:vAlign w:val="center"/>
          </w:tcPr>
          <w:p>
            <w:pPr>
              <w:spacing w:line="216" w:lineRule="auto" w:after="0"/>
            </w:pPr>
            <w:r>
              <w:rPr>
                <w:sz w:val="13"/>
              </w:rPr>
              <w:t>426</w:t>
            </w:r>
          </w:p>
        </w:tc>
        <w:tc>
          <w:tcPr>
            <w:tcW w:type="dxa" w:w="1247"/>
            <w:vAlign w:val="center"/>
          </w:tcPr>
          <w:p>
            <w:pPr>
              <w:spacing w:line="216" w:lineRule="auto" w:after="0"/>
            </w:pPr>
            <w:r>
              <w:rPr>
                <w:sz w:val="13"/>
              </w:rPr>
              <w:t>235</w:t>
            </w:r>
          </w:p>
        </w:tc>
        <w:tc>
          <w:tcPr>
            <w:tcW w:type="dxa" w:w="1361"/>
            <w:vAlign w:val="center"/>
          </w:tcPr>
          <w:p>
            <w:pPr>
              <w:spacing w:line="216" w:lineRule="auto" w:after="0"/>
            </w:pPr>
            <w:r>
              <w:rPr>
                <w:sz w:val="13"/>
              </w:rPr>
              <w:t>233</w:t>
            </w:r>
          </w:p>
        </w:tc>
        <w:tc>
          <w:tcPr>
            <w:tcW w:type="dxa" w:w="1020"/>
            <w:vAlign w:val="center"/>
          </w:tcPr>
          <w:p>
            <w:pPr>
              <w:spacing w:line="216" w:lineRule="auto" w:after="0"/>
            </w:pPr>
            <w:r>
              <w:rPr>
                <w:sz w:val="13"/>
              </w:rPr>
              <w:t>2/0</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0.997</w:t>
            </w:r>
          </w:p>
        </w:tc>
      </w:tr>
      <w:tr>
        <w:trPr>
          <w:cantSplit/>
        </w:trPr>
        <w:tc>
          <w:tcPr>
            <w:tcW w:type="dxa" w:w="1361"/>
            <w:vAlign w:val="center"/>
          </w:tcPr>
          <w:p>
            <w:pPr>
              <w:spacing w:line="216" w:lineRule="auto" w:after="0"/>
            </w:pPr>
            <w:r>
              <w:rPr>
                <w:sz w:val="13"/>
              </w:rPr>
              <w:t>TITAN</w:t>
            </w:r>
          </w:p>
        </w:tc>
        <w:tc>
          <w:tcPr>
            <w:tcW w:type="dxa" w:w="964"/>
            <w:vAlign w:val="center"/>
          </w:tcPr>
          <w:p>
            <w:pPr>
              <w:spacing w:line="216" w:lineRule="auto" w:after="0"/>
            </w:pPr>
            <w:r>
              <w:rPr>
                <w:sz w:val="13"/>
              </w:rPr>
              <w:t>continuous</w:t>
            </w:r>
          </w:p>
        </w:tc>
        <w:tc>
          <w:tcPr>
            <w:tcW w:type="dxa" w:w="680"/>
            <w:vAlign w:val="center"/>
          </w:tcPr>
          <w:p>
            <w:pPr>
              <w:spacing w:line="216" w:lineRule="auto" w:after="0"/>
            </w:pPr>
            <w:r>
              <w:rPr>
                <w:sz w:val="13"/>
              </w:rPr>
              <w:t>2963</w:t>
            </w:r>
          </w:p>
        </w:tc>
        <w:tc>
          <w:tcPr>
            <w:tcW w:type="dxa" w:w="1247"/>
            <w:vAlign w:val="center"/>
          </w:tcPr>
          <w:p>
            <w:pPr>
              <w:spacing w:line="216" w:lineRule="auto" w:after="0"/>
            </w:pPr>
            <w:r>
              <w:rPr>
                <w:sz w:val="13"/>
              </w:rPr>
              <w:t>669</w:t>
            </w:r>
          </w:p>
        </w:tc>
        <w:tc>
          <w:tcPr>
            <w:tcW w:type="dxa" w:w="1361"/>
            <w:vAlign w:val="center"/>
          </w:tcPr>
          <w:p>
            <w:pPr>
              <w:spacing w:line="216" w:lineRule="auto" w:after="0"/>
            </w:pPr>
            <w:r>
              <w:rPr>
                <w:sz w:val="13"/>
              </w:rPr>
              <w:t>668</w:t>
            </w:r>
          </w:p>
        </w:tc>
        <w:tc>
          <w:tcPr>
            <w:tcW w:type="dxa" w:w="1020"/>
            <w:vAlign w:val="center"/>
          </w:tcPr>
          <w:p>
            <w:pPr>
              <w:spacing w:line="216" w:lineRule="auto" w:after="0"/>
            </w:pPr>
            <w:r>
              <w:rPr>
                <w:sz w:val="13"/>
              </w:rPr>
              <w:t>2/1</w:t>
            </w:r>
          </w:p>
        </w:tc>
        <w:tc>
          <w:tcPr>
            <w:tcW w:type="dxa" w:w="1247"/>
            <w:vAlign w:val="center"/>
          </w:tcPr>
          <w:p>
            <w:pPr>
              <w:spacing w:line="216" w:lineRule="auto" w:after="0"/>
            </w:pPr>
            <w:r>
              <w:rPr>
                <w:sz w:val="13"/>
              </w:rPr>
              <w:t>0.0000</w:t>
            </w:r>
          </w:p>
        </w:tc>
        <w:tc>
          <w:tcPr>
            <w:tcW w:type="dxa" w:w="1134"/>
            <w:vAlign w:val="center"/>
          </w:tcPr>
          <w:p>
            <w:pPr>
              <w:spacing w:line="216" w:lineRule="auto" w:after="0"/>
            </w:pPr>
            <w:r>
              <w:rPr>
                <w:sz w:val="13"/>
              </w:rPr>
              <w:t>0.997</w:t>
            </w:r>
          </w:p>
        </w:tc>
      </w:tr>
    </w:tbl>
    <w:p/>
    <w:p>
      <w:r>
        <w:t>Task-level changes and the slide identifiers responsible for unequal availability are provided in the machine-readable companions. This sensitivity does not isolate representation effects because slide sets may differ among representations.</w:t>
      </w:r>
    </w:p>
    <w:p>
      <w:pPr>
        <w:pStyle w:val="Heading1"/>
      </w:pPr>
      <w:r>
        <w:t>Table S12. Catalogue-normalized representation breadth</w:t>
      </w:r>
    </w:p>
    <w:tbl>
      <w:tblPr>
        <w:tblStyle w:val="TableGrid"/>
        <w:tblW w:type="dxa" w:w="9751"/>
        <w:jc w:val="left"/>
        <w:tblLayout w:type="fixed"/>
        <w:tblLook w:firstColumn="1" w:firstRow="1" w:lastColumn="0" w:lastRow="0" w:noHBand="0" w:noVBand="1" w:val="04A0"/>
        <w:tblLayout w:type="fixed"/>
        <w:tblInd w:type="dxa" w:w="0"/>
      </w:tblPr>
      <w:tblGrid>
        <w:gridCol w:w="1417"/>
        <w:gridCol w:w="907"/>
        <w:gridCol w:w="1701"/>
        <w:gridCol w:w="1757"/>
        <w:gridCol w:w="1134"/>
        <w:gridCol w:w="1134"/>
        <w:gridCol w:w="1701"/>
      </w:tblGrid>
      <w:tr>
        <w:trPr>
          <w:tblHeader w:val="true"/>
          <w:cantSplit/>
        </w:trPr>
        <w:tc>
          <w:tcPr>
            <w:tcW w:type="dxa" w:w="1417"/>
          </w:tcPr>
          <w:p>
            <w:pPr>
              <w:spacing w:line="216" w:lineRule="auto" w:after="0"/>
            </w:pPr>
            <w:r>
              <w:rPr>
                <w:b/>
                <w:sz w:val="14"/>
              </w:rPr>
              <w:t>Representation</w:t>
            </w:r>
          </w:p>
        </w:tc>
        <w:tc>
          <w:tcPr>
            <w:tcW w:type="dxa" w:w="907"/>
          </w:tcPr>
          <w:p>
            <w:pPr>
              <w:spacing w:line="216" w:lineRule="auto" w:after="0"/>
            </w:pPr>
            <w:r>
              <w:rPr>
                <w:b/>
                <w:sz w:val="14"/>
              </w:rPr>
              <w:t>Outcome</w:t>
            </w:r>
          </w:p>
        </w:tc>
        <w:tc>
          <w:tcPr>
            <w:tcW w:type="dxa" w:w="1701"/>
          </w:tcPr>
          <w:p>
            <w:pPr>
              <w:spacing w:line="216" w:lineRule="auto" w:after="0"/>
            </w:pPr>
            <w:r>
              <w:rPr>
                <w:b/>
                <w:sz w:val="14"/>
              </w:rPr>
              <w:t>Task crossings</w:t>
            </w:r>
          </w:p>
        </w:tc>
        <w:tc>
          <w:tcPr>
            <w:tcW w:type="dxa" w:w="1757"/>
          </w:tcPr>
          <w:p>
            <w:pPr>
              <w:spacing w:line="216" w:lineRule="auto" w:after="0"/>
            </w:pPr>
            <w:r>
              <w:rPr>
                <w:b/>
                <w:sz w:val="14"/>
              </w:rPr>
              <w:t>Unique definitions</w:t>
            </w:r>
          </w:p>
        </w:tc>
        <w:tc>
          <w:tcPr>
            <w:tcW w:type="dxa" w:w="1134"/>
          </w:tcPr>
          <w:p>
            <w:pPr>
              <w:spacing w:line="216" w:lineRule="auto" w:after="0"/>
            </w:pPr>
            <w:r>
              <w:rPr>
                <w:b/>
                <w:sz w:val="14"/>
              </w:rPr>
              <w:t>Macro family %</w:t>
            </w:r>
          </w:p>
        </w:tc>
        <w:tc>
          <w:tcPr>
            <w:tcW w:type="dxa" w:w="1134"/>
          </w:tcPr>
          <w:p>
            <w:pPr>
              <w:spacing w:line="216" w:lineRule="auto" w:after="0"/>
            </w:pPr>
            <w:r>
              <w:rPr>
                <w:b/>
                <w:sz w:val="14"/>
              </w:rPr>
              <w:t>Macro cancer %</w:t>
            </w:r>
          </w:p>
        </w:tc>
        <w:tc>
          <w:tcPr>
            <w:tcW w:type="dxa" w:w="1701"/>
          </w:tcPr>
          <w:p>
            <w:pPr>
              <w:spacing w:line="216" w:lineRule="auto" w:after="0"/>
            </w:pPr>
            <w:r>
              <w:rPr>
                <w:b/>
                <w:sz w:val="14"/>
              </w:rPr>
              <w:t>Largest family share</w:t>
            </w:r>
          </w:p>
        </w:tc>
      </w:tr>
      <w:tr>
        <w:trPr>
          <w:cantSplit/>
        </w:trPr>
        <w:tc>
          <w:tcPr>
            <w:tcW w:type="dxa" w:w="1417"/>
            <w:vAlign w:val="center"/>
          </w:tcPr>
          <w:p>
            <w:pPr>
              <w:spacing w:line="216" w:lineRule="auto" w:after="0"/>
            </w:pPr>
            <w:r>
              <w:rPr>
                <w:sz w:val="13"/>
              </w:rPr>
              <w:t>Giga-SSL</w:t>
            </w:r>
          </w:p>
        </w:tc>
        <w:tc>
          <w:tcPr>
            <w:tcW w:type="dxa" w:w="907"/>
            <w:vAlign w:val="center"/>
          </w:tcPr>
          <w:p>
            <w:pPr>
              <w:spacing w:line="216" w:lineRule="auto" w:after="0"/>
            </w:pPr>
            <w:r>
              <w:rPr>
                <w:sz w:val="13"/>
              </w:rPr>
              <w:t>binary</w:t>
            </w:r>
          </w:p>
        </w:tc>
        <w:tc>
          <w:tcPr>
            <w:tcW w:type="dxa" w:w="1701"/>
            <w:vAlign w:val="center"/>
          </w:tcPr>
          <w:p>
            <w:pPr>
              <w:spacing w:line="216" w:lineRule="auto" w:after="0"/>
            </w:pPr>
            <w:r>
              <w:rPr>
                <w:sz w:val="13"/>
              </w:rPr>
              <w:t>161/426 (37.8%)</w:t>
            </w:r>
          </w:p>
        </w:tc>
        <w:tc>
          <w:tcPr>
            <w:tcW w:type="dxa" w:w="1757"/>
            <w:vAlign w:val="center"/>
          </w:tcPr>
          <w:p>
            <w:pPr>
              <w:spacing w:line="216" w:lineRule="auto" w:after="0"/>
            </w:pPr>
            <w:r>
              <w:rPr>
                <w:sz w:val="13"/>
              </w:rPr>
              <w:t>68/131 (51.9%)</w:t>
            </w:r>
          </w:p>
        </w:tc>
        <w:tc>
          <w:tcPr>
            <w:tcW w:type="dxa" w:w="1134"/>
            <w:vAlign w:val="center"/>
          </w:tcPr>
          <w:p>
            <w:pPr>
              <w:spacing w:line="216" w:lineRule="auto" w:after="0"/>
            </w:pPr>
            <w:r>
              <w:rPr>
                <w:sz w:val="13"/>
              </w:rPr>
              <w:t>59.7</w:t>
            </w:r>
          </w:p>
        </w:tc>
        <w:tc>
          <w:tcPr>
            <w:tcW w:type="dxa" w:w="1134"/>
            <w:vAlign w:val="center"/>
          </w:tcPr>
          <w:p>
            <w:pPr>
              <w:spacing w:line="216" w:lineRule="auto" w:after="0"/>
            </w:pPr>
            <w:r>
              <w:rPr>
                <w:sz w:val="13"/>
              </w:rPr>
              <w:t>43.7</w:t>
            </w:r>
          </w:p>
        </w:tc>
        <w:tc>
          <w:tcPr>
            <w:tcW w:type="dxa" w:w="1701"/>
            <w:vAlign w:val="center"/>
          </w:tcPr>
          <w:p>
            <w:pPr>
              <w:spacing w:line="216" w:lineRule="auto" w:after="0"/>
            </w:pPr>
            <w:r>
              <w:rPr>
                <w:sz w:val="13"/>
              </w:rPr>
              <w:t>driver_mutation: 47.8%</w:t>
            </w:r>
          </w:p>
        </w:tc>
      </w:tr>
      <w:tr>
        <w:trPr>
          <w:cantSplit/>
        </w:trPr>
        <w:tc>
          <w:tcPr>
            <w:tcW w:type="dxa" w:w="1417"/>
            <w:vAlign w:val="center"/>
          </w:tcPr>
          <w:p>
            <w:pPr>
              <w:spacing w:line="216" w:lineRule="auto" w:after="0"/>
            </w:pPr>
            <w:r>
              <w:rPr>
                <w:sz w:val="13"/>
              </w:rPr>
              <w:t>Giga-SSL</w:t>
            </w:r>
          </w:p>
        </w:tc>
        <w:tc>
          <w:tcPr>
            <w:tcW w:type="dxa" w:w="907"/>
            <w:vAlign w:val="center"/>
          </w:tcPr>
          <w:p>
            <w:pPr>
              <w:spacing w:line="216" w:lineRule="auto" w:after="0"/>
            </w:pPr>
            <w:r>
              <w:rPr>
                <w:sz w:val="13"/>
              </w:rPr>
              <w:t>continuous</w:t>
            </w:r>
          </w:p>
        </w:tc>
        <w:tc>
          <w:tcPr>
            <w:tcW w:type="dxa" w:w="1701"/>
            <w:vAlign w:val="center"/>
          </w:tcPr>
          <w:p>
            <w:pPr>
              <w:spacing w:line="216" w:lineRule="auto" w:after="0"/>
            </w:pPr>
            <w:r>
              <w:rPr>
                <w:sz w:val="13"/>
              </w:rPr>
              <w:t>351/2963 (11.8%)</w:t>
            </w:r>
          </w:p>
        </w:tc>
        <w:tc>
          <w:tcPr>
            <w:tcW w:type="dxa" w:w="1757"/>
            <w:vAlign w:val="center"/>
          </w:tcPr>
          <w:p>
            <w:pPr>
              <w:spacing w:line="216" w:lineRule="auto" w:after="0"/>
            </w:pPr>
            <w:r>
              <w:rPr>
                <w:sz w:val="13"/>
              </w:rPr>
              <w:t>79/108 (73.1%)</w:t>
            </w:r>
          </w:p>
        </w:tc>
        <w:tc>
          <w:tcPr>
            <w:tcW w:type="dxa" w:w="1134"/>
            <w:vAlign w:val="center"/>
          </w:tcPr>
          <w:p>
            <w:pPr>
              <w:spacing w:line="216" w:lineRule="auto" w:after="0"/>
            </w:pPr>
            <w:r>
              <w:rPr>
                <w:sz w:val="13"/>
              </w:rPr>
              <w:t>6.1</w:t>
            </w:r>
          </w:p>
        </w:tc>
        <w:tc>
          <w:tcPr>
            <w:tcW w:type="dxa" w:w="1134"/>
            <w:vAlign w:val="center"/>
          </w:tcPr>
          <w:p>
            <w:pPr>
              <w:spacing w:line="216" w:lineRule="auto" w:after="0"/>
            </w:pPr>
            <w:r>
              <w:rPr>
                <w:sz w:val="13"/>
              </w:rPr>
              <w:t>11.8</w:t>
            </w:r>
          </w:p>
        </w:tc>
        <w:tc>
          <w:tcPr>
            <w:tcW w:type="dxa" w:w="1701"/>
            <w:vAlign w:val="center"/>
          </w:tcPr>
          <w:p>
            <w:pPr>
              <w:spacing w:line="216" w:lineRule="auto" w:after="0"/>
            </w:pPr>
            <w:r>
              <w:rPr>
                <w:sz w:val="13"/>
              </w:rPr>
              <w:t>rna_pathway_activity: 70.4%</w:t>
            </w:r>
          </w:p>
        </w:tc>
      </w:tr>
      <w:tr>
        <w:trPr>
          <w:cantSplit/>
        </w:trPr>
        <w:tc>
          <w:tcPr>
            <w:tcW w:type="dxa" w:w="1417"/>
            <w:vAlign w:val="center"/>
          </w:tcPr>
          <w:p>
            <w:pPr>
              <w:spacing w:line="216" w:lineRule="auto" w:after="0"/>
            </w:pPr>
            <w:r>
              <w:rPr>
                <w:sz w:val="13"/>
              </w:rPr>
              <w:t>Prov-GigaPath</w:t>
            </w:r>
          </w:p>
        </w:tc>
        <w:tc>
          <w:tcPr>
            <w:tcW w:type="dxa" w:w="907"/>
            <w:vAlign w:val="center"/>
          </w:tcPr>
          <w:p>
            <w:pPr>
              <w:spacing w:line="216" w:lineRule="auto" w:after="0"/>
            </w:pPr>
            <w:r>
              <w:rPr>
                <w:sz w:val="13"/>
              </w:rPr>
              <w:t>binary</w:t>
            </w:r>
          </w:p>
        </w:tc>
        <w:tc>
          <w:tcPr>
            <w:tcW w:type="dxa" w:w="1701"/>
            <w:vAlign w:val="center"/>
          </w:tcPr>
          <w:p>
            <w:pPr>
              <w:spacing w:line="216" w:lineRule="auto" w:after="0"/>
            </w:pPr>
            <w:r>
              <w:rPr>
                <w:sz w:val="13"/>
              </w:rPr>
              <w:t>179/426 (42.0%)</w:t>
            </w:r>
          </w:p>
        </w:tc>
        <w:tc>
          <w:tcPr>
            <w:tcW w:type="dxa" w:w="1757"/>
            <w:vAlign w:val="center"/>
          </w:tcPr>
          <w:p>
            <w:pPr>
              <w:spacing w:line="216" w:lineRule="auto" w:after="0"/>
            </w:pPr>
            <w:r>
              <w:rPr>
                <w:sz w:val="13"/>
              </w:rPr>
              <w:t>72/131 (55.0%)</w:t>
            </w:r>
          </w:p>
        </w:tc>
        <w:tc>
          <w:tcPr>
            <w:tcW w:type="dxa" w:w="1134"/>
            <w:vAlign w:val="center"/>
          </w:tcPr>
          <w:p>
            <w:pPr>
              <w:spacing w:line="216" w:lineRule="auto" w:after="0"/>
            </w:pPr>
            <w:r>
              <w:rPr>
                <w:sz w:val="13"/>
              </w:rPr>
              <w:t>66.1</w:t>
            </w:r>
          </w:p>
        </w:tc>
        <w:tc>
          <w:tcPr>
            <w:tcW w:type="dxa" w:w="1134"/>
            <w:vAlign w:val="center"/>
          </w:tcPr>
          <w:p>
            <w:pPr>
              <w:spacing w:line="216" w:lineRule="auto" w:after="0"/>
            </w:pPr>
            <w:r>
              <w:rPr>
                <w:sz w:val="13"/>
              </w:rPr>
              <w:t>41.4</w:t>
            </w:r>
          </w:p>
        </w:tc>
        <w:tc>
          <w:tcPr>
            <w:tcW w:type="dxa" w:w="1701"/>
            <w:vAlign w:val="center"/>
          </w:tcPr>
          <w:p>
            <w:pPr>
              <w:spacing w:line="216" w:lineRule="auto" w:after="0"/>
            </w:pPr>
            <w:r>
              <w:rPr>
                <w:sz w:val="13"/>
              </w:rPr>
              <w:t>driver_mutation: 48.6%</w:t>
            </w:r>
          </w:p>
        </w:tc>
      </w:tr>
      <w:tr>
        <w:trPr>
          <w:cantSplit/>
        </w:trPr>
        <w:tc>
          <w:tcPr>
            <w:tcW w:type="dxa" w:w="1417"/>
            <w:vAlign w:val="center"/>
          </w:tcPr>
          <w:p>
            <w:pPr>
              <w:spacing w:line="216" w:lineRule="auto" w:after="0"/>
            </w:pPr>
            <w:r>
              <w:rPr>
                <w:sz w:val="13"/>
              </w:rPr>
              <w:t>Prov-GigaPath</w:t>
            </w:r>
          </w:p>
        </w:tc>
        <w:tc>
          <w:tcPr>
            <w:tcW w:type="dxa" w:w="907"/>
            <w:vAlign w:val="center"/>
          </w:tcPr>
          <w:p>
            <w:pPr>
              <w:spacing w:line="216" w:lineRule="auto" w:after="0"/>
            </w:pPr>
            <w:r>
              <w:rPr>
                <w:sz w:val="13"/>
              </w:rPr>
              <w:t>continuous</w:t>
            </w:r>
          </w:p>
        </w:tc>
        <w:tc>
          <w:tcPr>
            <w:tcW w:type="dxa" w:w="1701"/>
            <w:vAlign w:val="center"/>
          </w:tcPr>
          <w:p>
            <w:pPr>
              <w:spacing w:line="216" w:lineRule="auto" w:after="0"/>
            </w:pPr>
            <w:r>
              <w:rPr>
                <w:sz w:val="13"/>
              </w:rPr>
              <w:t>439/2963 (14.8%)</w:t>
            </w:r>
          </w:p>
        </w:tc>
        <w:tc>
          <w:tcPr>
            <w:tcW w:type="dxa" w:w="1757"/>
            <w:vAlign w:val="center"/>
          </w:tcPr>
          <w:p>
            <w:pPr>
              <w:spacing w:line="216" w:lineRule="auto" w:after="0"/>
            </w:pPr>
            <w:r>
              <w:rPr>
                <w:sz w:val="13"/>
              </w:rPr>
              <w:t>81/108 (75.0%)</w:t>
            </w:r>
          </w:p>
        </w:tc>
        <w:tc>
          <w:tcPr>
            <w:tcW w:type="dxa" w:w="1134"/>
            <w:vAlign w:val="center"/>
          </w:tcPr>
          <w:p>
            <w:pPr>
              <w:spacing w:line="216" w:lineRule="auto" w:after="0"/>
            </w:pPr>
            <w:r>
              <w:rPr>
                <w:sz w:val="13"/>
              </w:rPr>
              <w:t>8.2</w:t>
            </w:r>
          </w:p>
        </w:tc>
        <w:tc>
          <w:tcPr>
            <w:tcW w:type="dxa" w:w="1134"/>
            <w:vAlign w:val="center"/>
          </w:tcPr>
          <w:p>
            <w:pPr>
              <w:spacing w:line="216" w:lineRule="auto" w:after="0"/>
            </w:pPr>
            <w:r>
              <w:rPr>
                <w:sz w:val="13"/>
              </w:rPr>
              <w:t>14.7</w:t>
            </w:r>
          </w:p>
        </w:tc>
        <w:tc>
          <w:tcPr>
            <w:tcW w:type="dxa" w:w="1701"/>
            <w:vAlign w:val="center"/>
          </w:tcPr>
          <w:p>
            <w:pPr>
              <w:spacing w:line="216" w:lineRule="auto" w:after="0"/>
            </w:pPr>
            <w:r>
              <w:rPr>
                <w:sz w:val="13"/>
              </w:rPr>
              <w:t>rna_pathway_activity: 69.0%</w:t>
            </w:r>
          </w:p>
        </w:tc>
      </w:tr>
      <w:tr>
        <w:trPr>
          <w:cantSplit/>
        </w:trPr>
        <w:tc>
          <w:tcPr>
            <w:tcW w:type="dxa" w:w="1417"/>
            <w:vAlign w:val="center"/>
          </w:tcPr>
          <w:p>
            <w:pPr>
              <w:spacing w:line="216" w:lineRule="auto" w:after="0"/>
            </w:pPr>
            <w:r>
              <w:rPr>
                <w:sz w:val="13"/>
              </w:rPr>
              <w:t>TITAN</w:t>
            </w:r>
          </w:p>
        </w:tc>
        <w:tc>
          <w:tcPr>
            <w:tcW w:type="dxa" w:w="907"/>
            <w:vAlign w:val="center"/>
          </w:tcPr>
          <w:p>
            <w:pPr>
              <w:spacing w:line="216" w:lineRule="auto" w:after="0"/>
            </w:pPr>
            <w:r>
              <w:rPr>
                <w:sz w:val="13"/>
              </w:rPr>
              <w:t>binary</w:t>
            </w:r>
          </w:p>
        </w:tc>
        <w:tc>
          <w:tcPr>
            <w:tcW w:type="dxa" w:w="1701"/>
            <w:vAlign w:val="center"/>
          </w:tcPr>
          <w:p>
            <w:pPr>
              <w:spacing w:line="216" w:lineRule="auto" w:after="0"/>
            </w:pPr>
            <w:r>
              <w:rPr>
                <w:sz w:val="13"/>
              </w:rPr>
              <w:t>235/426 (55.2%)</w:t>
            </w:r>
          </w:p>
        </w:tc>
        <w:tc>
          <w:tcPr>
            <w:tcW w:type="dxa" w:w="1757"/>
            <w:vAlign w:val="center"/>
          </w:tcPr>
          <w:p>
            <w:pPr>
              <w:spacing w:line="216" w:lineRule="auto" w:after="0"/>
            </w:pPr>
            <w:r>
              <w:rPr>
                <w:sz w:val="13"/>
              </w:rPr>
              <w:t>93/131 (71.0%)</w:t>
            </w:r>
          </w:p>
        </w:tc>
        <w:tc>
          <w:tcPr>
            <w:tcW w:type="dxa" w:w="1134"/>
            <w:vAlign w:val="center"/>
          </w:tcPr>
          <w:p>
            <w:pPr>
              <w:spacing w:line="216" w:lineRule="auto" w:after="0"/>
            </w:pPr>
            <w:r>
              <w:rPr>
                <w:sz w:val="13"/>
              </w:rPr>
              <w:t>72.7</w:t>
            </w:r>
          </w:p>
        </w:tc>
        <w:tc>
          <w:tcPr>
            <w:tcW w:type="dxa" w:w="1134"/>
            <w:vAlign w:val="center"/>
          </w:tcPr>
          <w:p>
            <w:pPr>
              <w:spacing w:line="216" w:lineRule="auto" w:after="0"/>
            </w:pPr>
            <w:r>
              <w:rPr>
                <w:sz w:val="13"/>
              </w:rPr>
              <w:t>50.7</w:t>
            </w:r>
          </w:p>
        </w:tc>
        <w:tc>
          <w:tcPr>
            <w:tcW w:type="dxa" w:w="1701"/>
            <w:vAlign w:val="center"/>
          </w:tcPr>
          <w:p>
            <w:pPr>
              <w:spacing w:line="216" w:lineRule="auto" w:after="0"/>
            </w:pPr>
            <w:r>
              <w:rPr>
                <w:sz w:val="13"/>
              </w:rPr>
              <w:t>driver_mutation: 52.3%</w:t>
            </w:r>
          </w:p>
        </w:tc>
      </w:tr>
      <w:tr>
        <w:trPr>
          <w:cantSplit/>
        </w:trPr>
        <w:tc>
          <w:tcPr>
            <w:tcW w:type="dxa" w:w="1417"/>
            <w:vAlign w:val="center"/>
          </w:tcPr>
          <w:p>
            <w:pPr>
              <w:spacing w:line="216" w:lineRule="auto" w:after="0"/>
            </w:pPr>
            <w:r>
              <w:rPr>
                <w:sz w:val="13"/>
              </w:rPr>
              <w:t>TITAN</w:t>
            </w:r>
          </w:p>
        </w:tc>
        <w:tc>
          <w:tcPr>
            <w:tcW w:type="dxa" w:w="907"/>
            <w:vAlign w:val="center"/>
          </w:tcPr>
          <w:p>
            <w:pPr>
              <w:spacing w:line="216" w:lineRule="auto" w:after="0"/>
            </w:pPr>
            <w:r>
              <w:rPr>
                <w:sz w:val="13"/>
              </w:rPr>
              <w:t>continuous</w:t>
            </w:r>
          </w:p>
        </w:tc>
        <w:tc>
          <w:tcPr>
            <w:tcW w:type="dxa" w:w="1701"/>
            <w:vAlign w:val="center"/>
          </w:tcPr>
          <w:p>
            <w:pPr>
              <w:spacing w:line="216" w:lineRule="auto" w:after="0"/>
            </w:pPr>
            <w:r>
              <w:rPr>
                <w:sz w:val="13"/>
              </w:rPr>
              <w:t>669/2963 (22.6%)</w:t>
            </w:r>
          </w:p>
        </w:tc>
        <w:tc>
          <w:tcPr>
            <w:tcW w:type="dxa" w:w="1757"/>
            <w:vAlign w:val="center"/>
          </w:tcPr>
          <w:p>
            <w:pPr>
              <w:spacing w:line="216" w:lineRule="auto" w:after="0"/>
            </w:pPr>
            <w:r>
              <w:rPr>
                <w:sz w:val="13"/>
              </w:rPr>
              <w:t>93/108 (86.1%)</w:t>
            </w:r>
          </w:p>
        </w:tc>
        <w:tc>
          <w:tcPr>
            <w:tcW w:type="dxa" w:w="1134"/>
            <w:vAlign w:val="center"/>
          </w:tcPr>
          <w:p>
            <w:pPr>
              <w:spacing w:line="216" w:lineRule="auto" w:after="0"/>
            </w:pPr>
            <w:r>
              <w:rPr>
                <w:sz w:val="13"/>
              </w:rPr>
              <w:t>12.8</w:t>
            </w:r>
          </w:p>
        </w:tc>
        <w:tc>
          <w:tcPr>
            <w:tcW w:type="dxa" w:w="1134"/>
            <w:vAlign w:val="center"/>
          </w:tcPr>
          <w:p>
            <w:pPr>
              <w:spacing w:line="216" w:lineRule="auto" w:after="0"/>
            </w:pPr>
            <w:r>
              <w:rPr>
                <w:sz w:val="13"/>
              </w:rPr>
              <w:t>22.5</w:t>
            </w:r>
          </w:p>
        </w:tc>
        <w:tc>
          <w:tcPr>
            <w:tcW w:type="dxa" w:w="1701"/>
            <w:vAlign w:val="center"/>
          </w:tcPr>
          <w:p>
            <w:pPr>
              <w:spacing w:line="216" w:lineRule="auto" w:after="0"/>
            </w:pPr>
            <w:r>
              <w:rPr>
                <w:sz w:val="13"/>
              </w:rPr>
              <w:t>rna_pathway_activity: 68.6%</w:t>
            </w:r>
          </w:p>
        </w:tc>
      </w:tr>
    </w:tbl>
    <w:p/>
    <w:p>
      <w:r>
        <w:t>Complete family, cancer, endpoint-definition and biological-programme retention tables remain in the normalized-breadth companion files. Counts describe catalogue breadth, not independent biological discoveries.</w:t>
      </w:r>
    </w:p>
    <w:p>
      <w:pPr>
        <w:pStyle w:val="Heading1"/>
      </w:pPr>
      <w:r>
        <w:t>Table S13. Endpoint-provenance stratification and same-H&amp;E sensitivity</w:t>
      </w:r>
    </w:p>
    <w:tbl>
      <w:tblPr>
        <w:tblStyle w:val="TableGrid"/>
        <w:tblW w:type="dxa" w:w="7823"/>
        <w:jc w:val="left"/>
        <w:tblLayout w:type="fixed"/>
        <w:tblLook w:firstColumn="1" w:firstRow="1" w:lastColumn="0" w:lastRow="0" w:noHBand="0" w:noVBand="1" w:val="04A0"/>
        <w:tblLayout w:type="fixed"/>
        <w:tblInd w:type="dxa" w:w="0"/>
      </w:tblPr>
      <w:tblGrid>
        <w:gridCol w:w="1304"/>
        <w:gridCol w:w="850"/>
        <w:gridCol w:w="2835"/>
        <w:gridCol w:w="850"/>
        <w:gridCol w:w="964"/>
        <w:gridCol w:w="1020"/>
      </w:tblGrid>
      <w:tr>
        <w:trPr>
          <w:tblHeader w:val="true"/>
          <w:cantSplit/>
        </w:trPr>
        <w:tc>
          <w:tcPr>
            <w:tcW w:type="dxa" w:w="1304"/>
          </w:tcPr>
          <w:p>
            <w:pPr>
              <w:spacing w:line="216" w:lineRule="auto" w:after="0"/>
            </w:pPr>
            <w:r>
              <w:rPr>
                <w:b/>
                <w:sz w:val="13"/>
              </w:rPr>
              <w:t>Representation</w:t>
            </w:r>
          </w:p>
        </w:tc>
        <w:tc>
          <w:tcPr>
            <w:tcW w:type="dxa" w:w="850"/>
          </w:tcPr>
          <w:p>
            <w:pPr>
              <w:spacing w:line="216" w:lineRule="auto" w:after="0"/>
            </w:pPr>
            <w:r>
              <w:rPr>
                <w:b/>
                <w:sz w:val="13"/>
              </w:rPr>
              <w:t>Outcome</w:t>
            </w:r>
          </w:p>
        </w:tc>
        <w:tc>
          <w:tcPr>
            <w:tcW w:type="dxa" w:w="2835"/>
          </w:tcPr>
          <w:p>
            <w:pPr>
              <w:spacing w:line="216" w:lineRule="auto" w:after="0"/>
            </w:pPr>
            <w:r>
              <w:rPr>
                <w:b/>
                <w:sz w:val="13"/>
              </w:rPr>
              <w:t>Measurement class</w:t>
            </w:r>
          </w:p>
        </w:tc>
        <w:tc>
          <w:tcPr>
            <w:tcW w:type="dxa" w:w="850"/>
          </w:tcPr>
          <w:p>
            <w:pPr>
              <w:spacing w:line="216" w:lineRule="auto" w:after="0"/>
            </w:pPr>
            <w:r>
              <w:rPr>
                <w:b/>
                <w:sz w:val="13"/>
              </w:rPr>
              <w:t>Eligible</w:t>
            </w:r>
          </w:p>
        </w:tc>
        <w:tc>
          <w:tcPr>
            <w:tcW w:type="dxa" w:w="964"/>
          </w:tcPr>
          <w:p>
            <w:pPr>
              <w:spacing w:line="216" w:lineRule="auto" w:after="0"/>
            </w:pPr>
            <w:r>
              <w:rPr>
                <w:b/>
                <w:sz w:val="13"/>
              </w:rPr>
              <w:t>Crossings</w:t>
            </w:r>
          </w:p>
        </w:tc>
        <w:tc>
          <w:tcPr>
            <w:tcW w:type="dxa" w:w="1020"/>
          </w:tcPr>
          <w:p>
            <w:pPr>
              <w:spacing w:line="216" w:lineRule="auto" w:after="0"/>
            </w:pPr>
            <w:r>
              <w:rPr>
                <w:b/>
                <w:sz w:val="13"/>
              </w:rPr>
              <w:t>Crossing %</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183</w:t>
            </w:r>
          </w:p>
        </w:tc>
        <w:tc>
          <w:tcPr>
            <w:tcW w:type="dxa" w:w="964"/>
            <w:vAlign w:val="center"/>
          </w:tcPr>
          <w:p>
            <w:pPr>
              <w:spacing w:line="216" w:lineRule="auto" w:after="0"/>
            </w:pPr>
            <w:r>
              <w:rPr>
                <w:sz w:val="13"/>
              </w:rPr>
              <w:t>73</w:t>
            </w:r>
          </w:p>
        </w:tc>
        <w:tc>
          <w:tcPr>
            <w:tcW w:type="dxa" w:w="1020"/>
            <w:vAlign w:val="center"/>
          </w:tcPr>
          <w:p>
            <w:pPr>
              <w:spacing w:line="216" w:lineRule="auto" w:after="0"/>
            </w:pPr>
            <w:r>
              <w:rPr>
                <w:sz w:val="13"/>
              </w:rPr>
              <w:t>39.9</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183</w:t>
            </w:r>
          </w:p>
        </w:tc>
        <w:tc>
          <w:tcPr>
            <w:tcW w:type="dxa" w:w="964"/>
            <w:vAlign w:val="center"/>
          </w:tcPr>
          <w:p>
            <w:pPr>
              <w:spacing w:line="216" w:lineRule="auto" w:after="0"/>
            </w:pPr>
            <w:r>
              <w:rPr>
                <w:sz w:val="13"/>
              </w:rPr>
              <w:t>81</w:t>
            </w:r>
          </w:p>
        </w:tc>
        <w:tc>
          <w:tcPr>
            <w:tcW w:type="dxa" w:w="1020"/>
            <w:vAlign w:val="center"/>
          </w:tcPr>
          <w:p>
            <w:pPr>
              <w:spacing w:line="216" w:lineRule="auto" w:after="0"/>
            </w:pPr>
            <w:r>
              <w:rPr>
                <w:sz w:val="13"/>
              </w:rPr>
              <w:t>44.3</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183</w:t>
            </w:r>
          </w:p>
        </w:tc>
        <w:tc>
          <w:tcPr>
            <w:tcW w:type="dxa" w:w="964"/>
            <w:vAlign w:val="center"/>
          </w:tcPr>
          <w:p>
            <w:pPr>
              <w:spacing w:line="216" w:lineRule="auto" w:after="0"/>
            </w:pPr>
            <w:r>
              <w:rPr>
                <w:sz w:val="13"/>
              </w:rPr>
              <w:t>99</w:t>
            </w:r>
          </w:p>
        </w:tc>
        <w:tc>
          <w:tcPr>
            <w:tcW w:type="dxa" w:w="1020"/>
            <w:vAlign w:val="center"/>
          </w:tcPr>
          <w:p>
            <w:pPr>
              <w:spacing w:line="216" w:lineRule="auto" w:after="0"/>
            </w:pPr>
            <w:r>
              <w:rPr>
                <w:sz w:val="13"/>
              </w:rPr>
              <w:t>54.1</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directly observed genomic alteration</w:t>
            </w:r>
          </w:p>
        </w:tc>
        <w:tc>
          <w:tcPr>
            <w:tcW w:type="dxa" w:w="850"/>
            <w:vAlign w:val="center"/>
          </w:tcPr>
          <w:p>
            <w:pPr>
              <w:spacing w:line="216" w:lineRule="auto" w:after="0"/>
            </w:pPr>
            <w:r>
              <w:rPr>
                <w:sz w:val="13"/>
              </w:rPr>
              <w:t>243</w:t>
            </w:r>
          </w:p>
        </w:tc>
        <w:tc>
          <w:tcPr>
            <w:tcW w:type="dxa" w:w="964"/>
            <w:vAlign w:val="center"/>
          </w:tcPr>
          <w:p>
            <w:pPr>
              <w:spacing w:line="216" w:lineRule="auto" w:after="0"/>
            </w:pPr>
            <w:r>
              <w:rPr>
                <w:sz w:val="13"/>
              </w:rPr>
              <w:t>88</w:t>
            </w:r>
          </w:p>
        </w:tc>
        <w:tc>
          <w:tcPr>
            <w:tcW w:type="dxa" w:w="1020"/>
            <w:vAlign w:val="center"/>
          </w:tcPr>
          <w:p>
            <w:pPr>
              <w:spacing w:line="216" w:lineRule="auto" w:after="0"/>
            </w:pPr>
            <w:r>
              <w:rPr>
                <w:sz w:val="13"/>
              </w:rPr>
              <w:t>36.2</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directly observed genomic alteration</w:t>
            </w:r>
          </w:p>
        </w:tc>
        <w:tc>
          <w:tcPr>
            <w:tcW w:type="dxa" w:w="850"/>
            <w:vAlign w:val="center"/>
          </w:tcPr>
          <w:p>
            <w:pPr>
              <w:spacing w:line="216" w:lineRule="auto" w:after="0"/>
            </w:pPr>
            <w:r>
              <w:rPr>
                <w:sz w:val="13"/>
              </w:rPr>
              <w:t>243</w:t>
            </w:r>
          </w:p>
        </w:tc>
        <w:tc>
          <w:tcPr>
            <w:tcW w:type="dxa" w:w="964"/>
            <w:vAlign w:val="center"/>
          </w:tcPr>
          <w:p>
            <w:pPr>
              <w:spacing w:line="216" w:lineRule="auto" w:after="0"/>
            </w:pPr>
            <w:r>
              <w:rPr>
                <w:sz w:val="13"/>
              </w:rPr>
              <w:t>98</w:t>
            </w:r>
          </w:p>
        </w:tc>
        <w:tc>
          <w:tcPr>
            <w:tcW w:type="dxa" w:w="1020"/>
            <w:vAlign w:val="center"/>
          </w:tcPr>
          <w:p>
            <w:pPr>
              <w:spacing w:line="216" w:lineRule="auto" w:after="0"/>
            </w:pPr>
            <w:r>
              <w:rPr>
                <w:sz w:val="13"/>
              </w:rPr>
              <w:t>40.3</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binary</w:t>
            </w:r>
          </w:p>
        </w:tc>
        <w:tc>
          <w:tcPr>
            <w:tcW w:type="dxa" w:w="2835"/>
            <w:vAlign w:val="center"/>
          </w:tcPr>
          <w:p>
            <w:pPr>
              <w:spacing w:line="216" w:lineRule="auto" w:after="0"/>
            </w:pPr>
            <w:r>
              <w:rPr>
                <w:sz w:val="13"/>
              </w:rPr>
              <w:t>directly observed genomic alteration</w:t>
            </w:r>
          </w:p>
        </w:tc>
        <w:tc>
          <w:tcPr>
            <w:tcW w:type="dxa" w:w="850"/>
            <w:vAlign w:val="center"/>
          </w:tcPr>
          <w:p>
            <w:pPr>
              <w:spacing w:line="216" w:lineRule="auto" w:after="0"/>
            </w:pPr>
            <w:r>
              <w:rPr>
                <w:sz w:val="13"/>
              </w:rPr>
              <w:t>243</w:t>
            </w:r>
          </w:p>
        </w:tc>
        <w:tc>
          <w:tcPr>
            <w:tcW w:type="dxa" w:w="964"/>
            <w:vAlign w:val="center"/>
          </w:tcPr>
          <w:p>
            <w:pPr>
              <w:spacing w:line="216" w:lineRule="auto" w:after="0"/>
            </w:pPr>
            <w:r>
              <w:rPr>
                <w:sz w:val="13"/>
              </w:rPr>
              <w:t>136</w:t>
            </w:r>
          </w:p>
        </w:tc>
        <w:tc>
          <w:tcPr>
            <w:tcW w:type="dxa" w:w="1020"/>
            <w:vAlign w:val="center"/>
          </w:tcPr>
          <w:p>
            <w:pPr>
              <w:spacing w:line="216" w:lineRule="auto" w:after="0"/>
            </w:pPr>
            <w:r>
              <w:rPr>
                <w:sz w:val="13"/>
              </w:rPr>
              <w:t>56.0</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166</w:t>
            </w:r>
          </w:p>
        </w:tc>
        <w:tc>
          <w:tcPr>
            <w:tcW w:type="dxa" w:w="964"/>
            <w:vAlign w:val="center"/>
          </w:tcPr>
          <w:p>
            <w:pPr>
              <w:spacing w:line="216" w:lineRule="auto" w:after="0"/>
            </w:pPr>
            <w:r>
              <w:rPr>
                <w:sz w:val="13"/>
              </w:rPr>
              <w:t>13</w:t>
            </w:r>
          </w:p>
        </w:tc>
        <w:tc>
          <w:tcPr>
            <w:tcW w:type="dxa" w:w="1020"/>
            <w:vAlign w:val="center"/>
          </w:tcPr>
          <w:p>
            <w:pPr>
              <w:spacing w:line="216" w:lineRule="auto" w:after="0"/>
            </w:pPr>
            <w:r>
              <w:rPr>
                <w:sz w:val="13"/>
              </w:rPr>
              <w:t>7.8</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166</w:t>
            </w:r>
          </w:p>
        </w:tc>
        <w:tc>
          <w:tcPr>
            <w:tcW w:type="dxa" w:w="964"/>
            <w:vAlign w:val="center"/>
          </w:tcPr>
          <w:p>
            <w:pPr>
              <w:spacing w:line="216" w:lineRule="auto" w:after="0"/>
            </w:pPr>
            <w:r>
              <w:rPr>
                <w:sz w:val="13"/>
              </w:rPr>
              <w:t>20</w:t>
            </w:r>
          </w:p>
        </w:tc>
        <w:tc>
          <w:tcPr>
            <w:tcW w:type="dxa" w:w="1020"/>
            <w:vAlign w:val="center"/>
          </w:tcPr>
          <w:p>
            <w:pPr>
              <w:spacing w:line="216" w:lineRule="auto" w:after="0"/>
            </w:pPr>
            <w:r>
              <w:rPr>
                <w:sz w:val="13"/>
              </w:rPr>
              <w:t>12.0</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composite genomic-context score</w:t>
            </w:r>
          </w:p>
        </w:tc>
        <w:tc>
          <w:tcPr>
            <w:tcW w:type="dxa" w:w="850"/>
            <w:vAlign w:val="center"/>
          </w:tcPr>
          <w:p>
            <w:pPr>
              <w:spacing w:line="216" w:lineRule="auto" w:after="0"/>
            </w:pPr>
            <w:r>
              <w:rPr>
                <w:sz w:val="13"/>
              </w:rPr>
              <w:t>166</w:t>
            </w:r>
          </w:p>
        </w:tc>
        <w:tc>
          <w:tcPr>
            <w:tcW w:type="dxa" w:w="964"/>
            <w:vAlign w:val="center"/>
          </w:tcPr>
          <w:p>
            <w:pPr>
              <w:spacing w:line="216" w:lineRule="auto" w:after="0"/>
            </w:pPr>
            <w:r>
              <w:rPr>
                <w:sz w:val="13"/>
              </w:rPr>
              <w:t>34</w:t>
            </w:r>
          </w:p>
        </w:tc>
        <w:tc>
          <w:tcPr>
            <w:tcW w:type="dxa" w:w="1020"/>
            <w:vAlign w:val="center"/>
          </w:tcPr>
          <w:p>
            <w:pPr>
              <w:spacing w:line="216" w:lineRule="auto" w:after="0"/>
            </w:pPr>
            <w:r>
              <w:rPr>
                <w:sz w:val="13"/>
              </w:rPr>
              <w:t>20.5</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computationally inferred immune-cell fraction</w:t>
            </w:r>
          </w:p>
        </w:tc>
        <w:tc>
          <w:tcPr>
            <w:tcW w:type="dxa" w:w="850"/>
            <w:vAlign w:val="center"/>
          </w:tcPr>
          <w:p>
            <w:pPr>
              <w:spacing w:line="216" w:lineRule="auto" w:after="0"/>
            </w:pPr>
            <w:r>
              <w:rPr>
                <w:sz w:val="13"/>
              </w:rPr>
              <w:t>638</w:t>
            </w:r>
          </w:p>
        </w:tc>
        <w:tc>
          <w:tcPr>
            <w:tcW w:type="dxa" w:w="964"/>
            <w:vAlign w:val="center"/>
          </w:tcPr>
          <w:p>
            <w:pPr>
              <w:spacing w:line="216" w:lineRule="auto" w:after="0"/>
            </w:pPr>
            <w:r>
              <w:rPr>
                <w:sz w:val="13"/>
              </w:rPr>
              <w:t>16</w:t>
            </w:r>
          </w:p>
        </w:tc>
        <w:tc>
          <w:tcPr>
            <w:tcW w:type="dxa" w:w="1020"/>
            <w:vAlign w:val="center"/>
          </w:tcPr>
          <w:p>
            <w:pPr>
              <w:spacing w:line="216" w:lineRule="auto" w:after="0"/>
            </w:pPr>
            <w:r>
              <w:rPr>
                <w:sz w:val="13"/>
              </w:rPr>
              <w:t>2.5</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computationally inferred immune-cell fraction</w:t>
            </w:r>
          </w:p>
        </w:tc>
        <w:tc>
          <w:tcPr>
            <w:tcW w:type="dxa" w:w="850"/>
            <w:vAlign w:val="center"/>
          </w:tcPr>
          <w:p>
            <w:pPr>
              <w:spacing w:line="216" w:lineRule="auto" w:after="0"/>
            </w:pPr>
            <w:r>
              <w:rPr>
                <w:sz w:val="13"/>
              </w:rPr>
              <w:t>638</w:t>
            </w:r>
          </w:p>
        </w:tc>
        <w:tc>
          <w:tcPr>
            <w:tcW w:type="dxa" w:w="964"/>
            <w:vAlign w:val="center"/>
          </w:tcPr>
          <w:p>
            <w:pPr>
              <w:spacing w:line="216" w:lineRule="auto" w:after="0"/>
            </w:pPr>
            <w:r>
              <w:rPr>
                <w:sz w:val="13"/>
              </w:rPr>
              <w:t>19</w:t>
            </w:r>
          </w:p>
        </w:tc>
        <w:tc>
          <w:tcPr>
            <w:tcW w:type="dxa" w:w="1020"/>
            <w:vAlign w:val="center"/>
          </w:tcPr>
          <w:p>
            <w:pPr>
              <w:spacing w:line="216" w:lineRule="auto" w:after="0"/>
            </w:pPr>
            <w:r>
              <w:rPr>
                <w:sz w:val="13"/>
              </w:rPr>
              <w:t>3.0</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computationally inferred immune-cell fraction</w:t>
            </w:r>
          </w:p>
        </w:tc>
        <w:tc>
          <w:tcPr>
            <w:tcW w:type="dxa" w:w="850"/>
            <w:vAlign w:val="center"/>
          </w:tcPr>
          <w:p>
            <w:pPr>
              <w:spacing w:line="216" w:lineRule="auto" w:after="0"/>
            </w:pPr>
            <w:r>
              <w:rPr>
                <w:sz w:val="13"/>
              </w:rPr>
              <w:t>638</w:t>
            </w:r>
          </w:p>
        </w:tc>
        <w:tc>
          <w:tcPr>
            <w:tcW w:type="dxa" w:w="964"/>
            <w:vAlign w:val="center"/>
          </w:tcPr>
          <w:p>
            <w:pPr>
              <w:spacing w:line="216" w:lineRule="auto" w:after="0"/>
            </w:pPr>
            <w:r>
              <w:rPr>
                <w:sz w:val="13"/>
              </w:rPr>
              <w:t>32</w:t>
            </w:r>
          </w:p>
        </w:tc>
        <w:tc>
          <w:tcPr>
            <w:tcW w:type="dxa" w:w="1020"/>
            <w:vAlign w:val="center"/>
          </w:tcPr>
          <w:p>
            <w:pPr>
              <w:spacing w:line="216" w:lineRule="auto" w:after="0"/>
            </w:pPr>
            <w:r>
              <w:rPr>
                <w:sz w:val="13"/>
              </w:rPr>
              <w:t>5.0</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pathology-associated quantity</w:t>
            </w:r>
          </w:p>
        </w:tc>
        <w:tc>
          <w:tcPr>
            <w:tcW w:type="dxa" w:w="850"/>
            <w:vAlign w:val="center"/>
          </w:tcPr>
          <w:p>
            <w:pPr>
              <w:spacing w:line="216" w:lineRule="auto" w:after="0"/>
            </w:pPr>
            <w:r>
              <w:rPr>
                <w:sz w:val="13"/>
              </w:rPr>
              <w:t>11</w:t>
            </w:r>
          </w:p>
        </w:tc>
        <w:tc>
          <w:tcPr>
            <w:tcW w:type="dxa" w:w="964"/>
            <w:vAlign w:val="center"/>
          </w:tcPr>
          <w:p>
            <w:pPr>
              <w:spacing w:line="216" w:lineRule="auto" w:after="0"/>
            </w:pPr>
            <w:r>
              <w:rPr>
                <w:sz w:val="13"/>
              </w:rPr>
              <w:t>11</w:t>
            </w:r>
          </w:p>
        </w:tc>
        <w:tc>
          <w:tcPr>
            <w:tcW w:type="dxa" w:w="1020"/>
            <w:vAlign w:val="center"/>
          </w:tcPr>
          <w:p>
            <w:pPr>
              <w:spacing w:line="216" w:lineRule="auto" w:after="0"/>
            </w:pPr>
            <w:r>
              <w:rPr>
                <w:sz w:val="13"/>
              </w:rPr>
              <w:t>100.0</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pathology-associated quantity</w:t>
            </w:r>
          </w:p>
        </w:tc>
        <w:tc>
          <w:tcPr>
            <w:tcW w:type="dxa" w:w="850"/>
            <w:vAlign w:val="center"/>
          </w:tcPr>
          <w:p>
            <w:pPr>
              <w:spacing w:line="216" w:lineRule="auto" w:after="0"/>
            </w:pPr>
            <w:r>
              <w:rPr>
                <w:sz w:val="13"/>
              </w:rPr>
              <w:t>11</w:t>
            </w:r>
          </w:p>
        </w:tc>
        <w:tc>
          <w:tcPr>
            <w:tcW w:type="dxa" w:w="964"/>
            <w:vAlign w:val="center"/>
          </w:tcPr>
          <w:p>
            <w:pPr>
              <w:spacing w:line="216" w:lineRule="auto" w:after="0"/>
            </w:pPr>
            <w:r>
              <w:rPr>
                <w:sz w:val="13"/>
              </w:rPr>
              <w:t>11</w:t>
            </w:r>
          </w:p>
        </w:tc>
        <w:tc>
          <w:tcPr>
            <w:tcW w:type="dxa" w:w="1020"/>
            <w:vAlign w:val="center"/>
          </w:tcPr>
          <w:p>
            <w:pPr>
              <w:spacing w:line="216" w:lineRule="auto" w:after="0"/>
            </w:pPr>
            <w:r>
              <w:rPr>
                <w:sz w:val="13"/>
              </w:rPr>
              <w:t>100.0</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pathology-associated quantity</w:t>
            </w:r>
          </w:p>
        </w:tc>
        <w:tc>
          <w:tcPr>
            <w:tcW w:type="dxa" w:w="850"/>
            <w:vAlign w:val="center"/>
          </w:tcPr>
          <w:p>
            <w:pPr>
              <w:spacing w:line="216" w:lineRule="auto" w:after="0"/>
            </w:pPr>
            <w:r>
              <w:rPr>
                <w:sz w:val="13"/>
              </w:rPr>
              <w:t>11</w:t>
            </w:r>
          </w:p>
        </w:tc>
        <w:tc>
          <w:tcPr>
            <w:tcW w:type="dxa" w:w="964"/>
            <w:vAlign w:val="center"/>
          </w:tcPr>
          <w:p>
            <w:pPr>
              <w:spacing w:line="216" w:lineRule="auto" w:after="0"/>
            </w:pPr>
            <w:r>
              <w:rPr>
                <w:sz w:val="13"/>
              </w:rPr>
              <w:t>11</w:t>
            </w:r>
          </w:p>
        </w:tc>
        <w:tc>
          <w:tcPr>
            <w:tcW w:type="dxa" w:w="1020"/>
            <w:vAlign w:val="center"/>
          </w:tcPr>
          <w:p>
            <w:pPr>
              <w:spacing w:line="216" w:lineRule="auto" w:after="0"/>
            </w:pPr>
            <w:r>
              <w:rPr>
                <w:sz w:val="13"/>
              </w:rPr>
              <w:t>100.0</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sequencing-derived continuous burden</w:t>
            </w:r>
          </w:p>
        </w:tc>
        <w:tc>
          <w:tcPr>
            <w:tcW w:type="dxa" w:w="850"/>
            <w:vAlign w:val="center"/>
          </w:tcPr>
          <w:p>
            <w:pPr>
              <w:spacing w:line="216" w:lineRule="auto" w:after="0"/>
            </w:pPr>
            <w:r>
              <w:rPr>
                <w:sz w:val="13"/>
              </w:rPr>
              <w:t>413</w:t>
            </w:r>
          </w:p>
        </w:tc>
        <w:tc>
          <w:tcPr>
            <w:tcW w:type="dxa" w:w="964"/>
            <w:vAlign w:val="center"/>
          </w:tcPr>
          <w:p>
            <w:pPr>
              <w:spacing w:line="216" w:lineRule="auto" w:after="0"/>
            </w:pPr>
            <w:r>
              <w:rPr>
                <w:sz w:val="13"/>
              </w:rPr>
              <w:t>14</w:t>
            </w:r>
          </w:p>
        </w:tc>
        <w:tc>
          <w:tcPr>
            <w:tcW w:type="dxa" w:w="1020"/>
            <w:vAlign w:val="center"/>
          </w:tcPr>
          <w:p>
            <w:pPr>
              <w:spacing w:line="216" w:lineRule="auto" w:after="0"/>
            </w:pPr>
            <w:r>
              <w:rPr>
                <w:sz w:val="13"/>
              </w:rPr>
              <w:t>3.4</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sequencing-derived continuous burden</w:t>
            </w:r>
          </w:p>
        </w:tc>
        <w:tc>
          <w:tcPr>
            <w:tcW w:type="dxa" w:w="850"/>
            <w:vAlign w:val="center"/>
          </w:tcPr>
          <w:p>
            <w:pPr>
              <w:spacing w:line="216" w:lineRule="auto" w:after="0"/>
            </w:pPr>
            <w:r>
              <w:rPr>
                <w:sz w:val="13"/>
              </w:rPr>
              <w:t>413</w:t>
            </w:r>
          </w:p>
        </w:tc>
        <w:tc>
          <w:tcPr>
            <w:tcW w:type="dxa" w:w="964"/>
            <w:vAlign w:val="center"/>
          </w:tcPr>
          <w:p>
            <w:pPr>
              <w:spacing w:line="216" w:lineRule="auto" w:after="0"/>
            </w:pPr>
            <w:r>
              <w:rPr>
                <w:sz w:val="13"/>
              </w:rPr>
              <w:t>23</w:t>
            </w:r>
          </w:p>
        </w:tc>
        <w:tc>
          <w:tcPr>
            <w:tcW w:type="dxa" w:w="1020"/>
            <w:vAlign w:val="center"/>
          </w:tcPr>
          <w:p>
            <w:pPr>
              <w:spacing w:line="216" w:lineRule="auto" w:after="0"/>
            </w:pPr>
            <w:r>
              <w:rPr>
                <w:sz w:val="13"/>
              </w:rPr>
              <w:t>5.6</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sequencing-derived continuous burden</w:t>
            </w:r>
          </w:p>
        </w:tc>
        <w:tc>
          <w:tcPr>
            <w:tcW w:type="dxa" w:w="850"/>
            <w:vAlign w:val="center"/>
          </w:tcPr>
          <w:p>
            <w:pPr>
              <w:spacing w:line="216" w:lineRule="auto" w:after="0"/>
            </w:pPr>
            <w:r>
              <w:rPr>
                <w:sz w:val="13"/>
              </w:rPr>
              <w:t>413</w:t>
            </w:r>
          </w:p>
        </w:tc>
        <w:tc>
          <w:tcPr>
            <w:tcW w:type="dxa" w:w="964"/>
            <w:vAlign w:val="center"/>
          </w:tcPr>
          <w:p>
            <w:pPr>
              <w:spacing w:line="216" w:lineRule="auto" w:after="0"/>
            </w:pPr>
            <w:r>
              <w:rPr>
                <w:sz w:val="13"/>
              </w:rPr>
              <w:t>35</w:t>
            </w:r>
          </w:p>
        </w:tc>
        <w:tc>
          <w:tcPr>
            <w:tcW w:type="dxa" w:w="1020"/>
            <w:vAlign w:val="center"/>
          </w:tcPr>
          <w:p>
            <w:pPr>
              <w:spacing w:line="216" w:lineRule="auto" w:after="0"/>
            </w:pPr>
            <w:r>
              <w:rPr>
                <w:sz w:val="13"/>
              </w:rPr>
              <w:t>8.5</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pathway score</w:t>
            </w:r>
          </w:p>
        </w:tc>
        <w:tc>
          <w:tcPr>
            <w:tcW w:type="dxa" w:w="850"/>
            <w:vAlign w:val="center"/>
          </w:tcPr>
          <w:p>
            <w:pPr>
              <w:spacing w:line="216" w:lineRule="auto" w:after="0"/>
            </w:pPr>
            <w:r>
              <w:rPr>
                <w:sz w:val="13"/>
              </w:rPr>
              <w:t>1456</w:t>
            </w:r>
          </w:p>
        </w:tc>
        <w:tc>
          <w:tcPr>
            <w:tcW w:type="dxa" w:w="964"/>
            <w:vAlign w:val="center"/>
          </w:tcPr>
          <w:p>
            <w:pPr>
              <w:spacing w:line="216" w:lineRule="auto" w:after="0"/>
            </w:pPr>
            <w:r>
              <w:rPr>
                <w:sz w:val="13"/>
              </w:rPr>
              <w:t>247</w:t>
            </w:r>
          </w:p>
        </w:tc>
        <w:tc>
          <w:tcPr>
            <w:tcW w:type="dxa" w:w="1020"/>
            <w:vAlign w:val="center"/>
          </w:tcPr>
          <w:p>
            <w:pPr>
              <w:spacing w:line="216" w:lineRule="auto" w:after="0"/>
            </w:pPr>
            <w:r>
              <w:rPr>
                <w:sz w:val="13"/>
              </w:rPr>
              <w:t>17.0</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pathway score</w:t>
            </w:r>
          </w:p>
        </w:tc>
        <w:tc>
          <w:tcPr>
            <w:tcW w:type="dxa" w:w="850"/>
            <w:vAlign w:val="center"/>
          </w:tcPr>
          <w:p>
            <w:pPr>
              <w:spacing w:line="216" w:lineRule="auto" w:after="0"/>
            </w:pPr>
            <w:r>
              <w:rPr>
                <w:sz w:val="13"/>
              </w:rPr>
              <w:t>1456</w:t>
            </w:r>
          </w:p>
        </w:tc>
        <w:tc>
          <w:tcPr>
            <w:tcW w:type="dxa" w:w="964"/>
            <w:vAlign w:val="center"/>
          </w:tcPr>
          <w:p>
            <w:pPr>
              <w:spacing w:line="216" w:lineRule="auto" w:after="0"/>
            </w:pPr>
            <w:r>
              <w:rPr>
                <w:sz w:val="13"/>
              </w:rPr>
              <w:t>303</w:t>
            </w:r>
          </w:p>
        </w:tc>
        <w:tc>
          <w:tcPr>
            <w:tcW w:type="dxa" w:w="1020"/>
            <w:vAlign w:val="center"/>
          </w:tcPr>
          <w:p>
            <w:pPr>
              <w:spacing w:line="216" w:lineRule="auto" w:after="0"/>
            </w:pPr>
            <w:r>
              <w:rPr>
                <w:sz w:val="13"/>
              </w:rPr>
              <w:t>20.8</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pathway score</w:t>
            </w:r>
          </w:p>
        </w:tc>
        <w:tc>
          <w:tcPr>
            <w:tcW w:type="dxa" w:w="850"/>
            <w:vAlign w:val="center"/>
          </w:tcPr>
          <w:p>
            <w:pPr>
              <w:spacing w:line="216" w:lineRule="auto" w:after="0"/>
            </w:pPr>
            <w:r>
              <w:rPr>
                <w:sz w:val="13"/>
              </w:rPr>
              <w:t>1456</w:t>
            </w:r>
          </w:p>
        </w:tc>
        <w:tc>
          <w:tcPr>
            <w:tcW w:type="dxa" w:w="964"/>
            <w:vAlign w:val="center"/>
          </w:tcPr>
          <w:p>
            <w:pPr>
              <w:spacing w:line="216" w:lineRule="auto" w:after="0"/>
            </w:pPr>
            <w:r>
              <w:rPr>
                <w:sz w:val="13"/>
              </w:rPr>
              <w:t>459</w:t>
            </w:r>
          </w:p>
        </w:tc>
        <w:tc>
          <w:tcPr>
            <w:tcW w:type="dxa" w:w="1020"/>
            <w:vAlign w:val="center"/>
          </w:tcPr>
          <w:p>
            <w:pPr>
              <w:spacing w:line="216" w:lineRule="auto" w:after="0"/>
            </w:pPr>
            <w:r>
              <w:rPr>
                <w:sz w:val="13"/>
              </w:rPr>
              <w:t>31.5</w:t>
            </w:r>
          </w:p>
        </w:tc>
      </w:tr>
      <w:tr>
        <w:trPr>
          <w:cantSplit/>
        </w:trPr>
        <w:tc>
          <w:tcPr>
            <w:tcW w:type="dxa" w:w="1304"/>
            <w:vAlign w:val="center"/>
          </w:tcPr>
          <w:p>
            <w:pPr>
              <w:spacing w:line="216" w:lineRule="auto" w:after="0"/>
            </w:pPr>
            <w:r>
              <w:rPr>
                <w:sz w:val="13"/>
              </w:rPr>
              <w:t>Giga-SSL</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signature</w:t>
            </w:r>
          </w:p>
        </w:tc>
        <w:tc>
          <w:tcPr>
            <w:tcW w:type="dxa" w:w="850"/>
            <w:vAlign w:val="center"/>
          </w:tcPr>
          <w:p>
            <w:pPr>
              <w:spacing w:line="216" w:lineRule="auto" w:after="0"/>
            </w:pPr>
            <w:r>
              <w:rPr>
                <w:sz w:val="13"/>
              </w:rPr>
              <w:t>279</w:t>
            </w:r>
          </w:p>
        </w:tc>
        <w:tc>
          <w:tcPr>
            <w:tcW w:type="dxa" w:w="964"/>
            <w:vAlign w:val="center"/>
          </w:tcPr>
          <w:p>
            <w:pPr>
              <w:spacing w:line="216" w:lineRule="auto" w:after="0"/>
            </w:pPr>
            <w:r>
              <w:rPr>
                <w:sz w:val="13"/>
              </w:rPr>
              <w:t>50</w:t>
            </w:r>
          </w:p>
        </w:tc>
        <w:tc>
          <w:tcPr>
            <w:tcW w:type="dxa" w:w="1020"/>
            <w:vAlign w:val="center"/>
          </w:tcPr>
          <w:p>
            <w:pPr>
              <w:spacing w:line="216" w:lineRule="auto" w:after="0"/>
            </w:pPr>
            <w:r>
              <w:rPr>
                <w:sz w:val="13"/>
              </w:rPr>
              <w:t>17.9</w:t>
            </w:r>
          </w:p>
        </w:tc>
      </w:tr>
      <w:tr>
        <w:trPr>
          <w:cantSplit/>
        </w:trPr>
        <w:tc>
          <w:tcPr>
            <w:tcW w:type="dxa" w:w="1304"/>
            <w:vAlign w:val="center"/>
          </w:tcPr>
          <w:p>
            <w:pPr>
              <w:spacing w:line="216" w:lineRule="auto" w:after="0"/>
            </w:pPr>
            <w:r>
              <w:rPr>
                <w:sz w:val="13"/>
              </w:rPr>
              <w:t>Prov-GigaPath</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signature</w:t>
            </w:r>
          </w:p>
        </w:tc>
        <w:tc>
          <w:tcPr>
            <w:tcW w:type="dxa" w:w="850"/>
            <w:vAlign w:val="center"/>
          </w:tcPr>
          <w:p>
            <w:pPr>
              <w:spacing w:line="216" w:lineRule="auto" w:after="0"/>
            </w:pPr>
            <w:r>
              <w:rPr>
                <w:sz w:val="13"/>
              </w:rPr>
              <w:t>279</w:t>
            </w:r>
          </w:p>
        </w:tc>
        <w:tc>
          <w:tcPr>
            <w:tcW w:type="dxa" w:w="964"/>
            <w:vAlign w:val="center"/>
          </w:tcPr>
          <w:p>
            <w:pPr>
              <w:spacing w:line="216" w:lineRule="auto" w:after="0"/>
            </w:pPr>
            <w:r>
              <w:rPr>
                <w:sz w:val="13"/>
              </w:rPr>
              <w:t>63</w:t>
            </w:r>
          </w:p>
        </w:tc>
        <w:tc>
          <w:tcPr>
            <w:tcW w:type="dxa" w:w="1020"/>
            <w:vAlign w:val="center"/>
          </w:tcPr>
          <w:p>
            <w:pPr>
              <w:spacing w:line="216" w:lineRule="auto" w:after="0"/>
            </w:pPr>
            <w:r>
              <w:rPr>
                <w:sz w:val="13"/>
              </w:rPr>
              <w:t>22.6</w:t>
            </w:r>
          </w:p>
        </w:tc>
      </w:tr>
      <w:tr>
        <w:trPr>
          <w:cantSplit/>
        </w:trPr>
        <w:tc>
          <w:tcPr>
            <w:tcW w:type="dxa" w:w="1304"/>
            <w:vAlign w:val="center"/>
          </w:tcPr>
          <w:p>
            <w:pPr>
              <w:spacing w:line="216" w:lineRule="auto" w:after="0"/>
            </w:pPr>
            <w:r>
              <w:rPr>
                <w:sz w:val="13"/>
              </w:rPr>
              <w:t>TITAN</w:t>
            </w:r>
          </w:p>
        </w:tc>
        <w:tc>
          <w:tcPr>
            <w:tcW w:type="dxa" w:w="850"/>
            <w:vAlign w:val="center"/>
          </w:tcPr>
          <w:p>
            <w:pPr>
              <w:spacing w:line="216" w:lineRule="auto" w:after="0"/>
            </w:pPr>
            <w:r>
              <w:rPr>
                <w:sz w:val="13"/>
              </w:rPr>
              <w:t>continuous</w:t>
            </w:r>
          </w:p>
        </w:tc>
        <w:tc>
          <w:tcPr>
            <w:tcW w:type="dxa" w:w="2835"/>
            <w:vAlign w:val="center"/>
          </w:tcPr>
          <w:p>
            <w:pPr>
              <w:spacing w:line="216" w:lineRule="auto" w:after="0"/>
            </w:pPr>
            <w:r>
              <w:rPr>
                <w:sz w:val="13"/>
              </w:rPr>
              <w:t>transcriptomic signature</w:t>
            </w:r>
          </w:p>
        </w:tc>
        <w:tc>
          <w:tcPr>
            <w:tcW w:type="dxa" w:w="850"/>
            <w:vAlign w:val="center"/>
          </w:tcPr>
          <w:p>
            <w:pPr>
              <w:spacing w:line="216" w:lineRule="auto" w:after="0"/>
            </w:pPr>
            <w:r>
              <w:rPr>
                <w:sz w:val="13"/>
              </w:rPr>
              <w:t>279</w:t>
            </w:r>
          </w:p>
        </w:tc>
        <w:tc>
          <w:tcPr>
            <w:tcW w:type="dxa" w:w="964"/>
            <w:vAlign w:val="center"/>
          </w:tcPr>
          <w:p>
            <w:pPr>
              <w:spacing w:line="216" w:lineRule="auto" w:after="0"/>
            </w:pPr>
            <w:r>
              <w:rPr>
                <w:sz w:val="13"/>
              </w:rPr>
              <w:t>98</w:t>
            </w:r>
          </w:p>
        </w:tc>
        <w:tc>
          <w:tcPr>
            <w:tcW w:type="dxa" w:w="1020"/>
            <w:vAlign w:val="center"/>
          </w:tcPr>
          <w:p>
            <w:pPr>
              <w:spacing w:line="216" w:lineRule="auto" w:after="0"/>
            </w:pPr>
            <w:r>
              <w:rPr>
                <w:sz w:val="13"/>
              </w:rPr>
              <w:t>35.1</w:t>
            </w:r>
          </w:p>
        </w:tc>
      </w:tr>
    </w:tbl>
    <w:p/>
    <w:tbl>
      <w:tblPr>
        <w:tblStyle w:val="TableGrid"/>
        <w:tblW w:type="dxa" w:w="9071"/>
        <w:jc w:val="left"/>
        <w:tblLayout w:type="fixed"/>
        <w:tblLook w:firstColumn="1" w:firstRow="1" w:lastColumn="0" w:lastRow="0" w:noHBand="0" w:noVBand="1" w:val="04A0"/>
        <w:tblLayout w:type="fixed"/>
        <w:tblInd w:type="dxa" w:w="0"/>
      </w:tblPr>
      <w:tblGrid>
        <w:gridCol w:w="1587"/>
        <w:gridCol w:w="1814"/>
        <w:gridCol w:w="2835"/>
        <w:gridCol w:w="2835"/>
      </w:tblGrid>
      <w:tr>
        <w:trPr>
          <w:tblHeader w:val="true"/>
          <w:cantSplit/>
        </w:trPr>
        <w:tc>
          <w:tcPr>
            <w:tcW w:type="dxa" w:w="1587"/>
          </w:tcPr>
          <w:p>
            <w:pPr>
              <w:spacing w:line="240" w:lineRule="auto" w:after="0"/>
            </w:pPr>
            <w:r>
              <w:rPr>
                <w:b/>
                <w:sz w:val="14"/>
              </w:rPr>
              <w:t>Representation</w:t>
            </w:r>
          </w:p>
        </w:tc>
        <w:tc>
          <w:tcPr>
            <w:tcW w:type="dxa" w:w="1814"/>
          </w:tcPr>
          <w:p>
            <w:pPr>
              <w:spacing w:line="240" w:lineRule="auto" w:after="0"/>
            </w:pPr>
            <w:r>
              <w:rPr>
                <w:b/>
                <w:sz w:val="14"/>
              </w:rPr>
              <w:t>Continuous all</w:t>
            </w:r>
          </w:p>
        </w:tc>
        <w:tc>
          <w:tcPr>
            <w:tcW w:type="dxa" w:w="2835"/>
          </w:tcPr>
          <w:p>
            <w:pPr>
              <w:spacing w:line="240" w:lineRule="auto" w:after="0"/>
            </w:pPr>
            <w:r>
              <w:rPr>
                <w:b/>
                <w:sz w:val="14"/>
              </w:rPr>
              <w:t>Continuous excluding same-H&amp;E</w:t>
            </w:r>
          </w:p>
        </w:tc>
        <w:tc>
          <w:tcPr>
            <w:tcW w:type="dxa" w:w="2835"/>
          </w:tcPr>
          <w:p>
            <w:pPr>
              <w:spacing w:line="240" w:lineRule="auto" w:after="0"/>
            </w:pPr>
            <w:r>
              <w:rPr>
                <w:b/>
                <w:sz w:val="14"/>
              </w:rPr>
              <w:t>All matched excluding same-H&amp;E</w:t>
            </w:r>
          </w:p>
        </w:tc>
      </w:tr>
      <w:tr>
        <w:trPr>
          <w:cantSplit/>
        </w:trPr>
        <w:tc>
          <w:tcPr>
            <w:tcW w:type="dxa" w:w="1587"/>
            <w:vAlign w:val="center"/>
          </w:tcPr>
          <w:p>
            <w:pPr>
              <w:spacing w:line="240" w:lineRule="auto" w:after="0"/>
            </w:pPr>
            <w:r>
              <w:rPr>
                <w:sz w:val="14"/>
              </w:rPr>
              <w:t>Giga-SSL</w:t>
            </w:r>
          </w:p>
        </w:tc>
        <w:tc>
          <w:tcPr>
            <w:tcW w:type="dxa" w:w="1814"/>
            <w:vAlign w:val="center"/>
          </w:tcPr>
          <w:p>
            <w:pPr>
              <w:spacing w:line="240" w:lineRule="auto" w:after="0"/>
            </w:pPr>
            <w:r>
              <w:rPr>
                <w:sz w:val="14"/>
              </w:rPr>
              <w:t>351/2963</w:t>
            </w:r>
          </w:p>
        </w:tc>
        <w:tc>
          <w:tcPr>
            <w:tcW w:type="dxa" w:w="2835"/>
            <w:vAlign w:val="center"/>
          </w:tcPr>
          <w:p>
            <w:pPr>
              <w:spacing w:line="240" w:lineRule="auto" w:after="0"/>
            </w:pPr>
            <w:r>
              <w:rPr>
                <w:sz w:val="14"/>
              </w:rPr>
              <w:t>340/2952</w:t>
            </w:r>
          </w:p>
        </w:tc>
        <w:tc>
          <w:tcPr>
            <w:tcW w:type="dxa" w:w="2835"/>
            <w:vAlign w:val="center"/>
          </w:tcPr>
          <w:p>
            <w:pPr>
              <w:spacing w:line="240" w:lineRule="auto" w:after="0"/>
            </w:pPr>
            <w:r>
              <w:rPr>
                <w:sz w:val="14"/>
              </w:rPr>
              <w:t>501/3378</w:t>
            </w:r>
          </w:p>
        </w:tc>
      </w:tr>
      <w:tr>
        <w:trPr>
          <w:cantSplit/>
        </w:trPr>
        <w:tc>
          <w:tcPr>
            <w:tcW w:type="dxa" w:w="1587"/>
            <w:vAlign w:val="center"/>
          </w:tcPr>
          <w:p>
            <w:pPr>
              <w:spacing w:line="240" w:lineRule="auto" w:after="0"/>
            </w:pPr>
            <w:r>
              <w:rPr>
                <w:sz w:val="14"/>
              </w:rPr>
              <w:t>Prov-GigaPath</w:t>
            </w:r>
          </w:p>
        </w:tc>
        <w:tc>
          <w:tcPr>
            <w:tcW w:type="dxa" w:w="1814"/>
            <w:vAlign w:val="center"/>
          </w:tcPr>
          <w:p>
            <w:pPr>
              <w:spacing w:line="240" w:lineRule="auto" w:after="0"/>
            </w:pPr>
            <w:r>
              <w:rPr>
                <w:sz w:val="14"/>
              </w:rPr>
              <w:t>439/2963</w:t>
            </w:r>
          </w:p>
        </w:tc>
        <w:tc>
          <w:tcPr>
            <w:tcW w:type="dxa" w:w="2835"/>
            <w:vAlign w:val="center"/>
          </w:tcPr>
          <w:p>
            <w:pPr>
              <w:spacing w:line="240" w:lineRule="auto" w:after="0"/>
            </w:pPr>
            <w:r>
              <w:rPr>
                <w:sz w:val="14"/>
              </w:rPr>
              <w:t>428/2952</w:t>
            </w:r>
          </w:p>
        </w:tc>
        <w:tc>
          <w:tcPr>
            <w:tcW w:type="dxa" w:w="2835"/>
            <w:vAlign w:val="center"/>
          </w:tcPr>
          <w:p>
            <w:pPr>
              <w:spacing w:line="240" w:lineRule="auto" w:after="0"/>
            </w:pPr>
            <w:r>
              <w:rPr>
                <w:sz w:val="14"/>
              </w:rPr>
              <w:t>607/3378</w:t>
            </w:r>
          </w:p>
        </w:tc>
      </w:tr>
      <w:tr>
        <w:trPr>
          <w:cantSplit/>
        </w:trPr>
        <w:tc>
          <w:tcPr>
            <w:tcW w:type="dxa" w:w="1587"/>
            <w:vAlign w:val="center"/>
          </w:tcPr>
          <w:p>
            <w:pPr>
              <w:spacing w:line="240" w:lineRule="auto" w:after="0"/>
            </w:pPr>
            <w:r>
              <w:rPr>
                <w:sz w:val="14"/>
              </w:rPr>
              <w:t>TITAN</w:t>
            </w:r>
          </w:p>
        </w:tc>
        <w:tc>
          <w:tcPr>
            <w:tcW w:type="dxa" w:w="1814"/>
            <w:vAlign w:val="center"/>
          </w:tcPr>
          <w:p>
            <w:pPr>
              <w:spacing w:line="240" w:lineRule="auto" w:after="0"/>
            </w:pPr>
            <w:r>
              <w:rPr>
                <w:sz w:val="14"/>
              </w:rPr>
              <w:t>669/2963</w:t>
            </w:r>
          </w:p>
        </w:tc>
        <w:tc>
          <w:tcPr>
            <w:tcW w:type="dxa" w:w="2835"/>
            <w:vAlign w:val="center"/>
          </w:tcPr>
          <w:p>
            <w:pPr>
              <w:spacing w:line="240" w:lineRule="auto" w:after="0"/>
            </w:pPr>
            <w:r>
              <w:rPr>
                <w:sz w:val="14"/>
              </w:rPr>
              <w:t>658/2952</w:t>
            </w:r>
          </w:p>
        </w:tc>
        <w:tc>
          <w:tcPr>
            <w:tcW w:type="dxa" w:w="2835"/>
            <w:vAlign w:val="center"/>
          </w:tcPr>
          <w:p>
            <w:pPr>
              <w:spacing w:line="240" w:lineRule="auto" w:after="0"/>
            </w:pPr>
            <w:r>
              <w:rPr>
                <w:sz w:val="14"/>
              </w:rPr>
              <w:t>893/3378</w:t>
            </w:r>
          </w:p>
        </w:tc>
      </w:tr>
    </w:tbl>
    <w:p/>
    <w:p>
      <w:r>
        <w:t>CIBERSORT fractions, methylation-derived leukocyte estimates and RNA signatures measure agreement with computational reference phenotypes. The H&amp;E-derived TIL fraction is same-modality concordance and is excluded from the default cross-modal continuous summary.</w:t>
      </w:r>
    </w:p>
    <w:p>
      <w:pPr>
        <w:pStyle w:val="Heading1"/>
      </w:pPr>
      <w:r>
        <w:t>Supplementary Figures</w:t>
      </w:r>
    </w:p>
    <w:p>
      <w:r>
        <w:br w:type="page"/>
      </w:r>
    </w:p>
    <w:p>
      <w:pPr>
        <w:jc w:val="center"/>
      </w:pPr>
      <w:r>
        <w:drawing>
          <wp:inline xmlns:a="http://schemas.openxmlformats.org/drawingml/2006/main" xmlns:pic="http://schemas.openxmlformats.org/drawingml/2006/picture">
            <wp:extent cx="5715000" cy="5551714"/>
            <wp:docPr id="1" name="Picture 1"/>
            <wp:cNvGraphicFramePr>
              <a:graphicFrameLocks noChangeAspect="1"/>
            </wp:cNvGraphicFramePr>
            <a:graphic>
              <a:graphicData uri="http://schemas.openxmlformats.org/drawingml/2006/picture">
                <pic:pic>
                  <pic:nvPicPr>
                    <pic:cNvPr id="0" name="Figure3_effect_partition_stability.png"/>
                    <pic:cNvPicPr/>
                  </pic:nvPicPr>
                  <pic:blipFill>
                    <a:blip r:embed="rId20"/>
                    <a:stretch>
                      <a:fillRect/>
                    </a:stretch>
                  </pic:blipFill>
                  <pic:spPr>
                    <a:xfrm>
                      <a:off x="0" y="0"/>
                      <a:ext cx="5715000" cy="5551714"/>
                    </a:xfrm>
                    <a:prstGeom prst="rect"/>
                  </pic:spPr>
                </pic:pic>
              </a:graphicData>
            </a:graphic>
          </wp:inline>
        </w:drawing>
      </w:r>
    </w:p>
    <w:p>
      <w:pPr>
        <w:pStyle w:val="Caption"/>
        <w:jc w:val="center"/>
      </w:pPr>
      <w:r>
        <w:t>Figure S1. Primary and alternative-partition Q² or AUROC estimates (A), and TCGA tissue-source-site code-grouped estimates compared with fold-size- and class-matched random partitions (B). The grouped panel includes pairs that crossed an effect threshold in at least one representation. The grouping variable is derived from the TCGA barcode and is not an institution or scanner identifier.</w:t>
      </w:r>
    </w:p>
    <w:p>
      <w:r>
        <w:br w:type="page"/>
      </w:r>
    </w:p>
    <w:p>
      <w:pPr>
        <w:jc w:val="center"/>
      </w:pPr>
      <w:r>
        <w:drawing>
          <wp:inline xmlns:a="http://schemas.openxmlformats.org/drawingml/2006/main" xmlns:pic="http://schemas.openxmlformats.org/drawingml/2006/picture">
            <wp:extent cx="5715000" cy="4370294"/>
            <wp:docPr id="2" name="Picture 2"/>
            <wp:cNvGraphicFramePr>
              <a:graphicFrameLocks noChangeAspect="1"/>
            </wp:cNvGraphicFramePr>
            <a:graphic>
              <a:graphicData uri="http://schemas.openxmlformats.org/drawingml/2006/picture">
                <pic:pic>
                  <pic:nvPicPr>
                    <pic:cNvPr id="0" name="FigureS12_paired_representation_effects.png"/>
                    <pic:cNvPicPr/>
                  </pic:nvPicPr>
                  <pic:blipFill>
                    <a:blip r:embed="rId16"/>
                    <a:stretch>
                      <a:fillRect/>
                    </a:stretch>
                  </pic:blipFill>
                  <pic:spPr>
                    <a:xfrm>
                      <a:off x="0" y="0"/>
                      <a:ext cx="5715000" cy="4370294"/>
                    </a:xfrm>
                    <a:prstGeom prst="rect"/>
                  </pic:spPr>
                </pic:pic>
              </a:graphicData>
            </a:graphic>
          </wp:inline>
        </w:drawing>
      </w:r>
    </w:p>
    <w:p>
      <w:pPr>
        <w:pStyle w:val="Caption"/>
        <w:jc w:val="center"/>
      </w:pPr>
      <w:r>
        <w:t>Figure S2. Paired patient-level out-of-fold Q² and AUROC estimates across the matched three-representation catalogue. Differences are conditional on the common PLS-based probe.</w:t>
      </w:r>
    </w:p>
    <w:p>
      <w:r>
        <w:br w:type="page"/>
      </w:r>
    </w:p>
    <w:p>
      <w:pPr>
        <w:jc w:val="center"/>
      </w:pPr>
      <w:r>
        <w:drawing>
          <wp:inline xmlns:a="http://schemas.openxmlformats.org/drawingml/2006/main" xmlns:pic="http://schemas.openxmlformats.org/drawingml/2006/picture">
            <wp:extent cx="5715000" cy="4233333"/>
            <wp:docPr id="3" name="Picture 3"/>
            <wp:cNvGraphicFramePr>
              <a:graphicFrameLocks noChangeAspect="1"/>
            </wp:cNvGraphicFramePr>
            <a:graphic>
              <a:graphicData uri="http://schemas.openxmlformats.org/drawingml/2006/picture">
                <pic:pic>
                  <pic:nvPicPr>
                    <pic:cNvPr id="0" name="FigureS6_foundation_model_fold_threshold_stability.png"/>
                    <pic:cNvPicPr/>
                  </pic:nvPicPr>
                  <pic:blipFill>
                    <a:blip r:embed="rId21"/>
                    <a:stretch>
                      <a:fillRect/>
                    </a:stretch>
                  </pic:blipFill>
                  <pic:spPr>
                    <a:xfrm>
                      <a:off x="0" y="0"/>
                      <a:ext cx="5715000" cy="4233333"/>
                    </a:xfrm>
                    <a:prstGeom prst="rect"/>
                  </pic:spPr>
                </pic:pic>
              </a:graphicData>
            </a:graphic>
          </wp:inline>
        </w:drawing>
      </w:r>
    </w:p>
    <w:p>
      <w:pPr>
        <w:pStyle w:val="Caption"/>
        <w:jc w:val="center"/>
      </w:pPr>
      <w:r>
        <w:t>Figure S3. Effect-threshold crossing frequency over five alternative fold assignments, stability of consensus categories and sensitivity to nearby Q² and AUROC thresholds. Categories summarize the observed catalogue and are not evidence grades.</w:t>
      </w:r>
    </w:p>
    <w:p>
      <w:r>
        <w:t>The two COAD research examples appear in main Figures 5 and 6; their full reports are Additional files 2 and 3.</w:t>
      </w:r>
    </w:p>
    <w:p>
      <w:pPr>
        <w:pStyle w:val="Heading1"/>
      </w:pPr>
      <w:r>
        <w:t>Machine-readable additional files</w:t>
      </w:r>
    </w:p>
    <w:p>
      <w:r>
        <w:t>Additional_file_4_machine_readable_results.zip is supplied with this submission. Its README and MANIFEST list 15 selected CSV companions with row counts and SHA-256 checksums. The archive contains the matched benchmark, endpoint provenance, robustness analyses, model-inventory reconciliation and both COAD research outputs. It contains no fitted model objects or patient-level embeddings. The public analysis repository holds the remaining complete-resolution records.</w:t>
      </w:r>
    </w:p>
    <w:p>
      <w:pPr>
        <w:pStyle w:val="ListBullet"/>
        <w:spacing w:after="0"/>
      </w:pPr>
      <w:r>
        <w:t>Matched benchmark: full task-level estimates, representation comparisons, paired summaries and normalized breadth.</w:t>
      </w:r>
    </w:p>
    <w:p>
      <w:pPr>
        <w:pStyle w:val="ListBullet"/>
        <w:spacing w:after="0"/>
      </w:pPr>
      <w:r>
        <w:t>Interpretation: endpoint dictionary, source-acquisition map, provenance strata, mutation-literature crosswalk and linkage audit.</w:t>
      </w:r>
    </w:p>
    <w:p>
      <w:pPr>
        <w:pStyle w:val="ListBullet"/>
        <w:spacing w:after="0"/>
      </w:pPr>
      <w:r>
        <w:t>Robustness: repeated partitions, TCGA tissue-source-site code grouping and binary operating-rule sensitivity.</w:t>
      </w:r>
    </w:p>
    <w:p>
      <w:pPr>
        <w:pStyle w:val="ListBullet"/>
        <w:spacing w:after="0"/>
      </w:pPr>
      <w:r>
        <w:t>Software examples: full continuous and binary outputs for the two COAD patients in Additional files 2 and 3.</w:t>
      </w:r>
    </w:p>
    <w:p>
      <w:pPr>
        <w:pStyle w:val="ListBullet"/>
        <w:spacing w:after="0"/>
      </w:pPr>
      <w:r>
        <w:t>Resource scope: fitted-object inventory reconciliation, without the fitted parameters themselves.</w:t>
      </w:r>
    </w:p>
    <w:sectPr w:rsidR="00FC693F" w:rsidRPr="0006063C" w:rsidSect="00034616">
      <w:pgSz w:w="11906" w:h="16838"/>
      <w:pgMar w:top="1134" w:right="1247" w:bottom="1134" w:left="1247" w:header="720" w:footer="720" w:gutter="0"/>
      <w:cols w:space="720"/>
      <w:docGrid w:linePitch="360"/>
      <w:lnNumType w:countBy="1" w:restart="continuous"/>
      <w:lnNumType w:countBy="1" w:restart="continuous"/>
      <w:lnNumType w:countBy="1" w:restart="continuous"/>
      <w:lnNumType w:countBy="1" w:restart="continuous"/>
      <w:lnNumType w:countBy="1" w:restart="continuous"/>
      <w:lnNumType w:countBy="1" w:restart="continuous"/>
      <w:lnNumType w:countBy="1" w:restart="continuous"/>
      <w:lnNumType w:countBy="1" w:restart="continuous"/>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Supplementary material - multi-foundation-model atlas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76"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line="276"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276" w:lineRule="auto"/>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76" w:lineRule="auto"/>
      <w:contextualSpacing/>
    </w:pPr>
    <w:rPr>
      <w:rFonts w:asciiTheme="majorHAnsi" w:eastAsiaTheme="majorEastAsia" w:hAnsiTheme="majorHAnsi" w:cstheme="majorBidi" w:ascii="Arial" w:hAnsi="Arial"/>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60"/>
    </w:pPr>
    <w:rPr>
      <w:rFonts w:ascii="Arial" w:hAnsi="Arial"/>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