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Patient-level comparison of three released pathology slide representations with a common PLS-based probe across TCGA cancers</w:t>
      </w:r>
    </w:p>
    <w:p>
      <w:pPr>
        <w:spacing w:before="0" w:after="0" w:line="240" w:lineRule="auto"/>
        <w:jc w:val="center"/>
      </w:pPr>
      <w:r>
        <w:rPr>
          <w:b/>
          <w:sz w:val="19"/>
        </w:rPr>
        <w:t>Aamilah Ismail</w:t>
      </w:r>
      <w:r>
        <w:rPr>
          <w:sz w:val="19"/>
          <w:vertAlign w:val="superscript"/>
        </w:rPr>
        <w:t>1,*</w:t>
      </w:r>
      <w:r>
        <w:rPr>
          <w:sz w:val="19"/>
        </w:rPr>
        <w:t xml:space="preserve">, </w:t>
      </w:r>
      <w:r>
        <w:rPr>
          <w:b/>
          <w:sz w:val="19"/>
        </w:rPr>
        <w:t>Martin Ocharo</w:t>
      </w:r>
      <w:r>
        <w:rPr>
          <w:sz w:val="19"/>
          <w:vertAlign w:val="superscript"/>
        </w:rPr>
        <w:t>2,3,*</w:t>
      </w:r>
      <w:r>
        <w:rPr>
          <w:sz w:val="19"/>
        </w:rPr>
        <w:t xml:space="preserve">, </w:t>
      </w:r>
      <w:r>
        <w:rPr>
          <w:b/>
          <w:sz w:val="19"/>
        </w:rPr>
        <w:t>Giulia Canarutto</w:t>
      </w:r>
      <w:r>
        <w:rPr>
          <w:sz w:val="19"/>
          <w:vertAlign w:val="superscript"/>
        </w:rPr>
        <w:t>4,5</w:t>
      </w:r>
      <w:r>
        <w:rPr>
          <w:sz w:val="19"/>
        </w:rPr>
        <w:t xml:space="preserve">, </w:t>
      </w:r>
      <w:r>
        <w:rPr>
          <w:b/>
          <w:sz w:val="19"/>
        </w:rPr>
        <w:t>Moussa Kassim Mohamed</w:t>
      </w:r>
      <w:r>
        <w:rPr>
          <w:sz w:val="19"/>
          <w:vertAlign w:val="superscript"/>
        </w:rPr>
        <w:t>2,3</w:t>
      </w:r>
      <w:r>
        <w:rPr>
          <w:sz w:val="19"/>
        </w:rPr>
        <w:t xml:space="preserve">, </w:t>
      </w:r>
      <w:r>
        <w:rPr>
          <w:b/>
          <w:sz w:val="19"/>
        </w:rPr>
        <w:t>Dalia Ahmed</w:t>
      </w:r>
      <w:r>
        <w:rPr>
          <w:sz w:val="19"/>
          <w:vertAlign w:val="superscript"/>
        </w:rPr>
        <w:t>2</w:t>
      </w:r>
      <w:r>
        <w:rPr>
          <w:sz w:val="19"/>
        </w:rPr>
        <w:t xml:space="preserve">, </w:t>
      </w:r>
      <w:r>
        <w:rPr>
          <w:b/>
          <w:sz w:val="19"/>
        </w:rPr>
        <w:t>Brendon Price</w:t>
      </w:r>
      <w:r>
        <w:rPr>
          <w:sz w:val="19"/>
          <w:vertAlign w:val="superscript"/>
        </w:rPr>
        <w:t>6</w:t>
      </w:r>
      <w:r>
        <w:rPr>
          <w:sz w:val="19"/>
        </w:rPr>
        <w:t xml:space="preserve">, </w:t>
      </w:r>
      <w:r>
        <w:rPr>
          <w:b/>
          <w:sz w:val="19"/>
        </w:rPr>
        <w:t>Dupe Ojo</w:t>
      </w:r>
      <w:r>
        <w:rPr>
          <w:sz w:val="19"/>
          <w:vertAlign w:val="superscript"/>
        </w:rPr>
        <w:t>2</w:t>
      </w:r>
      <w:r>
        <w:rPr>
          <w:sz w:val="19"/>
        </w:rPr>
        <w:t xml:space="preserve">, </w:t>
      </w:r>
      <w:r>
        <w:rPr>
          <w:b/>
          <w:sz w:val="19"/>
        </w:rPr>
        <w:t>Ekene Emmanuel Nweke</w:t>
      </w:r>
      <w:r>
        <w:rPr>
          <w:sz w:val="19"/>
          <w:vertAlign w:val="superscript"/>
        </w:rPr>
        <w:t>7</w:t>
      </w:r>
      <w:r>
        <w:rPr>
          <w:sz w:val="19"/>
        </w:rPr>
        <w:t xml:space="preserve">, </w:t>
      </w:r>
      <w:r>
        <w:rPr>
          <w:b/>
          <w:sz w:val="19"/>
        </w:rPr>
        <w:t>Alessia Vignoli</w:t>
      </w:r>
      <w:r>
        <w:rPr>
          <w:sz w:val="19"/>
          <w:vertAlign w:val="superscript"/>
        </w:rPr>
        <w:t>8,9</w:t>
      </w:r>
      <w:r>
        <w:rPr>
          <w:sz w:val="19"/>
        </w:rPr>
        <w:t xml:space="preserve">, </w:t>
      </w:r>
      <w:r>
        <w:rPr>
          <w:b/>
          <w:sz w:val="19"/>
        </w:rPr>
        <w:t>Silvano Piazza</w:t>
      </w:r>
      <w:r>
        <w:rPr>
          <w:sz w:val="19"/>
          <w:vertAlign w:val="superscript"/>
        </w:rPr>
        <w:t>4,10</w:t>
      </w:r>
      <w:r>
        <w:rPr>
          <w:sz w:val="19"/>
        </w:rPr>
        <w:t xml:space="preserve">, </w:t>
      </w:r>
      <w:r>
        <w:rPr>
          <w:b/>
          <w:sz w:val="19"/>
        </w:rPr>
        <w:t>Dinesh Gupta</w:t>
      </w:r>
      <w:r>
        <w:rPr>
          <w:sz w:val="19"/>
          <w:vertAlign w:val="superscript"/>
        </w:rPr>
        <w:t>11</w:t>
      </w:r>
      <w:r>
        <w:rPr>
          <w:sz w:val="19"/>
        </w:rPr>
        <w:t xml:space="preserve">, </w:t>
      </w:r>
      <w:r>
        <w:rPr>
          <w:b/>
          <w:sz w:val="19"/>
        </w:rPr>
        <w:t>Leonardo Tenori</w:t>
      </w:r>
      <w:r>
        <w:rPr>
          <w:sz w:val="19"/>
          <w:vertAlign w:val="superscript"/>
        </w:rPr>
        <w:t>8,9</w:t>
      </w:r>
      <w:r>
        <w:rPr>
          <w:sz w:val="19"/>
        </w:rPr>
        <w:t xml:space="preserve">, </w:t>
      </w:r>
      <w:r>
        <w:rPr>
          <w:b/>
          <w:sz w:val="19"/>
        </w:rPr>
        <w:t>Stefano Cacciatore</w:t>
      </w:r>
      <w:r>
        <w:rPr>
          <w:sz w:val="19"/>
          <w:vertAlign w:val="superscript"/>
        </w:rPr>
        <w:t>2,3,†</w:t>
      </w:r>
    </w:p>
    <w:p>
      <w:pPr>
        <w:spacing w:before="0" w:after="0" w:line="240" w:lineRule="auto"/>
        <w:jc w:val="center"/>
      </w:pPr>
      <w:r>
        <w:rPr>
          <w:b/>
          <w:sz w:val="17"/>
        </w:rPr>
        <w:t xml:space="preserve">1 </w:t>
      </w:r>
      <w:r>
        <w:rPr>
          <w:sz w:val="17"/>
        </w:rPr>
        <w:t>Division of Engineering, New York University Abu Dhabi, Abu Dhabi, United Arab Emirates</w:t>
      </w:r>
    </w:p>
    <w:p>
      <w:pPr>
        <w:spacing w:before="0" w:after="0" w:line="240" w:lineRule="auto"/>
        <w:jc w:val="center"/>
      </w:pPr>
      <w:r>
        <w:rPr>
          <w:b/>
          <w:sz w:val="17"/>
        </w:rPr>
        <w:t xml:space="preserve">2 </w:t>
      </w:r>
      <w:r>
        <w:rPr>
          <w:sz w:val="17"/>
        </w:rPr>
        <w:t>Bioinformatics Unit, International Centre for Genetic Engineering and Biotechnology (ICGEB), Cape Town 7925, South Africa</w:t>
      </w:r>
    </w:p>
    <w:p>
      <w:pPr>
        <w:spacing w:before="0" w:after="0" w:line="240" w:lineRule="auto"/>
        <w:jc w:val="center"/>
      </w:pPr>
      <w:r>
        <w:rPr>
          <w:b/>
          <w:sz w:val="17"/>
        </w:rPr>
        <w:t xml:space="preserve">3 </w:t>
      </w:r>
      <w:r>
        <w:rPr>
          <w:sz w:val="17"/>
        </w:rPr>
        <w:t>Department of Integrative Biomedical Sciences, Institute of Infectious Disease &amp; Molecular Medicine (IDM), University of Cape Town, Cape Town 7925, South Africa</w:t>
      </w:r>
    </w:p>
    <w:p>
      <w:pPr>
        <w:spacing w:before="0" w:after="0" w:line="240" w:lineRule="auto"/>
        <w:jc w:val="center"/>
      </w:pPr>
      <w:r>
        <w:rPr>
          <w:b/>
          <w:sz w:val="17"/>
        </w:rPr>
        <w:t xml:space="preserve">4 </w:t>
      </w:r>
      <w:r>
        <w:rPr>
          <w:sz w:val="17"/>
        </w:rPr>
        <w:t>Computational Biology Group, International Centre for Genetic Engineering and Biotechnology (ICGEB), Trieste, Italy</w:t>
      </w:r>
    </w:p>
    <w:p>
      <w:pPr>
        <w:spacing w:before="0" w:after="0" w:line="240" w:lineRule="auto"/>
        <w:jc w:val="center"/>
      </w:pPr>
      <w:r>
        <w:rPr>
          <w:b/>
          <w:sz w:val="17"/>
        </w:rPr>
        <w:t xml:space="preserve">5 </w:t>
      </w:r>
      <w:r>
        <w:rPr>
          <w:sz w:val="17"/>
        </w:rPr>
        <w:t>Life Science Department (DSV), University of Trieste, Trieste, Italy</w:t>
      </w:r>
    </w:p>
    <w:p>
      <w:pPr>
        <w:spacing w:before="0" w:after="0" w:line="240" w:lineRule="auto"/>
        <w:jc w:val="center"/>
      </w:pPr>
      <w:r>
        <w:rPr>
          <w:b/>
          <w:sz w:val="17"/>
        </w:rPr>
        <w:t xml:space="preserve">6 </w:t>
      </w:r>
      <w:r>
        <w:rPr>
          <w:sz w:val="17"/>
        </w:rPr>
        <w:t>Division of Anatomical Pathology, University of Cape Town and National Health Laboratory Service, Observatory, Cape Town, South Africa</w:t>
      </w:r>
    </w:p>
    <w:p>
      <w:pPr>
        <w:spacing w:before="0" w:after="0" w:line="240" w:lineRule="auto"/>
        <w:jc w:val="center"/>
      </w:pPr>
      <w:r>
        <w:rPr>
          <w:b/>
          <w:sz w:val="17"/>
        </w:rPr>
        <w:t xml:space="preserve">7 </w:t>
      </w:r>
      <w:r>
        <w:rPr>
          <w:sz w:val="17"/>
        </w:rPr>
        <w:t>Department of Surgery, School of Clinical Medicine, Faculty of Health Sciences, University of the Witwatersrand, Johannesburg, Gauteng, South Africa</w:t>
      </w:r>
    </w:p>
    <w:p>
      <w:pPr>
        <w:spacing w:before="0" w:after="0" w:line="240" w:lineRule="auto"/>
        <w:jc w:val="center"/>
      </w:pPr>
      <w:r>
        <w:rPr>
          <w:b/>
          <w:sz w:val="17"/>
        </w:rPr>
        <w:t xml:space="preserve">8 </w:t>
      </w:r>
      <w:r>
        <w:rPr>
          <w:sz w:val="17"/>
        </w:rPr>
        <w:t>Department of Chemistry "Ugo Schiff", University of Florence, Sesto Fiorentino, Italy</w:t>
      </w:r>
    </w:p>
    <w:p>
      <w:pPr>
        <w:spacing w:before="0" w:after="0" w:line="240" w:lineRule="auto"/>
        <w:jc w:val="center"/>
      </w:pPr>
      <w:r>
        <w:rPr>
          <w:b/>
          <w:sz w:val="17"/>
        </w:rPr>
        <w:t xml:space="preserve">9 </w:t>
      </w:r>
      <w:r>
        <w:rPr>
          <w:sz w:val="17"/>
        </w:rPr>
        <w:t>Magnetic Resonance Center (CERM), University of Florence, Sesto Fiorentino, Italy</w:t>
      </w:r>
    </w:p>
    <w:p>
      <w:pPr>
        <w:spacing w:before="0" w:after="0" w:line="240" w:lineRule="auto"/>
        <w:jc w:val="center"/>
      </w:pPr>
      <w:r>
        <w:rPr>
          <w:b/>
          <w:sz w:val="17"/>
        </w:rPr>
        <w:t xml:space="preserve">10 </w:t>
      </w:r>
      <w:r>
        <w:rPr>
          <w:sz w:val="17"/>
        </w:rPr>
        <w:t>Bioinformatics Facility, Department of Cellular, Computational and Integrative Biology - CIBIO, University of Trento, Trento, Italy</w:t>
      </w:r>
    </w:p>
    <w:p>
      <w:pPr>
        <w:spacing w:before="0" w:after="0" w:line="240" w:lineRule="auto"/>
        <w:jc w:val="center"/>
      </w:pPr>
      <w:r>
        <w:rPr>
          <w:b/>
          <w:sz w:val="17"/>
        </w:rPr>
        <w:t xml:space="preserve">11 </w:t>
      </w:r>
      <w:r>
        <w:rPr>
          <w:sz w:val="17"/>
        </w:rPr>
        <w:t>Translational Bioinformatics Group, International Centre for Genetic Engineering and Biotechnology (ICGEB), Aruna Asaf Ali Marg, New Delhi 110067, India</w:t>
      </w:r>
    </w:p>
    <w:p>
      <w:pPr>
        <w:spacing w:before="0" w:after="0" w:line="240" w:lineRule="auto"/>
        <w:jc w:val="center"/>
      </w:pPr>
      <w:r>
        <w:rPr>
          <w:i/>
          <w:sz w:val="17"/>
        </w:rPr>
        <w:t>* These authors contributed equally.</w:t>
      </w:r>
    </w:p>
    <w:p>
      <w:pPr>
        <w:spacing w:before="0" w:after="0" w:line="240" w:lineRule="auto"/>
        <w:jc w:val="center"/>
      </w:pPr>
      <w:r>
        <w:rPr>
          <w:i/>
          <w:sz w:val="17"/>
        </w:rPr>
        <w:t>† Corresponding author: Stefano Cacciatore (stefano.cacciatore@icgeb.org).</w:t>
      </w:r>
    </w:p>
    <w:p>
      <w:pPr>
        <w:spacing w:before="0" w:after="0" w:line="240" w:lineRule="auto"/>
        <w:jc w:val="center"/>
      </w:pPr>
      <w:r>
        <w:rPr>
          <w:sz w:val="17"/>
        </w:rPr>
        <w:t>Research article: Molecular Pathology | Journal of Translational Medicine</w:t>
      </w:r>
    </w:p>
    <w:p>
      <w:pPr>
        <w:pStyle w:val="Heading1"/>
      </w:pPr>
      <w:r>
        <w:t>Abstract</w:t>
      </w:r>
    </w:p>
    <w:p>
      <w:r>
        <w:rPr>
          <w:b/>
        </w:rPr>
        <w:t>Background.</w:t>
      </w:r>
      <w:r>
        <w:t xml:space="preserve"> Haematoxylin-and-eosin (H&amp;E) slides can reveal tumour genetics and tissue context, but it remains unclear which features can be estimated consistently from different pathology foundation-model representations. We compared slide representations from TITAN, Giga-SSL and Prov-GigaPath across cancer-specific genomic and computationally derived phenotypes.</w:t>
      </w:r>
    </w:p>
    <w:p>
      <w:r>
        <w:rPr>
          <w:b/>
        </w:rPr>
        <w:t>Methods.</w:t>
      </w:r>
      <w:r>
        <w:t xml:space="preserve"> We analysed 8,241 patients across 30 cancer types in The Cancer Genome Atlas (TCGA). TITAN, Giga-SSL and Prov-GigaPath embeddings were compared for 3,389 cancer-endpoint pairs using patient-level slide pooling, matched nested cross-validation and partial least-squares regression or classification. Continuous and binary outcomes were assessed by held-out Q² and area under the receiver operating characteristic curve (AUROC), respectively. We examined alternative validation partitions and grouping by TCGA tissue-source-site code. A larger TITAN screen underwent permutation testing and false-discovery-rate control. Giga-SSL development used TCGA images, so exposure to evaluation slides cannot be excluded.</w:t>
      </w:r>
    </w:p>
    <w:p>
      <w:r>
        <w:rPr>
          <w:b/>
        </w:rPr>
        <w:t>Results.</w:t>
      </w:r>
      <w:r>
        <w:t xml:space="preserve"> After excluding 11 cancer-endpoint pairs whose reference values were derived from H&amp;E, Q² reached the descriptive threshold of 0.20 for 633/2,952 TITAN, 351/2,952 Giga-SSL and 430/2,952 Prov-GigaPath continuous pairs. AUROC reached 0.60 for 230/426, 166/426 and 176/426 binary pairs, respectively. Examples shared by all three representations included GTF2I mutation in thymoma (AUROC 0.884 to 0.904 across models), strict microsatellite instability in colon cancer (AUROC 0.851 to 0.940) and the RNA-derived TGF-beta response signature in testicular germ-cell tumours (Q² 0.601 to 0.662). In the supporting TITAN screen, grouping by tissue-source-site code moved 210/869 permutation/FDR-selected candidates below their original effect threshold.</w:t>
      </w:r>
    </w:p>
    <w:p>
      <w:r>
        <w:rPr>
          <w:b/>
        </w:rPr>
        <w:t>Conclusions.</w:t>
      </w:r>
      <w:r>
        <w:t xml:space="preserve"> Histology captured several cancer-specific genetic and derived tissue programmes, but performance depended on the representation and validation partition. The atlas and PathoFMPred can help prioritize research models for independent testing. All performance estimates remain internal to TCGA and do not support clinical use.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A haematoxylin-and-eosin (H&amp;E) slide shows tumour architecture, cell morphology and the surrounding tissue. A foundation model first learns visual patterns from large image collections without being trained for each molecular question. DINOv2 illustrates this self-supervised approach in general computer vision [1]. Pathology models adapt it to tissue images and, in some cases, aggregate information across an entire slide. Their output is a numerical representation, not a mutation call: a separate model must learn the link between that representation and an outcome measured in labelled patients. This separation lets us ask, using the same slides, whether morphology carries information about genotype, immune-related programmes or genomic context.</w:t>
      </w:r>
    </w:p>
    <w:p>
      <w:r>
        <w:t>Histology-based prediction already has a substantial literature. Coudray and colleagues predicted lung-cancer mutations [2], and subsequent studies estimated microsatellite instability, including in externally tested colorectal cohorts [3-4]. Fu et al. screened 17,355 slides across 28 cancers [5]; Kather et al. analysed more than 5,000 patients across 14 cancers [6]; and Arslan et al. trained 12,093 models for 4,031 biomarkers in 8,890 TCGA patients across 32 cancers [7]. Other work examined RNA expression [8-9], cross-institution mutation performance [10-11], gene fusions [12-13], homologous-recombination deficiency [14] and tumour-microenvironment phenotypes [15]. These studies establish the field, but their cohorts, endpoint catalogues and image representations differ, which makes feature-level comparisons difficult.</w:t>
      </w:r>
    </w:p>
    <w:p>
      <w:r>
        <w:t>We asked which tumour features can be estimated from H&amp;E using three released slide representations of the same TCGA patients. For each cancer-specific outcome, we compared TITAN, Giga-SSL and Prov-GigaPath on matched patients and validation folds. We retained unsuccessful and sample-size-ineligible tasks, tested the sensitivity of results to new fold assignments and grouping by TCGA tissue-source-site code, and examined a larger TITAN cohort with permutation and false-discovery-rate control. We also developed PathoFMPred to store and apply compatible fitted research models. The package makes the results easier to inspect and reuse, but the biological benchmark is the central contribution.</w:t>
      </w:r>
    </w:p>
    <w:p>
      <w:r>
        <w:t>The three slide representations differ in how they were trained and constructed. TITAN combines visual self-supervision with vision-language alignment; its reported Mass-340K pretraining corpus excluded TCGA, although TCGA was used for downstream evaluation [16]. Giga-SSL provides self-supervised whole-slide embeddings and used TCGA during development, so exposure to the evaluated images cannot be excluded [17]. Prov-GigaPath combines a tile encoder with a long-context slide encoder trained on Providence health-system pathology data; we used its released final-layer TCGA embeddings [18]. We did not fine-tune these encoders or use molecular labels to learn the representations. Our comparison includes differences in preprocessing, resolution, training exposure and output layer under one PLS-based downstream analysis. It does not isolate intrinsic foundation-model quality.</w:t>
      </w:r>
    </w:p>
    <w:p>
      <w:r>
        <w:t>A cancer-endpoint pair combines one cancer type with one outcome, such as APC mutation in COAD or an RNA wound-healing signature in LIHC. Each pair defines a separate cancer-specific task; we never pooled cancers into one prediction model. The catalogue included mutations, fusions, microsatellite instability, genome doubling and oncogenic-pathway alterations, as well as sequencing-derived burdens, transcriptomic inflammatory programmes, inferred immune-cell fractions and genomic-context scores. Throughout this article, predictability means held-out statistical agreement with the supplied reference phenotype, not causality or assay replacement.</w:t>
      </w:r>
    </w:p>
    <w:p>
      <w:pPr>
        <w:pStyle w:val="Heading1"/>
      </w:pPr>
      <w:r>
        <w:t>Methods</w:t>
      </w:r>
    </w:p>
    <w:p>
      <w:pPr>
        <w:pStyle w:val="Heading2"/>
      </w:pPr>
      <w:r>
        <w:t>Study design, slides and patient unit</w:t>
      </w:r>
    </w:p>
    <w:p>
      <w:r>
        <w:t>A total of 11,449 TITAN slides from 9,404 patients, 11,427 Giga-SSL slides from 9,378 patients and 10,328 Prov-GigaPath slides from 8,393 patients were included in the released artifacts. In their union, 9,471 unique patients were identified. Of these, 8,241 (87.0%) were represented in all three datasets and were included in the matched benchmark. Analysis coverage is summarized in Supplementary Table S1, and participant characteristics by cancer are reported in Supplementary Table S2.</w:t>
      </w:r>
    </w:p>
    <w:p>
      <w:r>
        <w:t>Within each representation, eligible primary-tumour diagnostic slides were pooled by arithmetic mean before outcomes were joined. The patient, rather than the slide, was treated as the unit of analysis and cross-validation. Each patient with multiple slides was represented as one observation, and all slides from that patient were kept in the same fold.</w:t>
      </w:r>
    </w:p>
    <w:p>
      <w:r>
        <w:t>Generated TITAN slide narratives were used only for a non-adjudicated sensitivity audit. In the audit, 35 no-residual-tumour mentions were identified across six patients: TCGA-B6-A0IA and TCGA-B6-A0WV in BRCA, TCGA-55-8203 and TCGA-55-8507 in LUAD, TCGA-22-4596 in LUSC and TCGA-DX-AB2L in SARC. These patients were retained in the primary analysis because the generated narratives were derived from the same slides and did not constitute independent pathology review. In a post hoc sensitivity analysis, all six patients were removed before fold construction, and all 167 screen-positive models in the four affected cancers were refitted using the documented nested-validation rules. A separate maximum-slide-count sensitivity was also conducted for TCGA-DX-AB2L, the participant represented by 30 SARC slides, by removal of this patient before fold construction and refitting of every SARC candidate. Molecular sources were linked at participant or 15-character sample-barcode level; identity of the tissue block, aliquot or tumour region is not proved by either linkage. Complete exclusion results and the full linkage, pathology-quality and pooling audits are reported in Supplementary Table S3.</w:t>
      </w:r>
    </w:p>
    <w:p>
      <w:pPr>
        <w:pStyle w:val="Heading2"/>
      </w:pPr>
      <w:r>
        <w:t>Predictors and outcomes</w:t>
      </w:r>
    </w:p>
    <w:p>
      <w:r>
        <w:t>Slide vectors of 768 dimensions were supplied by TITAN and Prov-GigaPath, while 512-dimensional vectors were supplied by Giga-SSL. Five pragmatic inclusion criteria were applied. A ready-to-use slide-level TCGA embedding artifact had to be provided without downloading or reprocessing WSI pixels; deterministic slide identifiers linkable to patient and cancer had to be retained; one fixed-length whole-slide vector had to be provided; the 32-cancer frame had to be covered sufficiently for a common-patient analysis; and reproducible release metadata had to be provided for a materially distinct published whole-slide representation strategy. All five criteria were met by TITAN, Giga-SSL and Prov-GigaPath. Representative alternatives excluded because a compatible slide-level TCGA artifact, identifiers or common-cohort coverage were unavailable are listed in the supplementary inclusion audit; exclusion was not treated as a model-quality judgement. Upstream preprocessing, spatial resolution, training exposure and released layers were not harmonised. The released slide representations were therefore compared under a common probe, including differences in how each was produced, rather than as isolated tests of intrinsic foundation-model quality. Because TCGA was used during Giga-SSL development, molecular labels were held out downstream although representation learning may have included the evaluated images.</w:t>
      </w:r>
    </w:p>
    <w:p>
      <w:r>
        <w:t>Outcome labels were acquired from published TCGA companion resources and were joined by the 12-character participant barcode after representation-specific patient vectors had been constructed. Where a 15-character TCGA sample barcode was supplied by a source, primary-tumour sample type 01 was first retained and eligible molecular rows were then collapsed to one participant-level outcome. The PanImmune workbook published by Thorsson et al. supplied only participant identifiers. Source-specific and endpoint-specific missingness was retained. A participant absent from a molecular source was not assigned to the negative class. An exact 15-character sample match indicates the same TCGA sample barcode but does not prove that the WSI and assay used the same block, portion, analyte, aliquot, tumour region or subclone. The source file, sheet, identifier, filtering, aggregation, missingness and transformation for every outcome group are reported in the supplementary endpoint dictionary and the machine-readable outcome-source map in Additional file 4.</w:t>
      </w:r>
    </w:p>
    <w:p>
      <w:r>
        <w:t>Immune, inflammatory and genomic-context features were obtained from the PanImmune_MS sheet published by Thorsson et al. [19]. Fifty published non-survival, non-subtype and non-aggregate fields were selected; their participant-level values were imported rather than recalculated. They included 22 CIBERSORT LM22 fractions inferred from bulk RNA sequencing [20], a methylation-derived leukocyte fraction, ten bulk-RNA immune and inflammatory signatures, six BCR/TCR repertoire quantities, two somatic mutation rates, two in-silico neoantigen burdens, six genomic-context quantities and the Saltz H&amp;E-derived TIL Regional Fraction [21]. Endpoint-specific missing values were retained. Silent and nonsilent mutation rates, SNV and indel neoantigen counts and number of segments were analysed after log1p transformation; other PanImmune values kept their published scale. The PanImmune field named 'Aneuploidy Score' and the Taylor et al. arm-level burden named 'Aneuploidy score' were retained as separate outcomes with separate source labels in the case reports. CIBERSORT fractions and inflammatory signatures were interpreted as agreement with computational reference phenotypes, not direct tissue measurements.</w:t>
      </w:r>
    </w:p>
    <w:p>
      <w:r>
        <w:t>RNA pathway-activity outcomes were constructed from the batch-adjusted TCGA Pan-Cancer RNA-sequencing matrix downloaded from UCSC Xena [22] and the MSigDB 2026.1.Hs gene-set release [23]. Fifty Hallmark gene sets, the Reactome glutathione synthesis and recycling set and the Gene Ontology vitamin B6 metabolic-process set were used. Primary-tumour sample type 01 was retained, expression was averaged across multiple primary-tumour aliquots from the same participant, and genes were standardized within each cancer. Each pathway score was calculated as the mean standardized expression of its measured member genes. The scores are therefore RNA-derived computational reference phenotypes and not direct biochemical measurements of pathway flux, glutathione concentration or pyridoxine metabolism. Source URLs, checksums, gene-set membership and per-cancer measured-gene counts are reported in the supplementary source audit.</w:t>
      </w:r>
    </w:p>
    <w:p>
      <w:r>
        <w:t>Mutation labels were constructed from TCGA MC3 calls [24] accessed through the pinned TCGAmutations package, and tested genes were restricted to the tissue-specific driver catalogue in Bailey et al. Table S1 [25]. Primary-tumour samples, PASS variants and protein-altering missense, nonsense, nonstop, splice-site, translation-start, frameshift and in-frame changes were retained. COADREAD drivers were mapped to both COAD and READ. A participant was classified as mutated when a qualifying variant in the gene was present in any matched profiled primary sample. Wild type was assigned only when profiling of a primary-tumour sample was confirmed by MC3 clinical metadata and no qualifying variant was present; participants without an MC3-profiled primary tumour remained missing.</w:t>
      </w:r>
    </w:p>
    <w:p>
      <w:r>
        <w:t>Pathway status was imported from the Pathway level sheet of Sanchez-Vega et al. Table S4 [26]. Binary alterations in ten oncogenic signalling pathways are reported in the published matrix. Sample type 01 was retained, and a participant was defined as altered when any covered primary sample was altered in that pathway; participants absent from the table remained missing. The Taylor aneuploidy score, deleted-arm count, amplified-arm count and genome-doubling indicator were obtained from Table S2 [27]; continuous values were averaged across primary samples, and genome doubling was assigned when any primary sample was positive. Fusion calls and the assayed denominator were obtained from the two relevant sheets of Gao et al. Table S1 [28]; unique calls were collapsed by participant, zero was assigned only within the study sample list and fusion burden was log1p-transformed. Finally, MANTIS and MSIsensor fields were downloaded from the cBioPortal TCGA PanCancer Atlas clinical-sample files [29-30]; finite primary-sample scores were averaged, and missingness was retained when every primary-sample score was absent. A value greater than 0.4 was used for MSI-H in the main MANTIS definition; in the strict sensitivity, a value greater than 0.6 was used for MSI-H, a value less than 0.4 was used for MSS and intermediate scores were excluded.</w:t>
      </w:r>
    </w:p>
    <w:p>
      <w:pPr>
        <w:pStyle w:val="Heading2"/>
      </w:pPr>
      <w:r>
        <w:t>PLS regression and PLS-LDA classification</w:t>
      </w:r>
    </w:p>
    <w:p>
      <w:r>
        <w:t>Each eligible cancer-endpoint pair was analysed as a separate cancer-specific task. In the matched benchmark, TITAN, Giga-SSL and Prov-GigaPath models were fitted independently while the same patients and validation folds were used. Features were centred within training folds by nested patient-level five-fold cross-validation, and 1 to 20 latent components were selected from pooled inner held-out predictions, with ties resolved in favour of fewer components. For continuous outcomes, PLS regression was fitted, inner root-mean-square deviation was minimised, and outer-fold Q², the cross-validated coefficient of determination, RMSE and Spearman correlation were evaluated. For binary outcomes, PLS-LDA was fitted, and the component count was selected by pooled inner out-of-fold (OOF) AUROC. The balanced-accuracy-maximising threshold from those inner training predictions was applied unchanged to the outer test fold. Outer OOF AUROC was evaluated as the primary paired statistic; PR-AUC, balanced accuracy, sensitivity, specificity, PPV and NPV were also reported. The observed outcome prevalence was used as the no-skill reference for PR-AUC. The discriminant score was uncalibrated and was not presented as a probability. At least 20 patients per class were required for binary eligibility, and at least 50 labelled patients were required for continuous eligibility.</w:t>
      </w:r>
    </w:p>
    <w:p>
      <w:r>
        <w:t>Seeded rSVD was used for every decomposition with the fastPLS 0.3 defaults. In the matched benchmark, identical outcome-labelled patients, folds, seeds and tuning rules were applied to all three representations. A descriptive effect-threshold crossing was defined as Q²≥0.20 for a continuous task or AUROC≥0.60 for a binary task. These round, deliberately modest cutoffs were used to prioritise associations for follow-up within a large, heterogeneous catalogue, not to define clinical utility. Under the Q² definition used here, 0.20 corresponds to at least 20% less out-of-fold squared prediction error than a constant reference set to the observed outcome mean. An AUROC of 0.60 lies 0.10 above chance (0.50) on the case-control ranking scale. The two cutoffs do not represent equivalent biological or clinical effects. Their influence was assessed across Q² thresholds of 0.10 to 0.30 and AUROC thresholds of 0.55 to 0.65; unthresholded estimates were retained for every eligible task. No representation-specific permutation or multiplicity procedure was applied in the matched benchmark, so effect-threshold crossings were treated as catalogue-navigation summaries rather than inferential discoveries. For all 426 matched binary pairs, the training-only optimized call was compared with empirical-prior and equal-prior calls on the identical AUROC-selected outer scores. Paired changes in balanced accuracy, sensitivity, specificity, PPV and NPV were reported. Symmetric folds and tuning objectives were used in the fixed 48-target ridge comparison, which was not treated as a second atlas.</w:t>
      </w:r>
    </w:p>
    <w:p>
      <w:pPr>
        <w:pStyle w:val="Heading2"/>
      </w:pPr>
      <w:r>
        <w:t>Robustness and saved models</w:t>
      </w:r>
    </w:p>
    <w:p>
      <w:r>
        <w:t>Five alternative nested partitions were run for 1334 effect-threshold-crossing or near-threshold pairs. Median effects, interquartile ranges, effect-threshold-crossing proportions, paired effect variability, leading-representation rank stability and threshold-derived support-pattern stability were calculated. All 971 pairs with an effect-threshold crossing in at least one representation were also rerun while complete TCGA tissue-source-site codes were held apart in outer and inner validation. Outer-fold sizes and binary class counts were preserved by matched-random controls. Each task metric was calculated once from all pooled patient-level outer out-of-fold predictions rather than by averaging fold-specific metrics. Predictions from a single-class outer test fold were included in the pooled task metric, but a stand-alone metric for that fold was not interpreted. The number of contributing codes, four- versus five-fold validation, minimum inner and outer training-class counts and single-class outer-test, inner-validation and inner-training indicators are recorded in the task-level audit. Fewer than five outer folds, outer test n below 10, a single-class binary fold or fewer than 20 patients in either binary training class are marked by a machine-readable sparse-fold warning. An unqualified robustness interpretation of a sparse grouped result is prevented by this warning; it is not an exclusion or validity threshold.</w:t>
      </w:r>
    </w:p>
    <w:p>
      <w:r>
        <w:t>For the component-selection audit, every selected component across the five outer fits and the frequencies of selecting the 20-component ceiling were reported. Five constant Giga-SSL dimensions were retained to preserve its released 512-feature schema; each constant column was mapped to zero by training-fold centering. No constant dimensions were present in TITAN or Prov-GigaPath, and no near-constant dimension with a full-cohort standard deviation between zero and 1e-8 was present in any representation. Numerical failures were recorded rather than silently discarded; constant-response and constant-class fold predictions used the documented fastPLS fallback and were identified in the machine-readable fold audit.</w:t>
      </w:r>
    </w:p>
    <w:p>
      <w:r>
        <w:t>A total of 3,633 eligible pairs, comprising 3,174 continuous and 459 binary pairs, were evaluated in the supporting TITAN-only screen. Models below the effect checkpoint were assigned p=1 without permutation, while tests stopped after significance became impossible were assigned a distinct early-stopped p=1 status. Scaling, inner component selection, refitting and held-out prediction were repeated for every performed permutation. Up to 999 permutations were used in the primary audit, and eight separately locked leading targets were extended to 9,999 complete-process permutations with Monte Carlo intervals. Benjamini-Hochberg correction was applied within cancer and endpoint family; the q-value was defined as the false-discovery-rate-adjusted empirical p-value. Broader multiplicity sensitivities were reported separately. The 869 qualified candidates were subjected to five additional nested partitions and grouping by TCGA tissue-source-site code. For highlighted candidates, patients from five fixed held-out prediction sets were resampled in the 95% selection-conditioned (SC) patient-resampling interval for repeated OOF predictions, and each metric was recalculated without folds being regenerated and without retuning or refitting. Patient sampling variation conditional on those fitted partitions is represented by the interval; it is not a confidence interval for external generalisation, and winner's-curse selection is not corrected. Complete permutation, Monte Carlo, uncertainty, fold-adequacy, class-size, continuous-reliability and multiple-slide details are reported in the Supplementary Methods and machine-readable audit files.</w:t>
      </w:r>
    </w:p>
    <w:p>
      <w:r>
        <w:t>PathoFMPred records model coefficients, representation schemas, outcome definitions and internal-performance metadata, but using the package does not create validation evidence. Its contributor-authored source code and documentation are released under the MIT License. The public package contains no fitted model collections and provides no default model-download URL. A user with appropriate rights can supply an independently obtained collection and its checksum, or build a local object from compatible features and outcomes. TITAN-derived parameters remain outside the public repository pending written redistribution permission. No independent cohort was evaluated.</w:t>
      </w:r>
    </w:p>
    <w:p>
      <w:pPr>
        <w:pStyle w:val="Heading2"/>
      </w:pPr>
      <w:r>
        <w:t>Software, transparency and validation status</w:t>
      </w:r>
    </w:p>
    <w:p>
      <w:r>
        <w:t>The analyses were performed in R 4.6.0 with fastPLS 0.3. Code, manifests, complete-resolution results and registries are contained in the companion repository. Representation sources, checksums, object access terms and the future locked-evaluation protocol are documented in the Supplement and software repository. No independent cohort was included, so every reported performance estimate remains internal to TCGA.</w:t>
      </w:r>
    </w:p>
    <w:p>
      <w:pPr>
        <w:pStyle w:val="Heading1"/>
      </w:pPr>
      <w:r>
        <w:t>Results</w:t>
      </w:r>
    </w:p>
    <w:p>
      <w:pPr>
        <w:pStyle w:val="Heading2"/>
      </w:pPr>
      <w:r>
        <w:t>Matched cohort and slide representations</w:t>
      </w:r>
    </w:p>
    <w:p>
      <w:r>
        <w:t>We included 8,241 patients and 3,389 cancer–endpoint pairs shared across TITAN, Giga-SSL and Prov-GigaPath in the primary benchmark. These comprised 2,963 continuous and 426 binary pairs across 30 cancers. We used identical patients, outcomes, folds, seeds and tuning rules within each pair. Of the 8,241 patients in this matched cohort, 8,207 (99.6%) had exactly the same TCGA slide identifiers available in all three embedding datasets. At least one dataset lacked one or more otherwise eligible slides for the remaining 34 patients. Restricting every slide representation to the 10,165 slides available in all three datasets left median performance changes near zero, although individual small ACC tasks changed more substantially. The comparison nevertheless includes differences in upstream preprocessing, resolution, representation-learning exposure and released layer.</w:t>
      </w:r>
    </w:p>
    <w:p>
      <w:r>
        <w:t>We analysed 768-dimensional TITAN, 512-dimensional Giga-SSL and 768-dimensional Prov-GigaPath whole-slide vectors. TITAN combined a CONCH v1.5 tile encoder with its region-of-interest workflow and released slide layer. Giga-SSL combined a ResNet-18 tile encoder with a sparse-convolutional slide encoder, while Prov-GigaPath combined a DINOv2-style tile encoder with its final long-context slide layer. The reported TITAN Mass-340K and Prov-GigaPath Providence pretraining corpora excluded TCGA. Giga-SSL development used TCGA, so direct exposure to evaluated slides cannot be excluded. All three downstream analyses withheld molecular labels. We therefore interpret every comparison as a result for the released slide representations and the processes used to produce them, not an image-unseen test of isolated foundation-model quality.</w:t>
      </w:r>
    </w:p>
    <w:p>
      <w:r>
        <w:t>Pathology and molecular linkage limited interpretation. In the non-adjudicated pathology-text exclusion sensitivity defined in Methods, the original threshold remained for 157/167 models. This sensitivity does not replace independent pathology review.</w:t>
      </w:r>
    </w:p>
    <w:p>
      <w:r>
        <w:t>Supplementary Table S3 provides the patient-level generated-text audit, endpoint-level exclusion refits, source-specific linkage denominators and pooling diagnostics.</w:t>
      </w:r>
    </w:p>
    <w:p>
      <w:r>
        <w:t>Pooling sensitivity supported the patient mean as a stable deterministic summary but did not establish tissue adequacy. Coordinate-wise median pooling changed the median Q² and balanced accuracy by 0.000 and 0.000; mean-versus-median ranks correlated 0.992 and 0.978, and 766/770 continuous and 98/99 binary models retained their original thresholds. Among multi-slide patients, median pairwise cosine distances were 0.080, 0.103 and 0.052 for TITAN, Giga-SSL and Prov-GigaPath; their 95th percentiles were 0.324, 0.372 and 0.163. The median maximum leave-one-slide-out centroid changes were 0.010, 0.012 and 0.006. This was an embedding-level stability analysis, not a pathology or endpoint-performance adjudication.</w:t>
      </w:r>
    </w:p>
    <w:p>
      <w:r>
        <w:t>In the maximum-slide-count sensitivity defined in Methods, the original threshold remained for 34/36 continuous and 3/4 binary models. Any threshold changes show why participant weighting and tissue representativeness are distinct problems.</w:t>
      </w:r>
    </w:p>
    <w:p>
      <w:pPr>
        <w:jc w:val="center"/>
      </w:pPr>
      <w:r>
        <w:drawing>
          <wp:inline xmlns:a="http://schemas.openxmlformats.org/drawingml/2006/main" xmlns:pic="http://schemas.openxmlformats.org/drawingml/2006/picture">
            <wp:extent cx="5806440" cy="4112895"/>
            <wp:docPr id="1" name="Picture 1"/>
            <wp:cNvGraphicFramePr>
              <a:graphicFrameLocks noChangeAspect="1"/>
            </wp:cNvGraphicFramePr>
            <a:graphic>
              <a:graphicData uri="http://schemas.openxmlformats.org/drawingml/2006/picture">
                <pic:pic>
                  <pic:nvPicPr>
                    <pic:cNvPr id="0" name="Figure1_patient_overlap_venn.png"/>
                    <pic:cNvPicPr/>
                  </pic:nvPicPr>
                  <pic:blipFill>
                    <a:blip r:embed="rId23"/>
                    <a:stretch>
                      <a:fillRect/>
                    </a:stretch>
                  </pic:blipFill>
                  <pic:spPr>
                    <a:xfrm>
                      <a:off x="0" y="0"/>
                      <a:ext cx="5806440" cy="4112895"/>
                    </a:xfrm>
                    <a:prstGeom prst="rect"/>
                  </pic:spPr>
                </pic:pic>
              </a:graphicData>
            </a:graphic>
          </wp:inline>
        </w:drawing>
      </w:r>
    </w:p>
    <w:p>
      <w:pPr>
        <w:pStyle w:val="Caption"/>
        <w:jc w:val="center"/>
      </w:pPr>
      <w:r>
        <w:t>Figure 1. Patient and slide overlap across the three released TCGA representation datasets. TITAN contained 11,449 slides from 9,404 patients, Giga-SSL contained 11,427 slides from 9,378 patients and Prov-GigaPath contained 10,328 slides from 8,393 patients. The matched analysis used 8,241 patients. The exact common-slide intersection contained 10,165 slides, and 8,207 patients had identical slide sets across all three datasets. Region areas are schematic.</w:t>
      </w:r>
    </w:p>
    <w:p>
      <w:pPr>
        <w:pStyle w:val="Heading2"/>
      </w:pPr>
      <w:r>
        <w:t>Predictable tumour features and biological patterns</w:t>
      </w:r>
    </w:p>
    <w:p>
      <w:r>
        <w:t>The matched benchmark revealed its strongest and broadest biological signal in direct genomic alterations. At least one representation crossed the descriptive AUROC threshold in 160/243 mutation or fusion tasks, and all three crossed in 65/243. Composite genomic-context status, including MSI, genome doubling and oncogenic-pathway states, crossed in at least one representation for 108/183 tasks and in all three for 57/183. The continuous layer was more selective: at least one representation crossed for 39/413 sequencing-derived burdens, 101/279 transcriptomic signatures, 31/638 computationally inferred immune-cell fractions and 35/166 continuous genomic-context scores. All three crossed for 10, 51, 13 and 11 tasks in these four classes. Figure 2 shows both class-level breadth and named cancer-specific examples.</w:t>
      </w:r>
    </w:p>
    <w:p>
      <w:r>
        <w:t>We first compared paired Q² and AUROC values without thresholding. Relative to TITAN, Giga-SSL effects had Spearman correlations of 0.804 for continuous tasks and 0.661 for binary tasks; the corresponding Prov-GigaPath correlations were 0.811 and 0.717. Median alternative-minus-TITAN differences were -0.044 Q² and -0.034 AUROC for Giga-SSL, and -0.045 Q² and -0.026 AUROC for Prov-GigaPath. The full paired distributions remain in the machine-readable comparison table; Figure 2 presents biological classes and named examples.</w:t>
      </w:r>
    </w:p>
    <w:p>
      <w:r>
        <w:t>We also examined TITAN and Prov-GigaPath separately because their reported pretraining corpora excluded TCGA. For continuous tasks, both slide representations crossed Q² 0.20 in 391/2,963 pairs, TITAN alone crossed in 252 and Prov-GigaPath alone in 50. TITAN had the higher Q² in 2,124 pairs and Prov-GigaPath in 839; the median Prov-GigaPath-minus-TITAN difference was -0.045 with a descriptive 95% cancer-cluster interval from -0.054 to -0.035. For binary tasks, both crossed AUROC 0.60 in 152/426 pairs, TITAN alone in 78 and Prov-GigaPath alone in 24. TITAN had the higher AUROC in 288 pairs and Prov-GigaPath in 137; the median difference was -0.026 (-0.034 to -0.018). These cancer-cluster intervals describe paired task effects and are not confidence intervals for external generalisation. This comparison reduces one known difference in reported training exposure but still compares the full process used to generate each slide representation.</w:t>
      </w:r>
    </w:p>
    <w:p>
      <w:r>
        <w:t>Catalogue-normalised summaries gave the same aggregate ordering but substantially different scales across outcomes. For continuous tasks, the task-level effect-threshold-crossing percentage, unique-definition percentage, macro-family percentage and macro-cancer percentage were 21.7/84.3/12.5/21.6% for TITAN, 12.2/73.1/6.1/12.1% for Giga-SSL and 14.9/79.6/8.4/14.8% for Prov-GigaPath. For binary tasks, the corresponding values were 54.0/72.5/71.6/51.1%, 39.0/51.1/59.4/46.2% and 41.3/57.3/65.9/46.0%.</w:t>
      </w:r>
    </w:p>
    <w:p>
      <w:r>
        <w:t>We defined a descriptive effect-threshold crossing as Q² at least 0.20 for a continuous task or AUROC at least 0.60 for a binary task. At least one representation produced an effect-threshold crossing for 971/3,389 cancer-endpoint pairs (28.7%), including 703 continuous and 268 binary pairs and covering 196/239 distinct feature definitions. Two or more representations produced an effect-threshold crossing for 621 pairs. All three did so for 426 pairs, including 304 continuous and 122 binary pairs across 127 distinct feature definitions. These counts depend on the endpoint catalogue, repeat correlated phenotypes across cancers and are not independent biological discoveries. The matched atlas has no representation-specific permutation or multiplicity testing.</w:t>
      </w:r>
    </w:p>
    <w:p>
      <w:r>
        <w:t>The cross-representation genomic core included GTF2I, BRAF, IDH1, TP53, ATRX, CIC, FGFR3, APC and PTEN mutations, any called fusion, MSI status, genome doubling and several oncogenic-pathway states. These associations concentrated in biologically recognisable cancer contexts. The glioma results linked histology to IDH1, TP53, ATRX and CIC alterations and to TP53, HIPPO, WNT and RTK-RAS pathway states. Thyroid carcinoma showed strong BRAF and RTK-RAS signals, thymoma showed a strong GTF2I signal, bladder carcinoma retained FGFR3, and endometrial cancer retained PTEN, TP53, fusion and genome-doubling signals. COAD and STAD retained both strict and broader MSI definitions.</w:t>
      </w:r>
    </w:p>
    <w:p>
      <w:r>
        <w:t>Several direct or sequence-derived examples combined strong discrimination with agreement across representations and retention after TCGA tissue-source-site code grouping. THYM GTF2I mutation reached AUROC 0.904, 0.884, 0.893 for TITAN, Giga-SSL and Prov-GigaPath, respectively. THCA BRAF reached 0.886, 0.862, 0.857, LGG TP53 reached 0.912, 0.866, 0.872 and LGG IDH1 reached 0.837, 0.782, 0.840. COAD strict MSI reached AUROC 0.940, 0.851, 0.857 and PR-AUC 0.805, 0.584, 0.620, compared with a prevalence and no-skill PR-AUC reference of 0.150. Supplementary Table S4 reports the selected binary tumour-feature results.</w:t>
      </w:r>
    </w:p>
    <w:p>
      <w:r>
        <w:t>Fusion prediction produced a distinct set of results. Among 26 eligible binary fusion cancer-endpoint pairs, 12, 11, 10 crossed AUROC 0.60 with TITAN, Giga-SSL and Prov-GigaPath, respectively. All three crossed for 6 binary fusion pairs. For UCEC any called fusion, the matched cohort contained 80 positive cases among 152 patients; the AUROCs were 0.859, 0.661, 0.705. The complete fusion table also distinguishes called-fusion status, individual recurrent pairs and continuous fusion burden. These internally estimated signals prioritise cancer-specific fusion tasks for external testing rather than support one general fusion detector.</w:t>
      </w:r>
    </w:p>
    <w:p>
      <w:r>
        <w:t>The continuous results linked histology to selected inflammatory and tissue-context programmes rather than to every tested immune feature. For example, signals crossing in all three representations included TGCT TGF-beta response (Q² 0.601 to 0.662); THYM Th17 programme (Q² 0.425 to 0.617); BLCA leukocyte fraction (Q² 0.364 to 0.404); KIRP leukocyte fraction (Q² 0.368 to 0.407); THYM TCR diversity (Q² 0.377 to 0.478); each range spans the three representations. We treated these as agreement with bulk-transcriptomic, methylation-derived, repertoire or composite reference phenotypes rather than direct recovery of immune-cell abundance. The same-H&amp;E TIL Regional Fraction contributed 11 eligible tasks, which we excluded from the default cross-modal summary. Supplementary Table S5 reports selected continuous results, Supplementary Table S6 summarizes predictability by feature family, and Supplementary Table S7 provides the literature context for each tumour-feature class.</w:t>
      </w:r>
    </w:p>
    <w:p>
      <w:pPr>
        <w:jc w:val="center"/>
      </w:pPr>
      <w:r>
        <w:drawing>
          <wp:inline xmlns:a="http://schemas.openxmlformats.org/drawingml/2006/main" xmlns:pic="http://schemas.openxmlformats.org/drawingml/2006/picture">
            <wp:extent cx="5806440" cy="7377594"/>
            <wp:docPr id="2" name="Picture 2"/>
            <wp:cNvGraphicFramePr>
              <a:graphicFrameLocks noChangeAspect="1"/>
            </wp:cNvGraphicFramePr>
            <a:graphic>
              <a:graphicData uri="http://schemas.openxmlformats.org/drawingml/2006/picture">
                <pic:pic>
                  <pic:nvPicPr>
                    <pic:cNvPr id="0" name="Figure2_biological_predictability_map.png"/>
                    <pic:cNvPicPr/>
                  </pic:nvPicPr>
                  <pic:blipFill>
                    <a:blip r:embed="rId18"/>
                    <a:stretch>
                      <a:fillRect/>
                    </a:stretch>
                  </pic:blipFill>
                  <pic:spPr>
                    <a:xfrm>
                      <a:off x="0" y="0"/>
                      <a:ext cx="5806440" cy="7377594"/>
                    </a:xfrm>
                    <a:prstGeom prst="rect"/>
                  </pic:spPr>
                </pic:pic>
              </a:graphicData>
            </a:graphic>
          </wp:inline>
        </w:drawing>
      </w:r>
    </w:p>
    <w:p>
      <w:pPr>
        <w:pStyle w:val="Caption"/>
        <w:jc w:val="center"/>
      </w:pPr>
      <w:r>
        <w:t>Figure 2. Tumour-feature classes and selected cancer-specific examples. Panel A shows eligible pairs crossing Q²≥0.20 or AUROC≥0.60 in at least one or all three representations; 11 same-H&amp;E TIL-fraction tasks were excluded. Panels B and C show selected genomic and derived tissue-context outcomes that crossed in all three and retained the threshold after TCGA tissue-source-site code grouping. Blue, orange and green denote TITAN, Giga-SSL and Prov-GigaPath; right-hand labels name the highest observed effect. Grouped retention is an internal sensitivity, not external validation.</w:t>
      </w:r>
    </w:p>
    <w:p>
      <w:r>
        <w:t>The leading representation differed by feature. Among the 18 examples in Figure 2, TITAN had the highest observed held-out effect for 14, Prov-GigaPath for 3 and Giga-SSL for 1. Examples led by Prov-GigaPath included COAD Genome doubling, THCA Any called fusion, KIRP Leukocyte Fraction; Giga-SSL led TGCT EPITHELIAL MESENCHYMAL TRANSITION. Several margins were small, so close values were interpreted as near-ties rather than evidence of a universally superior representation.</w:t>
      </w:r>
    </w:p>
    <w:p>
      <w:r>
        <w:t>The operating-point audit used the same AUROC-selected scores for every rule. Counts with balanced accuracy at least 0.60 under empirical priors, equal priors and a training-only optimized threshold were 88/180/160 for TITAN, 60/107/117 for Giga-SSL and 80/115/116 for Prov-GigaPath. Relative to empirical priors, the training-only threshold changed median balanced accuracy by 0.029/0.020/0.014, sensitivity by 0.378/0.381/0.362, specificity by -0.300/-0.329/-0.329, PPV by -0.020/-0.012/-0.021 and NPV by 0.016/0.012/0.011 for TITAN/Giga-SSL/Prov-GigaPath. Supplementary Table S8 summarizes the statistical and robustness audits, while complete paired changes for all five operating metrics remain machine readable. AUROC and PR-AUC did not change because the component and continuous outer score remained fixed. Table 1 summarizes descriptive predictability by tumour-feature class.</w:t>
      </w:r>
    </w:p>
    <w:p>
      <w:r>
        <w:t>Table 1. Tumour-feature classes with descriptive effect-threshold crossings. Percentages use eligible cancer-endpoint pairs within each class; values in brackets show distinct feature definitions. We evaluated some definitions in several cancers, so task counts are catalogue-dependent and do not represent independent biological discoveries.</w:t>
      </w:r>
    </w:p>
    <w:tbl>
      <w:tblPr>
        <w:tblStyle w:val="TableGrid"/>
        <w:tblW w:type="dxa" w:w="8276"/>
        <w:jc w:val="left"/>
        <w:tblLayout w:type="fixed"/>
        <w:tblLook w:firstColumn="1" w:firstRow="1" w:lastColumn="0" w:lastRow="0" w:noHBand="0" w:noVBand="1" w:val="04A0"/>
        <w:tblLayout w:type="fixed"/>
        <w:tblInd w:type="dxa" w:w="0"/>
      </w:tblPr>
      <w:tblGrid>
        <w:gridCol w:w="1644"/>
        <w:gridCol w:w="737"/>
        <w:gridCol w:w="1417"/>
        <w:gridCol w:w="1417"/>
        <w:gridCol w:w="3061"/>
      </w:tblGrid>
      <w:tr>
        <w:trPr>
          <w:tblHeader w:val="true"/>
          <w:cantSplit/>
        </w:trPr>
        <w:tc>
          <w:tcPr>
            <w:tcW w:type="dxa" w:w="1644"/>
            <w:shd w:fill="D9EAF7"/>
          </w:tcPr>
          <w:p>
            <w:pPr>
              <w:spacing w:line="240" w:lineRule="auto" w:after="0"/>
            </w:pPr>
            <w:r>
              <w:rPr>
                <w:b/>
                <w:sz w:val="16"/>
              </w:rPr>
              <w:t>Tumour-feature class</w:t>
            </w:r>
          </w:p>
        </w:tc>
        <w:tc>
          <w:tcPr>
            <w:tcW w:type="dxa" w:w="737"/>
            <w:shd w:fill="D9EAF7"/>
          </w:tcPr>
          <w:p>
            <w:pPr>
              <w:spacing w:line="240" w:lineRule="auto" w:after="0"/>
            </w:pPr>
            <w:r>
              <w:rPr>
                <w:b/>
                <w:sz w:val="16"/>
              </w:rPr>
              <w:t>Eligible pairs</w:t>
            </w:r>
          </w:p>
        </w:tc>
        <w:tc>
          <w:tcPr>
            <w:tcW w:type="dxa" w:w="1417"/>
            <w:shd w:fill="D9EAF7"/>
          </w:tcPr>
          <w:p>
            <w:pPr>
              <w:spacing w:line="240" w:lineRule="auto" w:after="0"/>
            </w:pPr>
            <w:r>
              <w:rPr>
                <w:b/>
                <w:sz w:val="16"/>
              </w:rPr>
              <w:t>Crossing in at least 1, n/N (%) [features]</w:t>
            </w:r>
          </w:p>
        </w:tc>
        <w:tc>
          <w:tcPr>
            <w:tcW w:type="dxa" w:w="1417"/>
            <w:shd w:fill="D9EAF7"/>
          </w:tcPr>
          <w:p>
            <w:pPr>
              <w:spacing w:line="240" w:lineRule="auto" w:after="0"/>
            </w:pPr>
            <w:r>
              <w:rPr>
                <w:b/>
                <w:sz w:val="16"/>
              </w:rPr>
              <w:t>Crossing in all 3, n/N (%) [features]</w:t>
            </w:r>
          </w:p>
        </w:tc>
        <w:tc>
          <w:tcPr>
            <w:tcW w:type="dxa" w:w="3061"/>
            <w:shd w:fill="D9EAF7"/>
          </w:tcPr>
          <w:p>
            <w:pPr>
              <w:spacing w:line="240" w:lineRule="auto" w:after="0"/>
            </w:pPr>
            <w:r>
              <w:rPr>
                <w:b/>
                <w:sz w:val="16"/>
              </w:rPr>
              <w:t>Examples shared by all 3</w:t>
            </w:r>
          </w:p>
        </w:tc>
      </w:tr>
      <w:tr>
        <w:trPr>
          <w:cantSplit/>
        </w:trPr>
        <w:tc>
          <w:tcPr>
            <w:tcW w:type="dxa" w:w="1644"/>
            <w:vAlign w:val="center"/>
          </w:tcPr>
          <w:p>
            <w:pPr>
              <w:spacing w:line="240" w:lineRule="auto" w:after="0"/>
            </w:pPr>
            <w:r>
              <w:rPr>
                <w:sz w:val="15"/>
              </w:rPr>
              <w:t>Direct genomic alterations</w:t>
            </w:r>
          </w:p>
        </w:tc>
        <w:tc>
          <w:tcPr>
            <w:tcW w:type="dxa" w:w="737"/>
            <w:vAlign w:val="center"/>
          </w:tcPr>
          <w:p>
            <w:pPr>
              <w:spacing w:line="240" w:lineRule="auto" w:after="0"/>
            </w:pPr>
            <w:r>
              <w:rPr>
                <w:sz w:val="15"/>
              </w:rPr>
              <w:t>243</w:t>
            </w:r>
          </w:p>
        </w:tc>
        <w:tc>
          <w:tcPr>
            <w:tcW w:type="dxa" w:w="1417"/>
            <w:vAlign w:val="center"/>
          </w:tcPr>
          <w:p>
            <w:pPr>
              <w:spacing w:line="240" w:lineRule="auto" w:after="0"/>
            </w:pPr>
            <w:r>
              <w:rPr>
                <w:sz w:val="15"/>
              </w:rPr>
              <w:t>160/243 (65.8%) [91]</w:t>
            </w:r>
          </w:p>
        </w:tc>
        <w:tc>
          <w:tcPr>
            <w:tcW w:type="dxa" w:w="1417"/>
            <w:vAlign w:val="center"/>
          </w:tcPr>
          <w:p>
            <w:pPr>
              <w:spacing w:line="240" w:lineRule="auto" w:after="0"/>
            </w:pPr>
            <w:r>
              <w:rPr>
                <w:sz w:val="15"/>
              </w:rPr>
              <w:t>65/243 (26.7%) [1]</w:t>
            </w:r>
          </w:p>
        </w:tc>
        <w:tc>
          <w:tcPr>
            <w:tcW w:type="dxa" w:w="3061"/>
            <w:vAlign w:val="center"/>
          </w:tcPr>
          <w:p>
            <w:pPr>
              <w:spacing w:line="240" w:lineRule="auto" w:after="0"/>
            </w:pPr>
            <w:r>
              <w:rPr>
                <w:sz w:val="15"/>
              </w:rPr>
              <w:t>GTF2I, BRAF, IDH1, TP53, ATRX, CIC, FGFR3, APC, PTEN and called fusions</w:t>
            </w:r>
          </w:p>
        </w:tc>
      </w:tr>
      <w:tr>
        <w:trPr>
          <w:cantSplit/>
        </w:trPr>
        <w:tc>
          <w:tcPr>
            <w:tcW w:type="dxa" w:w="1644"/>
            <w:vAlign w:val="center"/>
          </w:tcPr>
          <w:p>
            <w:pPr>
              <w:spacing w:line="240" w:lineRule="auto" w:after="0"/>
            </w:pPr>
            <w:r>
              <w:rPr>
                <w:sz w:val="15"/>
              </w:rPr>
              <w:t>Composite genomic-context status</w:t>
            </w:r>
          </w:p>
        </w:tc>
        <w:tc>
          <w:tcPr>
            <w:tcW w:type="dxa" w:w="737"/>
            <w:vAlign w:val="center"/>
          </w:tcPr>
          <w:p>
            <w:pPr>
              <w:spacing w:line="240" w:lineRule="auto" w:after="0"/>
            </w:pPr>
            <w:r>
              <w:rPr>
                <w:sz w:val="15"/>
              </w:rPr>
              <w:t>183</w:t>
            </w:r>
          </w:p>
        </w:tc>
        <w:tc>
          <w:tcPr>
            <w:tcW w:type="dxa" w:w="1417"/>
            <w:vAlign w:val="center"/>
          </w:tcPr>
          <w:p>
            <w:pPr>
              <w:spacing w:line="240" w:lineRule="auto" w:after="0"/>
            </w:pPr>
            <w:r>
              <w:rPr>
                <w:sz w:val="15"/>
              </w:rPr>
              <w:t>108/183 (59.0%) [7]</w:t>
            </w:r>
          </w:p>
        </w:tc>
        <w:tc>
          <w:tcPr>
            <w:tcW w:type="dxa" w:w="1417"/>
            <w:vAlign w:val="center"/>
          </w:tcPr>
          <w:p>
            <w:pPr>
              <w:spacing w:line="240" w:lineRule="auto" w:after="0"/>
            </w:pPr>
            <w:r>
              <w:rPr>
                <w:sz w:val="15"/>
              </w:rPr>
              <w:t>57/183 (31.1%) [7]</w:t>
            </w:r>
          </w:p>
        </w:tc>
        <w:tc>
          <w:tcPr>
            <w:tcW w:type="dxa" w:w="3061"/>
            <w:vAlign w:val="center"/>
          </w:tcPr>
          <w:p>
            <w:pPr>
              <w:spacing w:line="240" w:lineRule="auto" w:after="0"/>
            </w:pPr>
            <w:r>
              <w:rPr>
                <w:sz w:val="15"/>
              </w:rPr>
              <w:t>MSI, genome doubling and TP53, RTK-RAS, HIPPO, WNT and NOTCH pathway status</w:t>
            </w:r>
          </w:p>
        </w:tc>
      </w:tr>
      <w:tr>
        <w:trPr>
          <w:cantSplit/>
        </w:trPr>
        <w:tc>
          <w:tcPr>
            <w:tcW w:type="dxa" w:w="1644"/>
            <w:vAlign w:val="center"/>
          </w:tcPr>
          <w:p>
            <w:pPr>
              <w:spacing w:line="240" w:lineRule="auto" w:after="0"/>
            </w:pPr>
            <w:r>
              <w:rPr>
                <w:sz w:val="15"/>
              </w:rPr>
              <w:t>Sequencing-derived burdens</w:t>
            </w:r>
          </w:p>
        </w:tc>
        <w:tc>
          <w:tcPr>
            <w:tcW w:type="dxa" w:w="737"/>
            <w:vAlign w:val="center"/>
          </w:tcPr>
          <w:p>
            <w:pPr>
              <w:spacing w:line="240" w:lineRule="auto" w:after="0"/>
            </w:pPr>
            <w:r>
              <w:rPr>
                <w:sz w:val="15"/>
              </w:rPr>
              <w:t>413</w:t>
            </w:r>
          </w:p>
        </w:tc>
        <w:tc>
          <w:tcPr>
            <w:tcW w:type="dxa" w:w="1417"/>
            <w:vAlign w:val="center"/>
          </w:tcPr>
          <w:p>
            <w:pPr>
              <w:spacing w:line="240" w:lineRule="auto" w:after="0"/>
            </w:pPr>
            <w:r>
              <w:rPr>
                <w:sz w:val="15"/>
              </w:rPr>
              <w:t>39/413 (9.4%) [7]</w:t>
            </w:r>
          </w:p>
        </w:tc>
        <w:tc>
          <w:tcPr>
            <w:tcW w:type="dxa" w:w="1417"/>
            <w:vAlign w:val="center"/>
          </w:tcPr>
          <w:p>
            <w:pPr>
              <w:spacing w:line="240" w:lineRule="auto" w:after="0"/>
            </w:pPr>
            <w:r>
              <w:rPr>
                <w:sz w:val="15"/>
              </w:rPr>
              <w:t>10/413 (2.4%) [6]</w:t>
            </w:r>
          </w:p>
        </w:tc>
        <w:tc>
          <w:tcPr>
            <w:tcW w:type="dxa" w:w="3061"/>
            <w:vAlign w:val="center"/>
          </w:tcPr>
          <w:p>
            <w:pPr>
              <w:spacing w:line="240" w:lineRule="auto" w:after="0"/>
            </w:pPr>
            <w:r>
              <w:rPr>
                <w:sz w:val="15"/>
              </w:rPr>
              <w:t>MANTIS, aneuploidy, TCR diversity and SNV neoantigens</w:t>
            </w:r>
          </w:p>
        </w:tc>
      </w:tr>
      <w:tr>
        <w:trPr>
          <w:cantSplit/>
        </w:trPr>
        <w:tc>
          <w:tcPr>
            <w:tcW w:type="dxa" w:w="1644"/>
            <w:vAlign w:val="center"/>
          </w:tcPr>
          <w:p>
            <w:pPr>
              <w:spacing w:line="240" w:lineRule="auto" w:after="0"/>
            </w:pPr>
            <w:r>
              <w:rPr>
                <w:sz w:val="15"/>
              </w:rPr>
              <w:t>Transcriptomic signatures</w:t>
            </w:r>
          </w:p>
        </w:tc>
        <w:tc>
          <w:tcPr>
            <w:tcW w:type="dxa" w:w="737"/>
            <w:vAlign w:val="center"/>
          </w:tcPr>
          <w:p>
            <w:pPr>
              <w:spacing w:line="240" w:lineRule="auto" w:after="0"/>
            </w:pPr>
            <w:r>
              <w:rPr>
                <w:sz w:val="15"/>
              </w:rPr>
              <w:t>279</w:t>
            </w:r>
          </w:p>
        </w:tc>
        <w:tc>
          <w:tcPr>
            <w:tcW w:type="dxa" w:w="1417"/>
            <w:vAlign w:val="center"/>
          </w:tcPr>
          <w:p>
            <w:pPr>
              <w:spacing w:line="240" w:lineRule="auto" w:after="0"/>
            </w:pPr>
            <w:r>
              <w:rPr>
                <w:sz w:val="15"/>
              </w:rPr>
              <w:t>101/279 (36.2%) [13]</w:t>
            </w:r>
          </w:p>
        </w:tc>
        <w:tc>
          <w:tcPr>
            <w:tcW w:type="dxa" w:w="1417"/>
            <w:vAlign w:val="center"/>
          </w:tcPr>
          <w:p>
            <w:pPr>
              <w:spacing w:line="240" w:lineRule="auto" w:after="0"/>
            </w:pPr>
            <w:r>
              <w:rPr>
                <w:sz w:val="15"/>
              </w:rPr>
              <w:t>51/279 (18.3%) [12]</w:t>
            </w:r>
          </w:p>
        </w:tc>
        <w:tc>
          <w:tcPr>
            <w:tcW w:type="dxa" w:w="3061"/>
            <w:vAlign w:val="center"/>
          </w:tcPr>
          <w:p>
            <w:pPr>
              <w:spacing w:line="240" w:lineRule="auto" w:after="0"/>
            </w:pPr>
            <w:r>
              <w:rPr>
                <w:sz w:val="15"/>
              </w:rPr>
              <w:t>TGF-beta, IFN-gamma, proliferation, wound healing and Th1, Th2 and Th17 programmes</w:t>
            </w:r>
          </w:p>
        </w:tc>
      </w:tr>
      <w:tr>
        <w:trPr>
          <w:cantSplit/>
        </w:trPr>
        <w:tc>
          <w:tcPr>
            <w:tcW w:type="dxa" w:w="1644"/>
            <w:vAlign w:val="center"/>
          </w:tcPr>
          <w:p>
            <w:pPr>
              <w:spacing w:line="240" w:lineRule="auto" w:after="0"/>
            </w:pPr>
            <w:r>
              <w:rPr>
                <w:sz w:val="15"/>
              </w:rPr>
              <w:t>Inferred immune-cell fractions</w:t>
            </w:r>
          </w:p>
        </w:tc>
        <w:tc>
          <w:tcPr>
            <w:tcW w:type="dxa" w:w="737"/>
            <w:vAlign w:val="center"/>
          </w:tcPr>
          <w:p>
            <w:pPr>
              <w:spacing w:line="240" w:lineRule="auto" w:after="0"/>
            </w:pPr>
            <w:r>
              <w:rPr>
                <w:sz w:val="15"/>
              </w:rPr>
              <w:t>638</w:t>
            </w:r>
          </w:p>
        </w:tc>
        <w:tc>
          <w:tcPr>
            <w:tcW w:type="dxa" w:w="1417"/>
            <w:vAlign w:val="center"/>
          </w:tcPr>
          <w:p>
            <w:pPr>
              <w:spacing w:line="240" w:lineRule="auto" w:after="0"/>
            </w:pPr>
            <w:r>
              <w:rPr>
                <w:sz w:val="15"/>
              </w:rPr>
              <w:t>31/638 (4.9%) [11]</w:t>
            </w:r>
          </w:p>
        </w:tc>
        <w:tc>
          <w:tcPr>
            <w:tcW w:type="dxa" w:w="1417"/>
            <w:vAlign w:val="center"/>
          </w:tcPr>
          <w:p>
            <w:pPr>
              <w:spacing w:line="240" w:lineRule="auto" w:after="0"/>
            </w:pPr>
            <w:r>
              <w:rPr>
                <w:sz w:val="15"/>
              </w:rPr>
              <w:t>13/638 (2.0%) [6]</w:t>
            </w:r>
          </w:p>
        </w:tc>
        <w:tc>
          <w:tcPr>
            <w:tcW w:type="dxa" w:w="3061"/>
            <w:vAlign w:val="center"/>
          </w:tcPr>
          <w:p>
            <w:pPr>
              <w:spacing w:line="240" w:lineRule="auto" w:after="0"/>
            </w:pPr>
            <w:r>
              <w:rPr>
                <w:sz w:val="15"/>
              </w:rPr>
              <w:t>leukocyte, naive B-cell, M2-macrophage and regulatory T-cell fractions</w:t>
            </w:r>
          </w:p>
        </w:tc>
      </w:tr>
      <w:tr>
        <w:trPr>
          <w:cantSplit/>
        </w:trPr>
        <w:tc>
          <w:tcPr>
            <w:tcW w:type="dxa" w:w="1644"/>
            <w:vAlign w:val="center"/>
          </w:tcPr>
          <w:p>
            <w:pPr>
              <w:spacing w:line="240" w:lineRule="auto" w:after="0"/>
            </w:pPr>
            <w:r>
              <w:rPr>
                <w:sz w:val="15"/>
              </w:rPr>
              <w:t>Continuous genomic-context scores</w:t>
            </w:r>
          </w:p>
        </w:tc>
        <w:tc>
          <w:tcPr>
            <w:tcW w:type="dxa" w:w="737"/>
            <w:vAlign w:val="center"/>
          </w:tcPr>
          <w:p>
            <w:pPr>
              <w:spacing w:line="240" w:lineRule="auto" w:after="0"/>
            </w:pPr>
            <w:r>
              <w:rPr>
                <w:sz w:val="15"/>
              </w:rPr>
              <w:t>166</w:t>
            </w:r>
          </w:p>
        </w:tc>
        <w:tc>
          <w:tcPr>
            <w:tcW w:type="dxa" w:w="1417"/>
            <w:vAlign w:val="center"/>
          </w:tcPr>
          <w:p>
            <w:pPr>
              <w:spacing w:line="240" w:lineRule="auto" w:after="0"/>
            </w:pPr>
            <w:r>
              <w:rPr>
                <w:sz w:val="15"/>
              </w:rPr>
              <w:t>35/166 (21.1%) [8]</w:t>
            </w:r>
          </w:p>
        </w:tc>
        <w:tc>
          <w:tcPr>
            <w:tcW w:type="dxa" w:w="1417"/>
            <w:vAlign w:val="center"/>
          </w:tcPr>
          <w:p>
            <w:pPr>
              <w:spacing w:line="240" w:lineRule="auto" w:after="0"/>
            </w:pPr>
            <w:r>
              <w:rPr>
                <w:sz w:val="15"/>
              </w:rPr>
              <w:t>11/166 (6.6%) [5]</w:t>
            </w:r>
          </w:p>
        </w:tc>
        <w:tc>
          <w:tcPr>
            <w:tcW w:type="dxa" w:w="3061"/>
            <w:vAlign w:val="center"/>
          </w:tcPr>
          <w:p>
            <w:pPr>
              <w:spacing w:line="240" w:lineRule="auto" w:after="0"/>
            </w:pPr>
            <w:r>
              <w:rPr>
                <w:sz w:val="15"/>
              </w:rPr>
              <w:t>aneuploidy, fraction altered, homologous-recombination defects, segment count and stromal fraction</w:t>
            </w:r>
          </w:p>
        </w:tc>
      </w:tr>
      <w:tr>
        <w:trPr>
          <w:cantSplit/>
        </w:trPr>
        <w:tc>
          <w:tcPr>
            <w:tcW w:type="dxa" w:w="1644"/>
            <w:vAlign w:val="center"/>
          </w:tcPr>
          <w:p>
            <w:pPr>
              <w:spacing w:line="240" w:lineRule="auto" w:after="0"/>
            </w:pPr>
            <w:r>
              <w:rPr>
                <w:sz w:val="15"/>
              </w:rPr>
              <w:t>Same-H&amp;E TIL fraction</w:t>
            </w:r>
          </w:p>
        </w:tc>
        <w:tc>
          <w:tcPr>
            <w:tcW w:type="dxa" w:w="737"/>
            <w:vAlign w:val="center"/>
          </w:tcPr>
          <w:p>
            <w:pPr>
              <w:spacing w:line="240" w:lineRule="auto" w:after="0"/>
            </w:pPr>
            <w:r>
              <w:rPr>
                <w:sz w:val="15"/>
              </w:rPr>
              <w:t>11</w:t>
            </w:r>
          </w:p>
        </w:tc>
        <w:tc>
          <w:tcPr>
            <w:tcW w:type="dxa" w:w="1417"/>
            <w:vAlign w:val="center"/>
          </w:tcPr>
          <w:p>
            <w:pPr>
              <w:spacing w:line="240" w:lineRule="auto" w:after="0"/>
            </w:pPr>
            <w:r>
              <w:rPr>
                <w:sz w:val="15"/>
              </w:rPr>
              <w:t>11/11 (100.0%) [2]</w:t>
            </w:r>
          </w:p>
        </w:tc>
        <w:tc>
          <w:tcPr>
            <w:tcW w:type="dxa" w:w="1417"/>
            <w:vAlign w:val="center"/>
          </w:tcPr>
          <w:p>
            <w:pPr>
              <w:spacing w:line="240" w:lineRule="auto" w:after="0"/>
            </w:pPr>
            <w:r>
              <w:rPr>
                <w:sz w:val="15"/>
              </w:rPr>
              <w:t>10/11 (90.9%) [2]</w:t>
            </w:r>
          </w:p>
        </w:tc>
        <w:tc>
          <w:tcPr>
            <w:tcW w:type="dxa" w:w="3061"/>
            <w:vAlign w:val="center"/>
          </w:tcPr>
          <w:p>
            <w:pPr>
              <w:spacing w:line="240" w:lineRule="auto" w:after="0"/>
            </w:pPr>
            <w:r>
              <w:rPr>
                <w:sz w:val="15"/>
              </w:rPr>
              <w:t>TIL Regional Fraction</w:t>
            </w:r>
          </w:p>
        </w:tc>
      </w:tr>
    </w:tbl>
    <w:p/>
    <w:p>
      <w:r>
        <w:t>Supplementary Table S9 documents endpoint provenance, derivation and assay-equivalence limitations. Table 2 summarizes pathology-quality, pooling and molecular-slide linkage constraints.</w:t>
      </w:r>
    </w:p>
    <w:p>
      <w:pPr>
        <w:keepNext/>
      </w:pPr>
      <w:r>
        <w:t>Table 2. Pathology-quality, pooling and molecular-slide linkage constraints. Linkage refers to the released identifier resolution. A shared 15-character TCGA sample barcode does not establish identity of the tissue portion, analyte, aliquot, block, tumour region or subclone.</w:t>
      </w:r>
    </w:p>
    <w:tbl>
      <w:tblPr>
        <w:tblStyle w:val="TableGrid"/>
        <w:tblW w:type="dxa" w:w="8505"/>
        <w:jc w:val="left"/>
        <w:tblLayout w:type="fixed"/>
        <w:tblLook w:firstColumn="1" w:firstRow="1" w:lastColumn="0" w:lastRow="0" w:noHBand="0" w:noVBand="1" w:val="04A0"/>
        <w:tblLayout w:type="fixed"/>
        <w:tblInd w:type="dxa" w:w="0"/>
      </w:tblPr>
      <w:tblGrid>
        <w:gridCol w:w="1701"/>
        <w:gridCol w:w="2098"/>
        <w:gridCol w:w="2098"/>
        <w:gridCol w:w="2608"/>
      </w:tblGrid>
      <w:tr>
        <w:trPr>
          <w:tblHeader w:val="true"/>
          <w:cantSplit/>
        </w:trPr>
        <w:tc>
          <w:tcPr>
            <w:tcW w:type="dxa" w:w="1701"/>
            <w:shd w:fill="D9EAF7"/>
          </w:tcPr>
          <w:p>
            <w:pPr>
              <w:spacing w:line="240" w:lineRule="auto" w:after="0"/>
            </w:pPr>
            <w:r>
              <w:rPr>
                <w:b/>
                <w:sz w:val="13"/>
              </w:rPr>
              <w:t>Area or endpoint source</w:t>
            </w:r>
          </w:p>
        </w:tc>
        <w:tc>
          <w:tcPr>
            <w:tcW w:type="dxa" w:w="2098"/>
            <w:shd w:fill="D9EAF7"/>
          </w:tcPr>
          <w:p>
            <w:pPr>
              <w:spacing w:line="240" w:lineRule="auto" w:after="0"/>
            </w:pPr>
            <w:r>
              <w:rPr>
                <w:b/>
                <w:sz w:val="13"/>
              </w:rPr>
              <w:t>Available linkage or rule</w:t>
            </w:r>
          </w:p>
        </w:tc>
        <w:tc>
          <w:tcPr>
            <w:tcW w:type="dxa" w:w="2098"/>
            <w:shd w:fill="D9EAF7"/>
          </w:tcPr>
          <w:p>
            <w:pPr>
              <w:spacing w:line="240" w:lineRule="auto" w:after="0"/>
            </w:pPr>
            <w:r>
              <w:rPr>
                <w:b/>
                <w:sz w:val="13"/>
              </w:rPr>
              <w:t>Observed extent</w:t>
            </w:r>
          </w:p>
        </w:tc>
        <w:tc>
          <w:tcPr>
            <w:tcW w:type="dxa" w:w="2608"/>
            <w:shd w:fill="D9EAF7"/>
          </w:tcPr>
          <w:p>
            <w:pPr>
              <w:spacing w:line="240" w:lineRule="auto" w:after="0"/>
            </w:pPr>
            <w:r>
              <w:rPr>
                <w:b/>
                <w:sz w:val="13"/>
              </w:rPr>
              <w:t>Remaining limitation</w:t>
            </w:r>
          </w:p>
        </w:tc>
      </w:tr>
      <w:tr>
        <w:trPr>
          <w:cantSplit/>
        </w:trPr>
        <w:tc>
          <w:tcPr>
            <w:tcW w:type="dxa" w:w="1701"/>
            <w:vAlign w:val="center"/>
          </w:tcPr>
          <w:p>
            <w:pPr>
              <w:spacing w:line="240" w:lineRule="auto" w:after="0"/>
            </w:pPr>
            <w:r>
              <w:rPr>
                <w:sz w:val="12"/>
              </w:rPr>
              <w:t>Structured pathology quality</w:t>
            </w:r>
          </w:p>
        </w:tc>
        <w:tc>
          <w:tcPr>
            <w:tcW w:type="dxa" w:w="2098"/>
            <w:vAlign w:val="center"/>
          </w:tcPr>
          <w:p>
            <w:pPr>
              <w:spacing w:line="240" w:lineRule="auto" w:after="0"/>
            </w:pPr>
            <w:r>
              <w:rPr>
                <w:sz w:val="12"/>
              </w:rPr>
              <w:t>Primary-tumour sample type and diagnostic-slide filename</w:t>
            </w:r>
          </w:p>
        </w:tc>
        <w:tc>
          <w:tcPr>
            <w:tcW w:type="dxa" w:w="2098"/>
            <w:vAlign w:val="center"/>
          </w:tcPr>
          <w:p>
            <w:pPr>
              <w:spacing w:line="240" w:lineRule="auto" w:after="0"/>
            </w:pPr>
            <w:r>
              <w:rPr>
                <w:sz w:val="12"/>
              </w:rPr>
              <w:t>No structured tumour cellularity, tissue area, artefact, biopsy/resection or slide-quality field</w:t>
            </w:r>
          </w:p>
        </w:tc>
        <w:tc>
          <w:tcPr>
            <w:tcW w:type="dxa" w:w="2608"/>
            <w:vAlign w:val="center"/>
          </w:tcPr>
          <w:p>
            <w:pPr>
              <w:spacing w:line="240" w:lineRule="auto" w:after="0"/>
            </w:pPr>
            <w:r>
              <w:rPr>
                <w:sz w:val="12"/>
              </w:rPr>
              <w:t>Slide eligibility and weighting were not pathology adjudicated</w:t>
            </w:r>
          </w:p>
        </w:tc>
      </w:tr>
      <w:tr>
        <w:trPr>
          <w:cantSplit/>
        </w:trPr>
        <w:tc>
          <w:tcPr>
            <w:tcW w:type="dxa" w:w="1701"/>
            <w:vAlign w:val="center"/>
          </w:tcPr>
          <w:p>
            <w:pPr>
              <w:spacing w:line="240" w:lineRule="auto" w:after="0"/>
            </w:pPr>
            <w:r>
              <w:rPr>
                <w:sz w:val="12"/>
              </w:rPr>
              <w:t>Multiple diagnostic slides</w:t>
            </w:r>
          </w:p>
        </w:tc>
        <w:tc>
          <w:tcPr>
            <w:tcW w:type="dxa" w:w="2098"/>
            <w:vAlign w:val="center"/>
          </w:tcPr>
          <w:p>
            <w:pPr>
              <w:spacing w:line="240" w:lineRule="auto" w:after="0"/>
            </w:pPr>
            <w:r>
              <w:rPr>
                <w:sz w:val="12"/>
              </w:rPr>
              <w:t>Arithmetic patient mean; slide weight 1/n within patient</w:t>
            </w:r>
          </w:p>
        </w:tc>
        <w:tc>
          <w:tcPr>
            <w:tcW w:type="dxa" w:w="2098"/>
            <w:vAlign w:val="center"/>
          </w:tcPr>
          <w:p>
            <w:pPr>
              <w:spacing w:line="240" w:lineRule="auto" w:after="0"/>
            </w:pPr>
            <w:r>
              <w:rPr>
                <w:sz w:val="12"/>
              </w:rPr>
              <w:t>843/9,404 TITAN patients had more than one slide; maximum 30</w:t>
            </w:r>
          </w:p>
        </w:tc>
        <w:tc>
          <w:tcPr>
            <w:tcW w:type="dxa" w:w="2608"/>
            <w:vAlign w:val="center"/>
          </w:tcPr>
          <w:p>
            <w:pPr>
              <w:spacing w:line="240" w:lineRule="auto" w:after="0"/>
            </w:pPr>
            <w:r>
              <w:rPr>
                <w:sz w:val="12"/>
              </w:rPr>
              <w:t>Prevents participant over-weighting and leakage but cannot ensure tumour representativeness</w:t>
            </w:r>
          </w:p>
        </w:tc>
      </w:tr>
      <w:tr>
        <w:trPr>
          <w:cantSplit/>
        </w:trPr>
        <w:tc>
          <w:tcPr>
            <w:tcW w:type="dxa" w:w="1701"/>
            <w:vAlign w:val="center"/>
          </w:tcPr>
          <w:p>
            <w:pPr>
              <w:spacing w:line="240" w:lineRule="auto" w:after="0"/>
            </w:pPr>
            <w:r>
              <w:rPr>
                <w:sz w:val="12"/>
              </w:rPr>
              <w:t>Thorsson PanImmune</w:t>
            </w:r>
          </w:p>
        </w:tc>
        <w:tc>
          <w:tcPr>
            <w:tcW w:type="dxa" w:w="2098"/>
            <w:vAlign w:val="center"/>
          </w:tcPr>
          <w:p>
            <w:pPr>
              <w:spacing w:line="240" w:lineRule="auto" w:after="0"/>
            </w:pPr>
            <w:r>
              <w:rPr>
                <w:sz w:val="12"/>
              </w:rPr>
              <w:t>Participant identifier only</w:t>
            </w:r>
          </w:p>
        </w:tc>
        <w:tc>
          <w:tcPr>
            <w:tcW w:type="dxa" w:w="2098"/>
            <w:vAlign w:val="center"/>
          </w:tcPr>
          <w:p>
            <w:pPr>
              <w:spacing w:line="240" w:lineRule="auto" w:after="0"/>
            </w:pPr>
            <w:r>
              <w:rPr>
                <w:sz w:val="12"/>
              </w:rPr>
              <w:t>9,235 participant-linked patients</w:t>
            </w:r>
          </w:p>
        </w:tc>
        <w:tc>
          <w:tcPr>
            <w:tcW w:type="dxa" w:w="2608"/>
            <w:vAlign w:val="center"/>
          </w:tcPr>
          <w:p>
            <w:pPr>
              <w:spacing w:line="240" w:lineRule="auto" w:after="0"/>
            </w:pPr>
            <w:r>
              <w:rPr>
                <w:sz w:val="12"/>
              </w:rPr>
              <w:t>The WSI and reference phenotype may derive from different tumour specimens</w:t>
            </w:r>
          </w:p>
        </w:tc>
      </w:tr>
      <w:tr>
        <w:trPr>
          <w:cantSplit/>
        </w:trPr>
        <w:tc>
          <w:tcPr>
            <w:tcW w:type="dxa" w:w="1701"/>
            <w:vAlign w:val="center"/>
          </w:tcPr>
          <w:p>
            <w:pPr>
              <w:spacing w:line="240" w:lineRule="auto" w:after="0"/>
            </w:pPr>
            <w:r>
              <w:rPr>
                <w:sz w:val="12"/>
              </w:rPr>
              <w:t>Taylor aneuploidy</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8,667/8,667 exact sample matches</w:t>
            </w:r>
          </w:p>
        </w:tc>
        <w:tc>
          <w:tcPr>
            <w:tcW w:type="dxa" w:w="2608"/>
            <w:vAlign w:val="center"/>
          </w:tcPr>
          <w:p>
            <w:pPr>
              <w:spacing w:line="240" w:lineRule="auto" w:after="0"/>
            </w:pPr>
            <w:r>
              <w:rPr>
                <w:sz w:val="12"/>
              </w:rPr>
              <w:t>Portion, analyte, aliquot, block and tumour region remain unresolved</w:t>
            </w:r>
          </w:p>
        </w:tc>
      </w:tr>
      <w:tr>
        <w:trPr>
          <w:cantSplit/>
        </w:trPr>
        <w:tc>
          <w:tcPr>
            <w:tcW w:type="dxa" w:w="1701"/>
            <w:vAlign w:val="center"/>
          </w:tcPr>
          <w:p>
            <w:pPr>
              <w:spacing w:line="240" w:lineRule="auto" w:after="0"/>
            </w:pPr>
            <w:r>
              <w:rPr>
                <w:sz w:val="12"/>
              </w:rPr>
              <w:t>Sanchez-Vega pathways</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7,789/7,789 exact sample matches</w:t>
            </w:r>
          </w:p>
        </w:tc>
        <w:tc>
          <w:tcPr>
            <w:tcW w:type="dxa" w:w="2608"/>
            <w:vAlign w:val="center"/>
          </w:tcPr>
          <w:p>
            <w:pPr>
              <w:spacing w:line="240" w:lineRule="auto" w:after="0"/>
            </w:pPr>
            <w:r>
              <w:rPr>
                <w:sz w:val="12"/>
              </w:rPr>
              <w:t>Portion, analyte, aliquot, block and tumour region remain unresolved</w:t>
            </w:r>
          </w:p>
        </w:tc>
      </w:tr>
      <w:tr>
        <w:trPr>
          <w:cantSplit/>
        </w:trPr>
        <w:tc>
          <w:tcPr>
            <w:tcW w:type="dxa" w:w="1701"/>
            <w:vAlign w:val="center"/>
          </w:tcPr>
          <w:p>
            <w:pPr>
              <w:spacing w:line="240" w:lineRule="auto" w:after="0"/>
            </w:pPr>
            <w:r>
              <w:rPr>
                <w:sz w:val="12"/>
              </w:rPr>
              <w:t>Gao fusion calls</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8,068/8,068 exact sample matches</w:t>
            </w:r>
          </w:p>
        </w:tc>
        <w:tc>
          <w:tcPr>
            <w:tcW w:type="dxa" w:w="2608"/>
            <w:vAlign w:val="center"/>
          </w:tcPr>
          <w:p>
            <w:pPr>
              <w:spacing w:line="240" w:lineRule="auto" w:after="0"/>
            </w:pPr>
            <w:r>
              <w:rPr>
                <w:sz w:val="12"/>
              </w:rPr>
              <w:t>RNA aliquot, block identity and within-tumour fusion heterogeneity remain unresolved</w:t>
            </w:r>
          </w:p>
        </w:tc>
      </w:tr>
      <w:tr>
        <w:trPr>
          <w:cantSplit/>
        </w:trPr>
        <w:tc>
          <w:tcPr>
            <w:tcW w:type="dxa" w:w="1701"/>
            <w:vAlign w:val="center"/>
          </w:tcPr>
          <w:p>
            <w:pPr>
              <w:spacing w:line="240" w:lineRule="auto" w:after="0"/>
            </w:pPr>
            <w:r>
              <w:rPr>
                <w:sz w:val="12"/>
              </w:rPr>
              <w:t>cBioPortal MSI</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8,964/8,964 exact sample matches</w:t>
            </w:r>
          </w:p>
        </w:tc>
        <w:tc>
          <w:tcPr>
            <w:tcW w:type="dxa" w:w="2608"/>
            <w:vAlign w:val="center"/>
          </w:tcPr>
          <w:p>
            <w:pPr>
              <w:spacing w:line="240" w:lineRule="auto" w:after="0"/>
            </w:pPr>
            <w:r>
              <w:rPr>
                <w:sz w:val="12"/>
              </w:rPr>
              <w:t>Molecular aliquot, slide block and tumour region remain unresolved</w:t>
            </w:r>
          </w:p>
        </w:tc>
      </w:tr>
      <w:tr>
        <w:trPr>
          <w:cantSplit/>
        </w:trPr>
        <w:tc>
          <w:tcPr>
            <w:tcW w:type="dxa" w:w="1701"/>
            <w:vAlign w:val="center"/>
          </w:tcPr>
          <w:p>
            <w:pPr>
              <w:spacing w:line="240" w:lineRule="auto" w:after="0"/>
            </w:pPr>
            <w:r>
              <w:rPr>
                <w:sz w:val="12"/>
              </w:rPr>
              <w:t>MC3 mutation calls</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8,482/8,482 exact sample matches</w:t>
            </w:r>
          </w:p>
        </w:tc>
        <w:tc>
          <w:tcPr>
            <w:tcW w:type="dxa" w:w="2608"/>
            <w:vAlign w:val="center"/>
          </w:tcPr>
          <w:p>
            <w:pPr>
              <w:spacing w:line="240" w:lineRule="auto" w:after="0"/>
            </w:pPr>
            <w:r>
              <w:rPr>
                <w:sz w:val="12"/>
              </w:rPr>
              <w:t>Portion, analyte, aliquot, block, region and subclone remain unresolved</w:t>
            </w:r>
          </w:p>
        </w:tc>
      </w:tr>
    </w:tbl>
    <w:p/>
    <w:p>
      <w:r>
        <w:t>Across all 960 cross-modal cancer-endpoint pairs reaching the threshold in at least one representation, TITAN produced the highest observed Q² or AUROC for 734 (76.5%), Prov-GigaPath for 139 (14.5%) and Giga-SSL for 87 (9.1%). TITAN led most transcriptomic signatures, direct genomic alterations and both genomic-context classes. Prov-GigaPath contributed its largest relative share among sequencing-derived burdens, where it led 8/39 pairs. Giga-SSL led 22/108 composite binary pairs, including selected RTK-RAS, cell-cycle and genome-doubling tasks. Figure 3 reports every feature-class distribution. These counts identify the highest observed internal estimate under the common PLS-based probe and do not test intrinsic foundation-model superiority.</w:t>
      </w:r>
    </w:p>
    <w:p>
      <w:pPr>
        <w:jc w:val="center"/>
      </w:pPr>
      <w:r>
        <w:drawing>
          <wp:inline xmlns:a="http://schemas.openxmlformats.org/drawingml/2006/main" xmlns:pic="http://schemas.openxmlformats.org/drawingml/2006/picture">
            <wp:extent cx="5806440" cy="2903220"/>
            <wp:docPr id="3" name="Picture 3"/>
            <wp:cNvGraphicFramePr>
              <a:graphicFrameLocks noChangeAspect="1"/>
            </wp:cNvGraphicFramePr>
            <a:graphic>
              <a:graphicData uri="http://schemas.openxmlformats.org/drawingml/2006/picture">
                <pic:pic>
                  <pic:nvPicPr>
                    <pic:cNvPr id="0" name="Figure3_foundation_model_leadership.png"/>
                    <pic:cNvPicPr/>
                  </pic:nvPicPr>
                  <pic:blipFill>
                    <a:blip r:embed="rId24"/>
                    <a:stretch>
                      <a:fillRect/>
                    </a:stretch>
                  </pic:blipFill>
                  <pic:spPr>
                    <a:xfrm>
                      <a:off x="0" y="0"/>
                      <a:ext cx="5806440" cy="2903220"/>
                    </a:xfrm>
                    <a:prstGeom prst="rect"/>
                  </pic:spPr>
                </pic:pic>
              </a:graphicData>
            </a:graphic>
          </wp:inline>
        </w:drawing>
      </w:r>
    </w:p>
    <w:p>
      <w:pPr>
        <w:pStyle w:val="Caption"/>
        <w:jc w:val="center"/>
      </w:pPr>
      <w:r>
        <w:t>Figure 3. Foundation-model leadership by tumour-feature class. The analysis includes 960 cross-modal cancer-endpoint pairs that reached Q² at least 0.20 or AUROC at least 0.60 in at least one representation. Within each pair, the leading representation had the highest patient-level out-of-fold Q² for a continuous endpoint or AUROC for a binary endpoint under the common PLS-based probe. Labels inside segments at least 7% wide give pair counts; narrow segments remain visible without a number. Small paired differences may represent near-ties, and the descriptive rank does not establish intrinsic model superiority or external transportability.</w:t>
      </w:r>
    </w:p>
    <w:p>
      <w:pPr>
        <w:pStyle w:val="Heading2"/>
      </w:pPr>
      <w:r>
        <w:t>Partition and probe sensitivity</w:t>
      </w:r>
    </w:p>
    <w:p>
      <w:r>
        <w:t>Across five alternative matched partitions, an effect-threshold crossing recurred in all five for 517/978, 265/978 and 330/978 continuous pairs for TITAN, Giga-SSL and Prov-GigaPath, respectively; the corresponding binary counts were 169/356, 96/356 and 120/356. Median between-partition standard deviations were 0.022/0.024/0.026 Q² and 0.026/0.027/0.027 AUROC. The threshold-derived support class agreed with the primary class in at least four of five alternative partitions for 591/978 continuous and 172/356 binary pairs, and in all five for 448/978 and 119/356. The primary leading representation persisted in all five for 600/978 continuous and 132/356 binary pairs. We therefore report support classes only as navigation tags and prioritise continuous effects, paired differences and rank stability.</w:t>
      </w:r>
    </w:p>
    <w:p>
      <w:r>
        <w:t>We applied TCGA tissue-source-site code grouping to all 971 pairs crossing in at least one representation. Of 2,913 representation-task fits, 2,913 returned estimates. All returned pooled out-of-fold estimates, although sparse and single-class folds remain flagged in the fold-adequacy audit. Among pairs crossing in all three representations, every crossing retained its threshold for 148/304 continuous and 62/122 binary pairs. Median grouped-minus-matched-random effects were -0.027/-0.005 Q²/AUROC for TITAN, -0.043/-0.015 for Giga-SSL and -0.059/-0.011 for Prov-GigaPath. Grouping tests sensitivity to internal cohort structure; it does not provide institutional, scanner-level or external validation.</w:t>
      </w:r>
    </w:p>
    <w:p>
      <w:r>
        <w:t>Grouped-fold adequacy was heterogeneous. Tasks contained 4-35 contributing codes; outer test sets ranged from 1 to 317 patients, and 15 tasks used four rather than five folds. Among 268 binary tasks, 27 had a single-class outer test fold, 114 had a single-class inner validation fold and 2 had a single-class inner training fold. Minimum outer training counts were 1 positive and 5 negative patients; minimum inner training counts were 0 and 1. The sparse-fold warning applied to 153/268 binary and 184/703 continuous tasks. Metrics pooled all outer held-out predictions; we did not calculate or interpret a stand-alone AUROC for a single-class fold.</w:t>
      </w:r>
    </w:p>
    <w:p>
      <w:r>
        <w:t>The separate, larger TITAN permutation/FDR screen showed the same concern under its documented balanced-accuracy rule: 210/869 candidates (24.2%) fell below their original threshold. READ-APC declined from balanced accuracy 0.862 to 0.475, and COAD-APC from 0.777 to 0.519. In the separate matched-partition refits, grouped versus matched-random balanced accuracy was 0.452 versus 0.802 for READ-APC and 0.538 versus 0.751 for COAD-APC. TCGA tissue-source-site code alone achieved AUROC 0.900 and 0.755, respectively. These results support sensitivity to a barcode-derived cohort-structure variable, not proof of technical confounding or transportability.</w:t>
      </w:r>
    </w:p>
    <w:p>
      <w:r>
        <w:t>Representation ordering depended on the downstream analysis. In the symmetric metadata-stratified sensitivity, ridge retained the PLS-leading representation for 25/34 binary and 9/14 continuous targets. The primary atlas therefore compares the released representations under the specified 1-to-20-component PLS-based probe. Selected-component distributions, ceiling selection and feature-variance checks are reported for every representation. The supporting TITAN permutation/FDR screen is reported separately and is not used to rank the three representations.</w:t>
      </w:r>
    </w:p>
    <w:p>
      <w:r>
        <w:t>Figure 4 shows patient-level predictions for the published TGCT TGF-beta Response expression signature, a strong shared continuous example. We plotted every held-out patient once for each representation, using the same observed reference values and the model-specific outer-fold prediction. This published signature is distinct from the separately modelled MSigDB Hallmark TGF-beta signaling score.</w:t>
      </w:r>
    </w:p>
    <w:p>
      <w:pPr>
        <w:jc w:val="center"/>
      </w:pPr>
      <w:r>
        <w:drawing>
          <wp:inline xmlns:a="http://schemas.openxmlformats.org/drawingml/2006/main" xmlns:pic="http://schemas.openxmlformats.org/drawingml/2006/picture">
            <wp:extent cx="5806440" cy="2375362"/>
            <wp:docPr id="4" name="Picture 4"/>
            <wp:cNvGraphicFramePr>
              <a:graphicFrameLocks noChangeAspect="1"/>
            </wp:cNvGraphicFramePr>
            <a:graphic>
              <a:graphicData uri="http://schemas.openxmlformats.org/drawingml/2006/picture">
                <pic:pic>
                  <pic:nvPicPr>
                    <pic:cNvPr id="0" name="Figure4_observed_vs_predicted_TGCT_TGFbeta.png"/>
                    <pic:cNvPicPr/>
                  </pic:nvPicPr>
                  <pic:blipFill>
                    <a:blip r:embed="rId19"/>
                    <a:stretch>
                      <a:fillRect/>
                    </a:stretch>
                  </pic:blipFill>
                  <pic:spPr>
                    <a:xfrm>
                      <a:off x="0" y="0"/>
                      <a:ext cx="5806440" cy="2375362"/>
                    </a:xfrm>
                    <a:prstGeom prst="rect"/>
                  </pic:spPr>
                </pic:pic>
              </a:graphicData>
            </a:graphic>
          </wp:inline>
        </w:drawing>
      </w:r>
    </w:p>
    <w:p>
      <w:pPr>
        <w:pStyle w:val="Caption"/>
        <w:jc w:val="center"/>
      </w:pPr>
      <w:r>
        <w:t>Figure 4. Observed published TGCT TGF-beta Response values and patient-level out-of-fold predictions from TITAN, Giga-SSL and Prov-GigaPath. Each panel contains the same matched patients. The dashed line marks perfect agreement and the coloured line shows the fitted linear trend. Q² was 0.662, 0.647, 0.601; these are the primary matched-screen estimates, ordered as TITAN, Giga-SSL and Prov-GigaPath. TGF-beta Response is a published RNA-expression signature from Thorsson et al., so the figure demonstrates internal agreement with a computational reference phenotype rather than recovery of a direct laboratory measurement or external validation.</w:t>
      </w:r>
    </w:p>
    <w:p>
      <w:pPr>
        <w:pStyle w:val="Heading2"/>
      </w:pPr>
      <w:r>
        <w:t>PathoFMPred outputs for two illustrative COAD patients</w:t>
      </w:r>
    </w:p>
    <w:p>
      <w:pPr>
        <w:jc w:val="center"/>
      </w:pPr>
      <w:r>
        <w:drawing>
          <wp:inline xmlns:a="http://schemas.openxmlformats.org/drawingml/2006/main" xmlns:pic="http://schemas.openxmlformats.org/drawingml/2006/picture">
            <wp:extent cx="5806440" cy="6989233"/>
            <wp:docPr id="5" name="Picture 5"/>
            <wp:cNvGraphicFramePr>
              <a:graphicFrameLocks noChangeAspect="1"/>
            </wp:cNvGraphicFramePr>
            <a:graphic>
              <a:graphicData uri="http://schemas.openxmlformats.org/drawingml/2006/picture">
                <pic:pic>
                  <pic:nvPicPr>
                    <pic:cNvPr id="0" name="Figure3_COAD_PathoFMPred_multifoundation_examples.png"/>
                    <pic:cNvPicPr/>
                  </pic:nvPicPr>
                  <pic:blipFill>
                    <a:blip r:embed="rId21"/>
                    <a:stretch>
                      <a:fillRect/>
                    </a:stretch>
                  </pic:blipFill>
                  <pic:spPr>
                    <a:xfrm>
                      <a:off x="0" y="0"/>
                      <a:ext cx="5806440" cy="6989233"/>
                    </a:xfrm>
                    <a:prstGeom prst="rect"/>
                  </pic:spPr>
                </pic:pic>
              </a:graphicData>
            </a:graphic>
          </wp:inline>
        </w:drawing>
      </w:r>
    </w:p>
    <w:p>
      <w:pPr>
        <w:pStyle w:val="Caption"/>
        <w:jc w:val="center"/>
      </w:pPr>
      <w:r>
        <w:t>Figure 5. Post hoc PathoFMPred research-software illustration for TCGA-AA-A01F and TCGA-A6-A56B using TITAN, Giga-SSL and Prov-GigaPath inputs. Each panel includes only continuous endpoints meeting the recorded predictability rule for that cancer and representation: 15 for TITAN, 12 for Giga-SSL and 14 for Prov-GigaPath. Corner labels give original predictions in source units. In the aneuploidy labels, P denotes the PanImmune field published by Thorsson et al. and T the Taylor et al. arm-level score. Radius gives an internal TCGA reference percentile, not a probability or clinical interval. These cases do not evaluate accuracy or clinical utility.</w:t>
      </w:r>
    </w:p>
    <w:p>
      <w:pPr>
        <w:jc w:val="center"/>
      </w:pPr>
      <w:r>
        <w:drawing>
          <wp:inline xmlns:a="http://schemas.openxmlformats.org/drawingml/2006/main" xmlns:pic="http://schemas.openxmlformats.org/drawingml/2006/picture">
            <wp:extent cx="5806440" cy="7452360"/>
            <wp:docPr id="6" name="Picture 6"/>
            <wp:cNvGraphicFramePr>
              <a:graphicFrameLocks noChangeAspect="1"/>
            </wp:cNvGraphicFramePr>
            <a:graphic>
              <a:graphicData uri="http://schemas.openxmlformats.org/drawingml/2006/picture">
                <pic:pic>
                  <pic:nvPicPr>
                    <pic:cNvPr id="0" name="Figure6_COAD_PathoFMPred_full_binary_output.png"/>
                    <pic:cNvPicPr/>
                  </pic:nvPicPr>
                  <pic:blipFill>
                    <a:blip r:embed="rId22"/>
                    <a:stretch>
                      <a:fillRect/>
                    </a:stretch>
                  </pic:blipFill>
                  <pic:spPr>
                    <a:xfrm>
                      <a:off x="0" y="0"/>
                      <a:ext cx="5806440" cy="7452360"/>
                    </a:xfrm>
                    <a:prstGeom prst="rect"/>
                  </pic:spPr>
                </pic:pic>
              </a:graphicData>
            </a:graphic>
          </wp:inline>
        </w:drawing>
      </w:r>
    </w:p>
    <w:p>
      <w:pPr>
        <w:pStyle w:val="Caption"/>
        <w:jc w:val="center"/>
      </w:pPr>
      <w:r>
        <w:t>Figure 6. All binary outputs returned for the two COAD examples by TITAN, Giga-SSL and Prov-GigaPath. Grey means no eligible threshold-crossing model. Each cell gives the class call and uncalibrated LDA score. Reference rank, not probability, is shown beside each call. Some case labels contributed to final model fitting; these examples are not held-out tests.</w:t>
      </w:r>
    </w:p>
    <w:p>
      <w:r>
        <w:t>Figure 6 shows every returned binary endpoint rather than a selected mutation subset. TITAN returned 8, Giga-SSL returned 7 and Prov-GigaPath returned 7 binary endpoints. For TCGA-AA-A01F, APC mutation calls were negative, negative and negative for TITAN, Giga-SSL and Prov-GigaPath, respectively; KRAS calls were negative, positive and negative. For TCGA-A6-A56B, APC calls were positive, positive and positive; KRAS calls were negative, positive and positive. Together, Figures 5 and 6 show every continuous and binary model that PathoFMPred returned for these patients. Additional files 2 and 3 provide the full reports, including original predictions, uncalibrated scores, reference ranks and source-label availability. Where a patient had an outcome label, that label contributed to fitting the final full-data object. These illustrations therefore do not test held-out accuracy, calibration, treatment response, external validity or clinical utility.</w:t>
      </w:r>
    </w:p>
    <w:p>
      <w:pPr>
        <w:pStyle w:val="Heading1"/>
      </w:pPr>
      <w:r>
        <w:t>Discussion</w:t>
      </w:r>
    </w:p>
    <w:p>
      <w:r>
        <w:t>The central biological result is a cross-representation set of cancer-specific histomolecular associations under the common probe. Direct genomic alterations produced the broadest binary signal: at least one representation crossed in 160/243 tasks and all three crossed in 65. Strong shared examples included THYM GTF2I, THCA BRAF, LGG TP53 and IDH1, BLCA FGFR3, UCEC fusion status, strict MSI in COAD and STAD, and genome-doubling or oncogenic-pathway states in several cancers. These results show that the embeddings retained histological information related to tumour lineage, genomic instability and pathway state, although the present analysis cannot identify the specific regions or cell patterns that generated each signal.</w:t>
      </w:r>
    </w:p>
    <w:p>
      <w:r>
        <w:t>The comparison also provides a practical answer about representation choice. TITAN had the highest observed effect for 734/960 cross-modal pairs reaching the threshold in at least one slide representation and led most of the selected high-performing biological examples. Prov-GigaPath nevertheless led 139 pairs, including LGG IDH1, KIRP leukocyte fraction and TGCT stromal fraction, while Giga-SSL led 87, including BLCA FGFR3. Prov-GigaPath supplied its largest relative contribution among sequencing-derived burdens, whereas TITAN dominated the transcriptomic-signature group. These endpoint-specific results support selecting a representation for the intended tumour feature rather than choosing one slide representation for every task. Small paired differences, alternative folds and the downstream-probe sensitivity altered some ranks, so the atlas reports all three estimates and their stability instead of assigning one universal winner.</w:t>
      </w:r>
    </w:p>
    <w:p>
      <w:r>
        <w:t>The continuous results add a complementary biological layer. Histology predicted selected inflammatory and tissue-context programmes, including TGF-beta response in TGCT and THCA, Th17 in THYM, lymphocyte-infiltration and Th1 signatures in THCA, proliferation in LUAD and THYM, leukocyte fraction in BLCA and KIRP, TCR diversity in THYM, and stromal fraction in TGCT and BLCA. The concentration of signal in particular cancer and feature combinations is more informative than an overall immune count. These models estimate agreement with CIBERSORT fractions, methylation-derived leukocyte estimates, RNA signatures, repertoire metrics or composite purity and stromal quantities. They do not recover a directly measured immune-cell count. We report the same-H&amp;E TIL fraction separately as computational concordance.</w:t>
      </w:r>
    </w:p>
    <w:p>
      <w:r>
        <w:t>Cohort structure and analytical choices materially affected prioritisation. When we held tissue-source-site codes apart, only 148/304 continuous and 62/122 binary pairs with effect-threshold crossings in all three representations retained every threshold. The primary threshold-derived support class agreed in all five alternative partitions for only 448/978 continuous and 119/356 binary pairs. Matched-random controls separate fold size and class balance from the additional grouped change. Under the primary 1-to-20-component grid, at least one outer fit selected the component ceiling for 51/426 TITAN, 62/426 Giga-SSL and 55/426 Prov-GigaPath binary pairs. Continuous effects, paired variability, ranks and grouped-minus-matched-random changes carry more information than a hard threshold class.</w:t>
      </w:r>
    </w:p>
    <w:p>
      <w:r>
        <w:t>The targeted narrative literature audit strengthens the biological credibility of the atlas: 37/42 TITAN screen-positive cancer-gene pairs recovered associations that previous histology-prediction studies had already supported statistically. We did not identify THYM-GTF2I in the reviewed predictive-model literature, which makes it a particularly interesting candidate for independent testing. Relative to earlier pan-cancer resources, including Arslan et al., we add a matched three-representation comparison, patient-first slide aggregation, explicit tested-negative results, and target-level partition and cohort-structure audits. PathoFMPred records compact linear model parameters without redistributing the original patient-level training embeddings, subject to upstream access and redistribution terms.</w:t>
      </w:r>
    </w:p>
    <w:p>
      <w:r>
        <w:t>Previous studies establish that the individual tumour-feature classes are biologically plausible prediction targets. Fu et al. predicted whole-genome duplication, chromosomal aneuploidies, driver alterations and tumour-composition signals [5]. Loeffler et al. compared gene and oncogenic-pathway prediction [31]. Dadhania et al. predicted ERG rearrangement in prostate cancer, and Mayer et al. predicted ALK and ROS1 fusions in lung cancer [12-13]. HE2RNA, regression-based biomarker studies and HistoTME predicted transcriptomic or tumour-microenvironment reference phenotypes [8-9,15], while Arslan et al. screened thousands of multi-omic biomarkers across the same 32 TCGA cancers [7]. Our principal innovation is the unified patient-level comparison of these feature classes across three released slide representations, with the same linear probe, explicit negative results and reusable representation-specific model records. The UCEC and LGG fusion-burden results and several cancer-specific any-fusion associations are less commonly reported tasks, but they still require an independent systematic literature review and external validation before any claim of endpoint novelty or clinical use.</w:t>
      </w:r>
    </w:p>
    <w:p>
      <w:r>
        <w:t>Independent validation is the next priority. Tissue-source-site code is a barcode-derived cohort variable rather than a scanner or institution identifier, so grouped retention cannot establish transportability. Our equal-weight pooling could not use tumour-area or independent pathology-quality weights; some molecular labels link only at participant or sample-barcode level; small outcome groups remain unstable; and global embeddings do not localise morphology. PathoFMPred currently supports research application and controlled model comparison. Researchers must test locked models in an independent, pathology-reviewed cohort with compatible endpoints and report all failures before considering clinical use.</w:t>
      </w:r>
    </w:p>
    <w:p>
      <w:pPr>
        <w:pStyle w:val="Heading1"/>
      </w:pPr>
      <w:r>
        <w:t>Conclusions</w:t>
      </w:r>
    </w:p>
    <w:p>
      <w:r>
        <w:t>Under the common PLS-based probe, TITAN, Giga-SSL and Prov-GigaPath captured specific, cancer-dependent histological associations with mutations, fusions, MSI, genome doubling, oncogenic pathways and selected inflammatory or tissue-context phenotypes. At least one representation crossed the descriptive threshold for 971 cancer-endpoint pairs across 196 feature definitions, and all three crossed for 426 pairs. THYM GTF2I, THCA BRAF, LGG IDH1 and TP53, BLCA FGFR3, COAD strict MSI, TGCT TGF-beta response, THYM Th17 and TCR diversity, and BLCA or KIRP leukocyte fraction provide concrete priorities for independent validation. TITAN produced the highest observed effect for 734/960 cross-modal threshold-crossing pairs, but Giga-SSL and Prov-GigaPath led important feature-specific subsets. Representation, partition and cohort structure still changed some estimates, so the atlas supports endpoint-specific model selection and biological prioritisation rather than one universal model, assay replacement or clinical validity. PathoFMPred provides a secondary route for applying compatible models in locked external research studies.</w:t>
      </w:r>
    </w:p>
    <w:p>
      <w:pPr>
        <w:pStyle w:val="Heading1"/>
      </w:pPr>
      <w:r>
        <w:t>Abbreviations</w:t>
      </w:r>
    </w:p>
    <w:p>
      <w:r>
        <w:t>AUROC, area under the receiver operating characteristic curve; BA, balanced accuracy; CV, cross-validation; FDR, false discovery rate; H&amp;E, haematoxylin and eosin; LDA, linear discriminant analysis; MC3, Multi-Center Mutation Calling in Multiple Cancers; MSI, microsatellite instability; OOF, out-of-fold; q-value, false-discovery-rate-adjusted p-value; SC interval, selection-conditioned patient-resampling interval for repeated out-of-fold predictions; PLS, partial least squares; Q², cross-validated coefficient of determination; RMSE, root-mean-square error; TCGA, The Cancer Genome Atlas; TCGA tissue-source-site code, barcode-derived submitting-centre field used as an internal cohort-structure variable.</w:t>
      </w:r>
    </w:p>
    <w:p>
      <w:pPr>
        <w:pStyle w:val="Heading1"/>
      </w:pPr>
      <w:r>
        <w:t>Declarations</w:t>
      </w:r>
    </w:p>
    <w:p>
      <w:pPr>
        <w:pStyle w:val="Heading2"/>
      </w:pPr>
      <w:r>
        <w:t>Ethics approval and consent to participate</w:t>
      </w:r>
    </w:p>
    <w:p>
      <w:r>
        <w:t>We analysed publicly available, de-identified TCGA data. We recruited no participants and collected no new tissue.</w:t>
      </w:r>
    </w:p>
    <w:p>
      <w:pPr>
        <w:pStyle w:val="Heading2"/>
      </w:pPr>
      <w:r>
        <w:t>Consent for publication</w:t>
      </w:r>
    </w:p>
    <w:p>
      <w:r>
        <w:t>Not applicable.</w:t>
      </w:r>
    </w:p>
    <w:p>
      <w:pPr>
        <w:pStyle w:val="Heading2"/>
      </w:pPr>
      <w:r>
        <w:t>Study registration and protocol</w:t>
      </w:r>
    </w:p>
    <w:p>
      <w:r>
        <w:t>We did not prospectively register this retrospective computational benchmark.</w:t>
      </w:r>
    </w:p>
    <w:p>
      <w:pPr>
        <w:pStyle w:val="Heading2"/>
      </w:pPr>
      <w:r>
        <w:t>Patient and public involvement</w:t>
      </w:r>
    </w:p>
    <w:p>
      <w:r>
        <w:t>We did not involve patients or members of the public in the design, conduct, interpretation or reporting of this secondary analysis.</w:t>
      </w:r>
    </w:p>
    <w:p>
      <w:pPr>
        <w:pStyle w:val="Heading2"/>
      </w:pPr>
      <w:r>
        <w:t>Availability of data and materials</w:t>
      </w:r>
    </w:p>
    <w:p>
      <w:r>
        <w:t>We used the official TITAN TCGA feature artifact, official Giga-SSL TCGA embeddings and the seandavis/tcga_provgigapath_embeddings Hugging Face dataset. The companion repository provides conversion code, source locations, access conditions, checksums and complete-resolution result companions [32]. Selected model-level CSV results are supplied with this submission as Additional file 4. We do not redistribute controlled-access whole-slide images. No persistent DOI has been assigned at the authors' request. PathoFMPred source code is released under the MIT licence, but its public repository contains no fitted model objects or default model-download URL. Users with appropriate rights may build a local object from independently obtained compatible representations and outcomes or explicitly provide an authorized collection and checksum. TITAN-derived fitted objects remain outside the public repository pending written redistribution permission. No fitted object is externally validated or intended for clinical use.</w:t>
      </w:r>
    </w:p>
    <w:p>
      <w:pPr>
        <w:pStyle w:val="Heading2"/>
      </w:pPr>
      <w:r>
        <w:t>Competing interests</w:t>
      </w:r>
    </w:p>
    <w:p>
      <w:r>
        <w:t>The authors declare that they have no competing interests.</w:t>
      </w:r>
    </w:p>
    <w:p>
      <w:pPr>
        <w:pStyle w:val="Heading2"/>
      </w:pPr>
      <w:r>
        <w:t>Funding</w:t>
      </w:r>
    </w:p>
    <w:p>
      <w:r>
        <w:t>No specific grant was received from any funding agency in the public, commercial or not-for-profit sectors.</w:t>
      </w:r>
    </w:p>
    <w:p>
      <w:pPr>
        <w:pStyle w:val="Heading2"/>
      </w:pPr>
      <w:r>
        <w:t>Authors’ contributions</w:t>
      </w:r>
    </w:p>
    <w:p>
      <w:r>
        <w:t>Aamilah Ismail: Data curation, Formal analysis, Investigation, Methodology, Software, Validation, Visualization, Writing - original draft, Writing - review and editing. Martin Ocharo: Data curation, Formal analysis, Investigation, Methodology, Software, Validation, Visualization, Writing - original draft, Writing - review and editing. Giulia Canarutto: CRediT roles to be confirmed. Moussa Kassim Mohamed: Data curation, Investigation, Validation, Writing - review and editing. Dalia Ahmed: Data curation, Investigation, Validation, Writing - review and editing. Brendon Price: Investigation, Validation, Writing - review and editing. Dupe Ojo: Data curation, Investigation, Validation, Writing - review and editing. Ekene Emmanuel Nweke: Investigation, Validation, Writing - review and editing. Alessia Vignoli: Methodology, Validation, Writing - review and editing. Silvano Piazza: Methodology, Software, Validation, Writing - review and editing. Dinesh Gupta: Methodology, Supervision, Validation, Writing - review and editing. Leonardo Tenori: Conceptualization, Methodology, Supervision, Writing - review and editing. Stefano Cacciatore: Conceptualization, Data curation, Formal analysis, Methodology, Project administration, Resources, Software, Supervision, Validation, Visualization, Writing - original draft, Writing - review and editing. These proposed contributions require confirmation by every author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files</w:t>
      </w:r>
    </w:p>
    <w:p>
      <w:r>
        <w:t>Additional file 1: supplementary_material_JTM.docx. Contains Supplementary Methods, compact interpretive Tables S1-S13, Figures S1-S4 and an inventory of the synchronized machine-readable result companions.</w:t>
      </w:r>
    </w:p>
    <w:p>
      <w:r>
        <w:t>Additional file 2: Additional_file_2_COAD_example_A_PathoFMPred_report.pdf. COAD example A (TCGA-AA-A01F) PathoFMPred research-software output using TITAN, Giga-SSL and Prov-GigaPath features. The report lists every continuous and binary fitted model returned for each representation, with original predictions, class calls, internal TCGA reference ranks and model-performance metadata. It is a post hoc software illustration and is neither probability-calibrated nor externally validated.</w:t>
      </w:r>
    </w:p>
    <w:p>
      <w:r>
        <w:t>Additional file 3: Additional_file_3_COAD_example_B_PathoFMPred_report.pdf. COAD example B (TCGA-A6-A56B) PathoFMPred research-software output using TITAN, Giga-SSL and Prov-GigaPath features. The report lists every continuous and binary fitted model returned for each representation, with original predictions, class calls, internal TCGA reference ranks and model-performance metadata. It is a post hoc software illustration and is neither probability-calibrated nor externally validated.</w:t>
      </w:r>
    </w:p>
    <w:p>
      <w:r>
        <w:t>Additional file 4: Additional_file_4_machine_readable_results.zip. Contains the selected matched-atlas, provenance, robustness, endpoint-dictionary and COAD-example CSV companions listed in its README. The full analysis repository contains the remaining task-level records; Additional file 4 contains no fitted models or patient-level embeddings.</w:t>
      </w:r>
    </w:p>
    <w:p>
      <w:pPr>
        <w:pStyle w:val="Heading1"/>
      </w:pPr>
      <w:r>
        <w:t>References</w:t>
      </w:r>
    </w:p>
    <w:p>
      <w:r>
        <w:t>1. Oquab M, Darcet T, Moutakanni T, et al. DINOv2: learning robust visual features without supervision. Trans Mach Learn Res. 2024. https://openreview.net/forum?id=a68SUt6zFt.</w:t>
      </w:r>
    </w:p>
    <w:p>
      <w:r>
        <w:t>2. Coudray N, et al. Classification and mutation prediction from non-small cell lung cancer histopathology images using deep learning. Nat Med. 2018;24:1559–1567. doi:10.1038/s41591-018-0177-5.</w:t>
      </w:r>
    </w:p>
    <w:p>
      <w:r>
        <w:t>3. Kather JN, et al. Deep learning can predict microsatellite instability directly from histology in gastrointestinal cancer. Nat Med. 2019;25:1054–1056. doi:10.1038/s41591-019-0462-y.</w:t>
      </w:r>
    </w:p>
    <w:p>
      <w:r>
        <w:t>4. Echle A, et al. Clinical-grade detection of microsatellite instability in colorectal tumors by deep learning. Gastroenterology. 2020;159:1406–1416.e11. doi:10.1053/j.gastro.2020.06.021.</w:t>
      </w:r>
    </w:p>
    <w:p>
      <w:r>
        <w:t>5. Fu Y, et al. Pan-cancer computational histopathology reveals mutations, tumor composition and prognosis. Nat Cancer. 2020;1:800–810. doi:10.1038/s43018-020-0085-8.</w:t>
      </w:r>
    </w:p>
    <w:p>
      <w:r>
        <w:t>6. Kather JN, et al. Pan-cancer image-based detection of clinically actionable genetic alterations. Nat Cancer. 2020;1:789–799. doi:10.1038/s43018-020-0087-6.</w:t>
      </w:r>
    </w:p>
    <w:p>
      <w:r>
        <w:t>7. Arslan S, et al. A systematic pan-cancer study on deep learning-based prediction of multi-omic biomarkers from routine pathology images. Commun Med. 2024;4:48. doi:10.1038/s43856-024-00471-5.</w:t>
      </w:r>
    </w:p>
    <w:p>
      <w:r>
        <w:t>8. Schmauch B, et al. A deep learning model to predict RNA-Seq expression of tumours from whole slide images. Nat Commun. 2020;11:3877. doi:10.1038/s41467-020-17678-4.</w:t>
      </w:r>
    </w:p>
    <w:p>
      <w:r>
        <w:t>9. El Nahhas OSM, et al. Regression-based deep-learning predicts molecular biomarkers from pathology slides. Nat Commun. 2024;15:1253. doi:10.1038/s41467-024-45589-1.</w:t>
      </w:r>
    </w:p>
    <w:p>
      <w:r>
        <w:t>10. Howard FM, et al. The impact of site-specific digital histology signatures on deep learning model accuracy and bias. Nat Commun. 2021;12:4423. doi:10.1038/s41467-021-24698-1.</w:t>
      </w:r>
    </w:p>
    <w:p>
      <w:r>
        <w:t>11. Saldanha OL, et al. Self-supervised attention-based deep learning for pan-cancer mutation prediction from histopathology. npj Precis Oncol. 2023;7:35. doi:10.1038/s41698-023-00365-0.</w:t>
      </w:r>
    </w:p>
    <w:p>
      <w:r>
        <w:t>12. Dadhania V, et al. Leveraging artificial intelligence to predict ERG gene fusion status in prostate cancer. BMC Cancer. 2022;22:494. doi:10.1186/s12885-022-09559-4.</w:t>
      </w:r>
    </w:p>
    <w:p>
      <w:r>
        <w:t>13. Mayer C, et al. Direct identification of ALK and ROS1 fusions in non-small cell lung cancer from hematoxylin and eosin-stained slides using deep learning algorithms. Mod Pathol. 2022;35:1882–1887. doi:10.1038/s41379-022-01141-4.</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Ding T, et al. A multimodal whole-slide foundation model for pathology. Nat Med. 2025;31:3749–3761. doi:10.1038/s41591-025-03982-3.</w:t>
      </w:r>
    </w:p>
    <w:p>
      <w:r>
        <w:t>17. Lazard T, Lerousseau M, Decencière E, Walter T. Giga-SSL: self-supervised learning for gigapixel images. In: Proceedings of the IEEE/CVF Conference on Computer Vision and Pattern Recognition Workshops. 2023. p. 4305–4314.</w:t>
      </w:r>
    </w:p>
    <w:p>
      <w:r>
        <w:t>18. Xu H, et al. A whole-slide foundation model for digital pathology from real-world data. Nature. 2024;630:181–188. doi:10.1038/s41586-024-07441-w.</w:t>
      </w:r>
    </w:p>
    <w:p>
      <w:r>
        <w:t>19. Thorsson V, et al. The Immune Landscape of Cancer. Immunity. 2018;48:812–830.e14. doi:10.1016/j.immuni.2018.03.023.</w:t>
      </w:r>
    </w:p>
    <w:p>
      <w:r>
        <w:t>20. Newman AM, et al. Robust enumeration of cell subsets from tissue expression profiles. Nat Methods. 2015;12:453–457. doi:10.1038/nmeth.3337.</w:t>
      </w:r>
    </w:p>
    <w:p>
      <w:r>
        <w:t>21. Saltz J, et al. Spatial organization and molecular correlation of tumor-infiltrating lymphocytes using deep learning on pathology images. Cell Rep. 2018;23:181–193.e7. doi:10.1016/j.celrep.2018.03.086.</w:t>
      </w:r>
    </w:p>
    <w:p>
      <w:r>
        <w:t>22. Goldman MJ, Craft B, Hastie M, et al. Visualizing and interpreting cancer genomics data via the Xena platform. Nat Biotechnol. 2020;38:675-678. doi:10.1038/s41587-020-0546-8.</w:t>
      </w:r>
    </w:p>
    <w:p>
      <w:r>
        <w:t>23. Liberzon A, Birger C, Thorvaldsdottir H, Ghandi M, Mesirov JP, Tamayo P. The Molecular Signatures Database Hallmark Gene Set Collection. Cell Syst. 2015;1:417-425. doi:10.1016/j.cels.2015.12.004.</w:t>
      </w:r>
    </w:p>
    <w:p>
      <w:r>
        <w:t>24. Ellrott K, et al. Scalable open science approach for mutation calling of tumor exomes. Cell Syst. 2018;6:271–281.e7. doi:10.1016/j.cels.2018.03.002.</w:t>
      </w:r>
    </w:p>
    <w:p>
      <w:r>
        <w:t>25. Bailey MH, et al. Comprehensive characterization of cancer driver genes and mutations. Cell. 2018;173:371–385.e18. doi:10.1016/j.cell.2018.02.060.</w:t>
      </w:r>
    </w:p>
    <w:p>
      <w:r>
        <w:t>26. Sanchez-Vega F, et al. Oncogenic signaling pathways in The Cancer Genome Atlas. Cell. 2018;173:321–337.e10. doi:10.1016/j.cell.2018.03.035.</w:t>
      </w:r>
    </w:p>
    <w:p>
      <w:r>
        <w:t>27. Taylor AM, et al. Genomic and functional approaches to understanding cancer aneuploidy. Cancer Cell. 2018;33:676–689.e3. doi:10.1016/j.ccell.2018.03.007.</w:t>
      </w:r>
    </w:p>
    <w:p>
      <w:r>
        <w:t>28. Gao Q, et al. Driver fusions and their implications in the development and treatment of human cancers. Cell Rep. 2018;23:227–238.e3. doi:10.1016/j.celrep.2018.03.050.</w:t>
      </w:r>
    </w:p>
    <w:p>
      <w:r>
        <w:t>29. Bonneville R, et al. Landscape of microsatellite instability across 39 cancer types. JCO Precis Oncol. 2017;2017:PO.17.00073. doi:10.1200/PO.17.00073.</w:t>
      </w:r>
    </w:p>
    <w:p>
      <w:r>
        <w:t>30. Cerami E, et al. The cBio cancer genomics portal: an open platform for exploring multidimensional cancer genomics data. Cancer Discov. 2012;2:401–404. doi:10.1158/2159-8290.CD-12-0095.</w:t>
      </w:r>
    </w:p>
    <w:p>
      <w:r>
        <w:t>31. Loeffler CML, et al. Predicting mutational status of driver and suppressor genes directly from histopathology with deep learning. Front Genet. 2022;12:806386. doi:10.3389/fgene.2021.806386.</w:t>
      </w:r>
    </w:p>
    <w:p>
      <w:r>
        <w:t>32. Pathology foundation-model patient-level benchmark repository. GitHub. https://github.com/tkcaccia/pathology-foundation-model-atlas. Accessed 29 Sep 2026.</w:t>
      </w:r>
    </w:p>
    <w:p>
      <w:r>
        <w:t>33. Wold S, Sjöström M, Eriksson L. PLS-regression: a basic tool of chemometrics. Chemometr Intell Lab Syst. 2001;58:109–130. doi:10.1016/S0169-7439(01)00155-1.</w:t>
      </w:r>
    </w:p>
    <w:p>
      <w:r>
        <w:t>34. Szymańska E, et al. Double-check: validation of diagnostic statistics for PLS-DA models. Metabolomics. 2012;8(Suppl 1):3–16. doi:10.1007/s11306-011-0330-3.</w:t>
      </w:r>
    </w:p>
    <w:p>
      <w:r>
        <w:t>35. Benjamini Y, Hochberg Y. Controlling the false discovery rate: a practical and powerful approach to multiple testing. J R Stat Soc B. 1995;57:289–300. doi:10.1111/j.2517-6161.1995.tb02031.x.</w:t>
      </w:r>
    </w:p>
    <w:p>
      <w:r>
        <w:t>36. Collins GS, et al. TRIPOD+AI statement: updated guidance for reporting clinical prediction models that use regression or machine learning methods. BMJ. 2024;385:e078378. doi:10.1136/bmj-2023-078378.</w:t>
      </w:r>
    </w:p>
    <w:p>
      <w:r>
        <w:t>37. Liu J, et al. An integrated TCGA pan-cancer clinical data resource to drive high-quality survival outcome analytics. Cell. 2018;173:400–416.e11. doi:10.1016/j.cell.2018.02.052.</w:t>
      </w:r>
    </w:p>
    <w:p>
      <w:r>
        <w:t>38. PathoFMPred R package and fitted-model repository. GitHub. https://github.com/tkcaccia/PathoFMPred. Accessed 29 Sep 2026.</w:t>
      </w:r>
    </w:p>
    <w:p>
      <w:r>
        <w:t>39. International Agency for Research on Cancer. Global Cancer Observatory: GLOBOCAN 2022 world fact sheet. Lyon: IARC; 2024. https://gco.iarc.who.int/media/globocan/factsheets/populations/900-world-fact-sheet.pdf. Accessed 16 Aug 2026.</w:t>
      </w:r>
    </w:p>
    <w:p>
      <w:r>
        <w:t>40. National Cancer Institute. Genomic Data Commons Cases API. https://api.gdc.cancer.gov/cases. Accessed 16 Aug 2026.</w:t>
      </w:r>
    </w:p>
    <w:p>
      <w:r>
        <w:t>41. Fernandes G. Morpho-genomic deep learning for ovarian cancer subtype and gene mutation prediction from histopathology. arXiv. 2025;arXiv:2511.03365. doi:10.48550/arXiv.2511.03365.</w:t>
      </w:r>
    </w:p>
    <w:p>
      <w:r>
        <w:t>42. Wells K, Lamrca A, Papaxoinis G, Wallace A, Quinn AM, Summers Y, Nonaka D. Unique correlation between GTF2I mutation and spindle cell morphology in thymomas (type A and AB thymomas). J Clin Pathol. 2023;76:463-466. doi:10.1136/jclinpath-2021-207837.</w:t>
      </w:r>
    </w:p>
    <w:p>
      <w:r>
        <w:t>43. National Cancer Institute Clinical Proteomic Tumor Analysis Consortium. CPTAC-UCEC: The Clinical Proteomic Tumor Analysis Consortium Uterine Corpus Endometrial Carcinoma Collection. The Cancer Imaging Archive. doi:10.7937/K9/TCIA.2018.3R3JUISW. Accessed 20 Sep 2026.</w:t>
      </w:r>
    </w:p>
    <w:p>
      <w:r>
        <w:t>44. Lazard T, et al. Giga-SSL source code and released TCGA_encoded_t5e1000 embeddings. GitHub. https://github.com/trislaz/gigassl. Commit 605b950. Accessed 20 Sep 2026.</w:t>
      </w:r>
    </w:p>
    <w:p>
      <w:r>
        <w:t>45. Davis S. TCGA Prov-GigaPath embeddings. Hugging Face Datasets. https://huggingface.co/datasets/seandavis/tcga_provgigapath_embeddings. Source snapshot commit 073115403c2fc5134ee8d1332c603edba591dddb. Accessed 20 Sep 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Patient-level pathology foundation-model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480" w:lineRule="auto"/>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pPr>
    <w:rPr>
      <w:rFonts w:ascii="Arial" w:hAnsi="Arial"/>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