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Patient-level comparison of three released pathology representation pipelines with a common PLS-based probe across TCGA cancers</w:t>
      </w:r>
    </w:p>
    <w:p>
      <w:pPr>
        <w:spacing w:before="0" w:after="0" w:line="240" w:lineRule="auto"/>
        <w:jc w:val="center"/>
      </w:pPr>
      <w:r>
        <w:rPr>
          <w:b/>
          <w:sz w:val="19"/>
        </w:rPr>
        <w:t>Aamilah Ismail</w:t>
      </w:r>
      <w:r>
        <w:rPr>
          <w:sz w:val="19"/>
          <w:vertAlign w:val="superscript"/>
        </w:rPr>
        <w:t>3,*</w:t>
      </w:r>
      <w:r>
        <w:rPr>
          <w:sz w:val="19"/>
        </w:rPr>
        <w:t xml:space="preserve">, </w:t>
      </w:r>
      <w:r>
        <w:rPr>
          <w:b/>
          <w:sz w:val="19"/>
        </w:rPr>
        <w:t>Martin Ocharo</w:t>
      </w:r>
      <w:r>
        <w:rPr>
          <w:sz w:val="19"/>
          <w:vertAlign w:val="superscript"/>
        </w:rPr>
        <w:t>1,2,*</w:t>
      </w:r>
      <w:r>
        <w:rPr>
          <w:sz w:val="19"/>
        </w:rPr>
        <w:t xml:space="preserve">, </w:t>
      </w:r>
      <w:r>
        <w:rPr>
          <w:b/>
          <w:sz w:val="19"/>
        </w:rPr>
        <w:t>Moussa Kassim</w:t>
      </w:r>
      <w:r>
        <w:rPr>
          <w:sz w:val="19"/>
          <w:vertAlign w:val="superscript"/>
        </w:rPr>
        <w:t>1,2</w:t>
      </w:r>
      <w:r>
        <w:rPr>
          <w:sz w:val="19"/>
        </w:rPr>
        <w:t xml:space="preserve">, </w:t>
      </w:r>
      <w:r>
        <w:rPr>
          <w:b/>
          <w:sz w:val="19"/>
        </w:rPr>
        <w:t>Dalia Ahmed</w:t>
      </w:r>
      <w:r>
        <w:rPr>
          <w:sz w:val="19"/>
          <w:vertAlign w:val="superscript"/>
        </w:rPr>
        <w:t>1</w:t>
      </w:r>
      <w:r>
        <w:rPr>
          <w:sz w:val="19"/>
        </w:rPr>
        <w:t xml:space="preserve">, </w:t>
      </w:r>
      <w:r>
        <w:rPr>
          <w:b/>
          <w:sz w:val="19"/>
        </w:rPr>
        <w:t>Brendon Price</w:t>
      </w:r>
      <w:r>
        <w:rPr>
          <w:sz w:val="19"/>
          <w:vertAlign w:val="superscript"/>
        </w:rPr>
        <w:t>5</w:t>
      </w:r>
      <w:r>
        <w:rPr>
          <w:sz w:val="19"/>
        </w:rPr>
        <w:t xml:space="preserve">, </w:t>
      </w:r>
      <w:r>
        <w:rPr>
          <w:b/>
          <w:sz w:val="19"/>
        </w:rPr>
        <w:t>Dupe Ojo</w:t>
      </w:r>
      <w:r>
        <w:rPr>
          <w:sz w:val="19"/>
          <w:vertAlign w:val="superscript"/>
        </w:rPr>
        <w:t>1</w:t>
      </w:r>
      <w:r>
        <w:rPr>
          <w:sz w:val="19"/>
        </w:rPr>
        <w:t xml:space="preserve">, </w:t>
      </w:r>
      <w:r>
        <w:rPr>
          <w:b/>
          <w:sz w:val="19"/>
        </w:rPr>
        <w:t>Ekene Emmanuel Nweke</w:t>
      </w:r>
      <w:r>
        <w:rPr>
          <w:sz w:val="19"/>
          <w:vertAlign w:val="superscript"/>
        </w:rPr>
        <w:t>4</w:t>
      </w:r>
      <w:r>
        <w:rPr>
          <w:sz w:val="19"/>
        </w:rPr>
        <w:t xml:space="preserve">, </w:t>
      </w:r>
      <w:r>
        <w:rPr>
          <w:b/>
          <w:sz w:val="19"/>
        </w:rPr>
        <w:t>Silvano Piazza</w:t>
      </w:r>
      <w:r>
        <w:rPr>
          <w:sz w:val="19"/>
          <w:vertAlign w:val="superscript"/>
        </w:rPr>
        <w:t>6,8</w:t>
      </w:r>
      <w:r>
        <w:rPr>
          <w:sz w:val="19"/>
        </w:rPr>
        <w:t xml:space="preserve">, </w:t>
      </w:r>
      <w:r>
        <w:rPr>
          <w:b/>
          <w:sz w:val="19"/>
        </w:rPr>
        <w:t>Dinesh Gupta</w:t>
      </w:r>
      <w:r>
        <w:rPr>
          <w:sz w:val="19"/>
          <w:vertAlign w:val="superscript"/>
        </w:rPr>
        <w:t>7</w:t>
      </w:r>
      <w:r>
        <w:rPr>
          <w:sz w:val="19"/>
        </w:rPr>
        <w:t xml:space="preserve">, </w:t>
      </w:r>
      <w:r>
        <w:rPr>
          <w:b/>
          <w:sz w:val="19"/>
        </w:rPr>
        <w:t>Alessia Vignoli</w:t>
      </w:r>
      <w:r>
        <w:rPr>
          <w:sz w:val="19"/>
          <w:vertAlign w:val="superscript"/>
        </w:rPr>
        <w:t>9,10</w:t>
      </w:r>
      <w:r>
        <w:rPr>
          <w:sz w:val="19"/>
        </w:rPr>
        <w:t xml:space="preserve">, </w:t>
      </w:r>
      <w:r>
        <w:rPr>
          <w:b/>
          <w:sz w:val="19"/>
        </w:rPr>
        <w:t>Leonardo Tenori</w:t>
      </w:r>
      <w:r>
        <w:rPr>
          <w:sz w:val="19"/>
          <w:vertAlign w:val="superscript"/>
        </w:rPr>
        <w:t>9,10</w:t>
      </w:r>
      <w:r>
        <w:rPr>
          <w:sz w:val="19"/>
        </w:rPr>
        <w:t xml:space="preserve">, </w:t>
      </w:r>
      <w:r>
        <w:rPr>
          <w:b/>
          <w:sz w:val="19"/>
        </w:rPr>
        <w:t>Stefano Cacciatore</w:t>
      </w:r>
      <w:r>
        <w:rPr>
          <w:sz w:val="19"/>
          <w:vertAlign w:val="superscript"/>
        </w:rPr>
        <w:t>1,2,†</w:t>
      </w:r>
    </w:p>
    <w:p>
      <w:pPr>
        <w:spacing w:before="0" w:after="0" w:line="240" w:lineRule="auto"/>
        <w:jc w:val="center"/>
      </w:pPr>
      <w:r>
        <w:rPr>
          <w:b/>
          <w:sz w:val="17"/>
        </w:rPr>
        <w:t xml:space="preserve">1 </w:t>
      </w:r>
      <w:r>
        <w:rPr>
          <w:sz w:val="17"/>
        </w:rPr>
        <w:t>Bioinformatics Unit, International Centre for Genetic Engineering and Biotechnology (ICGEB), Cape Town 7925, South Africa</w:t>
      </w:r>
    </w:p>
    <w:p>
      <w:pPr>
        <w:spacing w:before="0" w:after="0" w:line="240" w:lineRule="auto"/>
        <w:jc w:val="center"/>
      </w:pPr>
      <w:r>
        <w:rPr>
          <w:b/>
          <w:sz w:val="17"/>
        </w:rPr>
        <w:t xml:space="preserve">2 </w:t>
      </w:r>
      <w:r>
        <w:rPr>
          <w:sz w:val="17"/>
        </w:rPr>
        <w:t>Department of Integrative Biomedical Sciences, Institute of Infectious Disease &amp; Molecular Medicine (IDM), University of Cape Town, Cape Town 7925, South Africa</w:t>
      </w:r>
    </w:p>
    <w:p>
      <w:pPr>
        <w:spacing w:before="0" w:after="0" w:line="240" w:lineRule="auto"/>
        <w:jc w:val="center"/>
      </w:pPr>
      <w:r>
        <w:rPr>
          <w:b/>
          <w:sz w:val="17"/>
        </w:rPr>
        <w:t xml:space="preserve">3 </w:t>
      </w:r>
      <w:r>
        <w:rPr>
          <w:sz w:val="17"/>
        </w:rPr>
        <w:t>Division of Engineering, New York University Abu Dhabi, Abu Dhabi, United Arab Emirates</w:t>
      </w:r>
    </w:p>
    <w:p>
      <w:pPr>
        <w:spacing w:before="0" w:after="0" w:line="240" w:lineRule="auto"/>
        <w:jc w:val="center"/>
      </w:pPr>
      <w:r>
        <w:rPr>
          <w:b/>
          <w:sz w:val="17"/>
        </w:rPr>
        <w:t xml:space="preserve">4 </w:t>
      </w:r>
      <w:r>
        <w:rPr>
          <w:sz w:val="17"/>
        </w:rPr>
        <w:t>Department of Surgery, School of Clinical Medicine, Faculty of Health Sciences, University of the Witwatersrand, Johannesburg, Gauteng, South Africa</w:t>
      </w:r>
    </w:p>
    <w:p>
      <w:pPr>
        <w:spacing w:before="0" w:after="0" w:line="240" w:lineRule="auto"/>
        <w:jc w:val="center"/>
      </w:pPr>
      <w:r>
        <w:rPr>
          <w:b/>
          <w:sz w:val="17"/>
        </w:rPr>
        <w:t xml:space="preserve">5 </w:t>
      </w:r>
      <w:r>
        <w:rPr>
          <w:sz w:val="17"/>
        </w:rPr>
        <w:t>Division of Anatomical Pathology, University of Cape Town and National Health Laboratory Service, Observatory, Cape Town, South Africa</w:t>
      </w:r>
    </w:p>
    <w:p>
      <w:pPr>
        <w:spacing w:before="0" w:after="0" w:line="240" w:lineRule="auto"/>
        <w:jc w:val="center"/>
      </w:pPr>
      <w:r>
        <w:rPr>
          <w:b/>
          <w:sz w:val="17"/>
        </w:rPr>
        <w:t xml:space="preserve">6 </w:t>
      </w:r>
      <w:r>
        <w:rPr>
          <w:sz w:val="17"/>
        </w:rPr>
        <w:t>Computational Biology Group, International Centre for Genetic Engineering and Biotechnology (ICGEB), Trieste, Italy</w:t>
      </w:r>
    </w:p>
    <w:p>
      <w:pPr>
        <w:spacing w:before="0" w:after="0" w:line="240" w:lineRule="auto"/>
        <w:jc w:val="center"/>
      </w:pPr>
      <w:r>
        <w:rPr>
          <w:b/>
          <w:sz w:val="17"/>
        </w:rPr>
        <w:t xml:space="preserve">7 </w:t>
      </w:r>
      <w:r>
        <w:rPr>
          <w:sz w:val="17"/>
        </w:rPr>
        <w:t>Translational Bioinformatics Group, International Centre for Genetic Engineering and Biotechnology (ICGEB), Aruna Asaf Ali Marg, New Delhi 110067, India</w:t>
      </w:r>
    </w:p>
    <w:p>
      <w:pPr>
        <w:spacing w:before="0" w:after="0" w:line="240" w:lineRule="auto"/>
        <w:jc w:val="center"/>
      </w:pPr>
      <w:r>
        <w:rPr>
          <w:b/>
          <w:sz w:val="17"/>
        </w:rPr>
        <w:t xml:space="preserve">8 </w:t>
      </w:r>
      <w:r>
        <w:rPr>
          <w:sz w:val="17"/>
        </w:rPr>
        <w:t>Bioinformatics Facility, Department of Cellular, Computational and Integrative Biology - CIBIO, University of Trento, Trento, Italy</w:t>
      </w:r>
    </w:p>
    <w:p>
      <w:pPr>
        <w:spacing w:before="0" w:after="0" w:line="240" w:lineRule="auto"/>
        <w:jc w:val="center"/>
      </w:pPr>
      <w:r>
        <w:rPr>
          <w:b/>
          <w:sz w:val="17"/>
        </w:rPr>
        <w:t xml:space="preserve">9 </w:t>
      </w:r>
      <w:r>
        <w:rPr>
          <w:sz w:val="17"/>
        </w:rPr>
        <w:t>Department of Chemistry "Ugo Schiff", University of Florence, Sesto Fiorentino, Italy</w:t>
      </w:r>
    </w:p>
    <w:p>
      <w:pPr>
        <w:spacing w:before="0" w:after="0" w:line="240" w:lineRule="auto"/>
        <w:jc w:val="center"/>
      </w:pPr>
      <w:r>
        <w:rPr>
          <w:b/>
          <w:sz w:val="17"/>
        </w:rPr>
        <w:t xml:space="preserve">10 </w:t>
      </w:r>
      <w:r>
        <w:rPr>
          <w:sz w:val="17"/>
        </w:rPr>
        <w:t>Magnetic Resonance Center (CERM), University of Florence, Sesto Fiorentino, Italy</w:t>
      </w:r>
    </w:p>
    <w:p>
      <w:pPr>
        <w:spacing w:before="0" w:after="0" w:line="240" w:lineRule="auto"/>
        <w:jc w:val="center"/>
      </w:pPr>
      <w:r>
        <w:rPr>
          <w:i/>
          <w:sz w:val="17"/>
        </w:rPr>
        <w:t>* These authors contributed equally.</w:t>
      </w:r>
    </w:p>
    <w:p>
      <w:pPr>
        <w:spacing w:before="0" w:after="0" w:line="240" w:lineRule="auto"/>
        <w:jc w:val="center"/>
      </w:pPr>
      <w:r>
        <w:rPr>
          <w:i/>
          <w:sz w:val="17"/>
        </w:rPr>
        <w:t>† Corresponding author: Stefano Cacciatore (stefano.cacciatore@icgeb.org).</w:t>
      </w:r>
    </w:p>
    <w:p>
      <w:pPr>
        <w:spacing w:before="0" w:after="0" w:line="240" w:lineRule="auto"/>
        <w:jc w:val="center"/>
      </w:pPr>
      <w:r>
        <w:rPr>
          <w:sz w:val="17"/>
        </w:rPr>
        <w:t>Author emails: aamilahismail@gmail.com; moussa.kassim@icgeb.org; dalia.ahmed@icgeb.org; dupe.ojo@icgeb.org; vignoli@cerm.unifi.it; tenori@cerm.unifi.it; stefano.cacciatore@icgeb.org</w:t>
      </w:r>
    </w:p>
    <w:p>
      <w:pPr>
        <w:spacing w:before="0" w:after="0" w:line="240" w:lineRule="auto"/>
        <w:jc w:val="center"/>
      </w:pPr>
      <w:r>
        <w:rPr>
          <w:sz w:val="17"/>
        </w:rPr>
        <w:t>Research article: Molecular Pathology | Journal of Translational Medicine</w:t>
      </w:r>
    </w:p>
    <w:p>
      <w:pPr>
        <w:pStyle w:val="Heading1"/>
      </w:pPr>
      <w:r>
        <w:t>Abstract</w:t>
      </w:r>
    </w:p>
    <w:p>
      <w:r>
        <w:rPr>
          <w:b/>
        </w:rPr>
        <w:t>Background.</w:t>
      </w:r>
      <w:r>
        <w:t xml:space="preserve"> Haematoxylin-and-eosin (H&amp;E) sections reflect tumour genotype and tissue context. We compared three released pathology representations to identify cancer-specific mutation, fusion, genomic-instability, pathway and derived immune signals.</w:t>
      </w:r>
    </w:p>
    <w:p>
      <w:r>
        <w:rPr>
          <w:b/>
        </w:rPr>
        <w:t>Methods.</w:t>
      </w:r>
      <w:r>
        <w:t xml:space="preserve"> 8,241 patients and 3,389 cancer-endpoint tasks across 30 The Cancer Genome Atlas (TCGA) cancers were analysed. Slides were mean-pooled within patients; TITAN, Giga-SSL and Prov-GigaPath were compared on matched outcomes and nested patient-level folds using 1 to 20 component partial least-squares (PLS) regression or PLS with linear discriminant analysis. Primary metrics were cross-validated Q² and area under the receiver operating characteristic curve (AUROC), with descriptive thresholds of 0.20 and 0.60. Alternative partitions and TCGA tissue-source-site code grouping were examined. Permutation testing and false-discovery-rate control were applied to a larger 9,404-patient TITAN screen. TCGA images were used during Giga-SSL development, unlike the reported TITAN and Prov-GigaPath pretraining corpora.</w:t>
      </w:r>
    </w:p>
    <w:p>
      <w:r>
        <w:rPr>
          <w:b/>
        </w:rPr>
        <w:t>Results.</w:t>
      </w:r>
      <w:r>
        <w:t xml:space="preserve"> Excluding 11 same-H&amp;E tasks, TITAN, Giga-SSL and Prov-GigaPath crossed the Q² threshold in 633, 351 and 430 of 2,952 cross-modal continuous tasks. They crossed the AUROC threshold in 91, 64 and 79 of 426 binary tasks, including 137, 92 and 98 of 243 directly observed genomic-alteration tasks. Consensus signals included THYM-GTF2I mutation (AUROC 0.904, 0.884, 0.893), strict COAD microsatellite instability (0.940, 0.851, 0.857), UCEC fusion status (0.859, 0.661, 0.705), the published TGCT TGF-beta Response signature (Q² 0.662, 0.647, 0.601) and TGCT Hallmark TGF-beta signaling (0.519, 0.484, 0.459), ordered as TITAN, Giga-SSL and Prov-GigaPath. No pipeline led every endpoint. In the supporting TITAN screen, grouping by tissue-source-site code moved 210 of 869 candidates below their original threshold and reduced COAD-APC and READ-APC performance towards chance.</w:t>
      </w:r>
    </w:p>
    <w:p>
      <w:r>
        <w:rPr>
          <w:b/>
        </w:rPr>
        <w:t>Conclusions.</w:t>
      </w:r>
      <w:r>
        <w:t xml:space="preserve"> Histology contained reproducible cross-pipeline signals for mutations, fusions, microsatellite instability, genomic context and derived inflammatory phenotypes. TITAN provided the broadest task-level coverage under this probe, while some endpoints favoured another representation. The atlas and PathoFMPred prioritize candidates for independent validation, but internal TCGA estimates and cohort-structure sensitivity preclude clinical use.</w:t>
      </w:r>
    </w:p>
    <w:p>
      <w:r>
        <w:t>Keywords: computational pathology; whole-slide imaging; foundation model; mutation; inflammation; microsatellite instability; gene fusion; aneuploidy; partial least squares; linear discriminant analysis</w:t>
      </w:r>
    </w:p>
    <w:p>
      <w:pPr>
        <w:pStyle w:val="Heading1"/>
      </w:pPr>
      <w:r>
        <w:t>Background</w:t>
      </w:r>
    </w:p>
    <w:p>
      <w:r>
        <w:t>A haematoxylin-and-eosin (H&amp;E) slide captures tumour architecture, cell morphology and the surrounding tissue. A pathology foundation model learns a reusable representation of such images before it is trained for any one clinical question. In self-supervised vision models such as DINOv2, the image itself supplies the learning signal [1]. Pathology models extend this idea from small tissue regions to whole slides and provide a fixed numerical vector that can be tested against many outcomes. The vector does not predict a mutation by itself: a downstream model must learn that association from labelled patients. Because genotype, immune activity and tissue context can all shape morphology, routine slides offer a plausible source of tumour-feature signals.</w:t>
      </w:r>
    </w:p>
    <w:p>
      <w:r>
        <w:t>Histology-based prediction already has a substantial literature. Coudray and colleagues predicted lung-cancer mutations [2], and subsequent studies estimated microsatellite instability, including in externally tested colorectal cohorts [3-4]. Fu et al. screened 17,355 slides across 28 cancers [5]; Kather et al. analysed more than 5,000 patients across 14 cancers [6]; and Arslan et al. trained 12,093 models for 4,031 biomarkers in 8,890 TCGA patients across 32 cancers [7]. Other work examined RNA expression [8-9], cross-institution mutation performance [10-11], gene fusions [12-13], homologous-recombination deficiency [14] and tumour-microenvironment phenotypes [15]. These studies establish the field, but their cohorts, endpoint catalogues and image representations differ, which makes feature-level comparisons difficult.</w:t>
      </w:r>
    </w:p>
    <w:p>
      <w:r>
        <w:t>We built a patient-level atlas to ask which tumour features can be estimated from the same TCGA patients using three released pathology representations. We compared TITAN, Giga-SSL and Prov-GigaPath on identical labelled patients and validation folds, retained tested-negative and sample-size-ineligible tasks, and examined alternative fold assignments and TCGA tissue-source-site code grouping. We then ran a deeper permutation and false-discovery-rate-controlled screen in the larger TITAN cohort. We created PathoFMPred to record and apply the fitted research models; the software supports reproducibility but is not the main scientific result or a source of external validation.</w:t>
      </w:r>
    </w:p>
    <w:p>
      <w:r>
        <w:t>The three representations encode different upstream pipelines. TITAN combines visual self-supervision with vision-language alignment; its reported Mass-340K pretraining corpus excluded TCGA, although TCGA was used for downstream evaluation [16]. Giga-SSL provides self-supervised whole-slide embeddings and used TCGA during development, so exposure to the evaluated images cannot be excluded [17]. Prov-GigaPath combines a tile encoder with a long-context slide encoder trained on Providence health-system pathology data; we used its released final-layer TCGA embeddings [18]. We did not fine-tune these encoders or use molecular labels to learn the representations. The comparison therefore measures the released pipelines, including differences in preprocessing, resolution, training exposure and output layer, under one PLS-based downstream analysis. It does not isolate intrinsic foundation-model quality.</w:t>
      </w:r>
    </w:p>
    <w:p>
      <w:r>
        <w:t>A cancer-endpoint pair combines one cancer type with one outcome, such as APC mutation in COAD or an RNA wound-healing signature in LIHC. Each pair defines a separate cancer-specific task; we never pooled cancers into one prediction model. The catalogue included mutations, fusions, microsatellite instability, genome doubling and oncogenic-pathway alterations, as well as sequencing-derived burdens, transcriptomic inflammatory programmes, inferred immune-cell fractions and genomic-context scores. Throughout this article, predictability means held-out statistical agreement with the supplied reference phenotype, not causality or assay replacement.</w:t>
      </w:r>
    </w:p>
    <w:p>
      <w:pPr>
        <w:pStyle w:val="Heading1"/>
      </w:pPr>
      <w:r>
        <w:t>Methods</w:t>
      </w:r>
    </w:p>
    <w:p>
      <w:pPr>
        <w:pStyle w:val="Heading2"/>
      </w:pPr>
      <w:r>
        <w:t>Study design, slides and patient unit</w:t>
      </w:r>
    </w:p>
    <w:p>
      <w:r>
        <w:t>A total of 11,449 TITAN slides from 9,404 patients, 11,427 Giga-SSL slides from 9,378 patients and 10,328 Prov-GigaPath slides from 8,393 patients were included in the released artifacts. In their union, 9,471 unique patients were identified. Of these, 8,241 (87.0%) were represented in all three datasets and were included in the matched benchmark. Analysis coverage is summarized in Supplementary Table S1, and participant characteristics by cancer are reported in Supplementary Table S2.</w:t>
      </w:r>
    </w:p>
    <w:p>
      <w:r>
        <w:t>Within each representation, eligible primary-tumour diagnostic slides were pooled by arithmetic mean before outcomes were joined. The patient, rather than the slide, was treated as the unit of analysis and cross-validation. Each patient with multiple slides was represented as one observation, and all slides from that patient were kept in the same fold.</w:t>
      </w:r>
    </w:p>
    <w:p>
      <w:r>
        <w:t>No structured field for tumour cellularity, tissue area, artefact, biopsy/resection status or slide quality was provided by the available data. Generated TITAN slide narratives were used only for a non-adjudicated sensitivity audit. In the audit, 35 no-residual-tumour mentions were identified across six patients: TCGA-B6-A0IA and TCGA-B6-A0WV in BRCA, TCGA-55-8203 and TCGA-55-8507 in LUAD, TCGA-22-4596 in LUSC and TCGA-DX-AB2L in SARC. These patients were retained in the primary analysis because the generated narratives were derived from the same slides and did not constitute independent pathology review. In a post hoc sensitivity analysis, all six patients were removed before fold construction, and all 167 screen-positive models in the four affected cancers were refitted using the documented nested-validation rules. A separate maximum-slide-count sensitivity was also conducted for TCGA-DX-AB2L, the participant represented by 30 SARC slides, by removal of this patient before fold construction and refitting of every SARC candidate. Molecular sources were linked at participant or 15-character sample-barcode level; identity of the tissue block, aliquot or tumour region is not proved by either linkage. Complete exclusion results and the full linkage, pathology-quality and pooling audits are reported in Supplementary Table S3.</w:t>
      </w:r>
    </w:p>
    <w:p>
      <w:pPr>
        <w:pStyle w:val="Heading2"/>
      </w:pPr>
      <w:r>
        <w:t>Predictors and outcomes</w:t>
      </w:r>
    </w:p>
    <w:p>
      <w:r>
        <w:t>Slide vectors of 768 dimensions were supplied by TITAN and Prov-GigaPath, while 512-dimensional vectors were supplied by Giga-SSL. Five pragmatic inclusion criteria were applied. A ready-to-use slide-level TCGA embedding artifact had to be provided without downloading or reprocessing WSI pixels; deterministic slide identifiers linkable to patient and cancer had to be retained; one fixed-length whole-slide vector had to be provided; the 32-cancer frame had to be covered sufficiently for a common-patient analysis; and reproducible release metadata had to be provided for a materially distinct published whole-slide representation strategy. All five criteria were met by TITAN, Giga-SSL and Prov-GigaPath. Representative alternatives excluded because a compatible slide-level TCGA artifact, identifiers or common-cohort coverage were unavailable are listed in the supplementary inclusion audit; exclusion was not treated as a model-quality judgement. Upstream preprocessing, spatial resolution, training exposure and released layers were not harmonised. The estimand was therefore defined as complete released representation-pipeline performance under the common probe rather than intrinsic foundation-model quality. Because TCGA was used during Giga-SSL development, molecular labels were held out downstream although representation learning may have included the evaluated images.</w:t>
      </w:r>
    </w:p>
    <w:p>
      <w:r>
        <w:t>Outcome labels were acquired from published TCGA companion resources and were joined by the 12-character participant barcode after representation-specific patient vectors had been constructed. Where a 15-character TCGA sample barcode was supplied by a source, primary-tumour sample type 01 was first retained and eligible molecular rows were then collapsed to one participant-level outcome. Only a participant identifier was supplied by Thorsson. Source-specific and endpoint-specific missingness was retained. A participant absent from a molecular source was not assigned to the negative class. The same TCGA primary-tumour specimen is indicated by an exact 15-character sample match, but use of the same block, portion, analyte, aliquot, tumour region or subclone by the WSI and molecular assay is not proved. The source file, sheet, identifier, filtering, aggregation, missingness and transformation for every outcome group are reported in the supplementary endpoint dictionary and the machine-readable outcome_source_acquisition_map.csv.</w:t>
      </w:r>
    </w:p>
    <w:p>
      <w:r>
        <w:t>Immune, inflammatory and genomic-context features were obtained from the PanImmune_MS sheet of the Thorsson et al. supplementary workbook [19]. Fifty published non-survival, non-subtype and non-aggregate fields were selected, and their published participant-level values were imported rather than recalculated. These comprised 22 relative immune-cell fractions inferred from bulk RNA sequencing by CIBERSORT with the LM22 reference [20]; one methylation-derived leukocyte fraction; ten bulk-RNA expression signatures, including IFN-gamma response, TGF-beta response, wound healing, macrophage regulation, lymphocyte infiltration and Th1, Th2 and Th17 programmes; six BCR/TCR repertoire metrics; two somatic mutation rates; two in-silico neoantigen burdens; six genomic-context quantities; and the Saltz H&amp;E-derived TIL Regional Fraction [21]. Endpoint-specific missing values were retained. The log1p transformation was applied only to silent and nonsilent mutation rates, SNV and indel neoantigen counts and number of segments; every other Thorsson value was used on its published scale. CIBERSORT fractions and inflammatory signatures were therefore interpreted as agreement with published computational reference phenotypes, not as measurements generated directly from the tissue.</w:t>
      </w:r>
    </w:p>
    <w:p>
      <w:r>
        <w:t>RNA pathway-activity outcomes were constructed from the batch-adjusted TCGA Pan-Cancer RNA-sequencing matrix downloaded from UCSC Xena [22] and the MSigDB 2026.1.Hs gene-set release [23]. Fifty Hallmark gene sets, the Reactome glutathione synthesis and recycling set and the Gene Ontology vitamin B6 metabolic-process set were used. Primary-tumour sample type 01 was retained, expression was averaged across multiple primary-tumour aliquots from the same participant, and genes were standardized within each cancer. Each pathway score was calculated as the mean standardized expression of its measured member genes. The scores are therefore RNA-derived computational reference phenotypes and not direct biochemical measurements of pathway flux, glutathione concentration or pyridoxine metabolism. Source URLs, checksums, gene-set membership and per-cancer measured-gene counts are reported in the supplementary source audit.</w:t>
      </w:r>
    </w:p>
    <w:p>
      <w:r>
        <w:t>Mutation labels were constructed from TCGA MC3 calls [24] accessed through the pinned TCGAmutations package, and tested genes were restricted to the tissue-specific driver catalogue in Bailey et al. Table S1 [25]. Primary-tumour samples, PASS variants and protein-altering missense, nonsense, nonstop, splice-site, translation-start, frameshift and in-frame changes were retained. COADREAD drivers were mapped to both COAD and READ. A participant was classified as mutated when a qualifying variant in the gene was present in any matched profiled primary sample. Wild type was assigned only when profiling of a primary-tumour sample was confirmed by MC3 clinical metadata and no qualifying variant was present; participants without an MC3-profiled primary tumour remained missing.</w:t>
      </w:r>
    </w:p>
    <w:p>
      <w:r>
        <w:t>Pathway status was imported from the Pathway level sheet of Sanchez-Vega et al. Table S4 [26]. Binary alterations in ten oncogenic signalling pathways are reported in the published matrix. Sample type 01 was retained, and a participant was defined as altered when any covered primary sample was altered in that pathway; participants absent from the table remained missing. The Taylor aneuploidy score, deleted-arm count, amplified-arm count and genome-doubling indicator were obtained from Table S2 [27]; continuous values were averaged across primary samples, and genome doubling was assigned when any primary sample was positive. Fusion calls and the assayed denominator were obtained from the two relevant sheets of Gao et al. Table S1 [28]; unique calls were collapsed by participant, zero was assigned only within the study sample list and fusion burden was log1p-transformed. Finally, MANTIS and MSIsensor fields were downloaded from the cBioPortal TCGA PanCancer Atlas clinical-sample files [29-30]; finite primary-sample scores were averaged, and missingness was retained when every primary-sample score was absent. A value greater than 0.4 was used for MSI-H in the main MANTIS definition; in the strict sensitivity, a value greater than 0.6 was used for MSI-H, a value less than 0.4 was used for MSS and intermediate scores were excluded.</w:t>
      </w:r>
    </w:p>
    <w:p>
      <w:pPr>
        <w:pStyle w:val="Heading2"/>
      </w:pPr>
      <w:r>
        <w:t>PLS regression and PLS-LDA classification</w:t>
      </w:r>
    </w:p>
    <w:p>
      <w:r>
        <w:t>Each eligible cancer-endpoint pair was analysed as a separate cancer-specific task. In the matched benchmark, TITAN, Giga-SSL and Prov-GigaPath models were fitted independently while the same patients and validation folds were used. Features were centred within training folds by nested patient-level five-fold cross-validation, and 1 to 20 latent components were selected from pooled inner held-out predictions, with ties resolved in favour of fewer components. For continuous outcomes, PLS regression was fitted, inner root-mean-square deviation was minimised, and outer-fold Q², the cross-validated coefficient of determination, RMSE and Spearman correlation were evaluated. For binary outcomes, PLS-LDA was fitted, and the component count was selected by pooled inner out-of-fold (OOF) AUROC. The balanced-accuracy-maximising threshold from those inner training predictions was applied unchanged to the outer test fold. Outer OOF AUROC was evaluated as the primary paired statistic; PR-AUC, balanced accuracy, sensitivity, specificity, PPV and NPV were also reported. The observed outcome prevalence was used as the no-skill reference for PR-AUC. The discriminant score was uncalibrated and was not presented as a probability. At least 20 patients per class were required for binary eligibility, and at least 50 labelled patients were required for continuous eligibility.</w:t>
      </w:r>
    </w:p>
    <w:p>
      <w:r>
        <w:t>Seeded rSVD was used for every decomposition with the fastPLS 0.3 defaults. In the matched benchmark, identical outcome-labelled patients, folds, seeds and tuning rules were applied to all three representations. A descriptive effect-threshold crossing was defined as Q²≥0.20 for a continuous task or AUROC≥0.60 for a binary task. No representation-specific permutation or multiplicity procedure was applied in the matched benchmark, so effect-threshold crossings were treated as catalogue-navigation summaries rather than inferential discoveries. For all 426 matched binary pairs, the training-only optimized call was compared with empirical-prior and equal-prior calls on the identical AUROC-selected outer scores. Paired changes in balanced accuracy, sensitivity, specificity, PPV and NPV were reported. Symmetric folds and tuning objectives were used in the fixed 48-target ridge comparison, which was not treated as a second atlas.</w:t>
      </w:r>
    </w:p>
    <w:p>
      <w:pPr>
        <w:pStyle w:val="Heading2"/>
      </w:pPr>
      <w:r>
        <w:t>Robustness and saved models</w:t>
      </w:r>
    </w:p>
    <w:p>
      <w:r>
        <w:t>Five alternative nested partitions were run for 1334 effect-threshold-crossing or near-threshold pairs. Median effects, interquartile ranges, effect-threshold-crossing proportions, paired effect variability, leading-representation rank stability and threshold-derived support-pattern stability were calculated. All 971 pairs with an effect-threshold crossing in at least one representation were also rerun while complete TCGA tissue-source-site codes were held apart in outer and inner validation. Outer-fold sizes and binary class counts were preserved by matched-random controls. Each task metric was calculated once from all pooled patient-level outer out-of-fold predictions rather than by averaging fold-specific metrics. Predictions from a single-class outer test fold were included in the pooled task metric, but a stand-alone metric for that fold was not interpreted. The number of contributing codes, four- versus five-fold validation, minimum inner and outer training-class counts and single-class outer-test, inner-validation and inner-training indicators are recorded in the task-level audit. Fewer than five outer folds, outer test n below 10, a single-class binary fold or fewer than 20 patients in either binary training class are marked by a machine-readable sparse-fold warning. An unqualified robustness interpretation of a sparse grouped result is prevented by this warning; it is not an exclusion or validity threshold.</w:t>
      </w:r>
    </w:p>
    <w:p>
      <w:r>
        <w:t>For the component-selection audit, every selected component across the five outer fits and the frequencies of selecting the 20-component ceiling were reported. Five constant Giga-SSL dimensions were retained to preserve its released 512-feature schema; each constant column was mapped to zero by training-fold centering. No constant dimensions were present in TITAN or Prov-GigaPath, and no near-constant dimension with a full-cohort standard deviation between zero and 1e-8 was present in any representation. Numerical failures were recorded rather than silently discarded; constant-response and constant-class fold predictions used the documented fastPLS fallback and were identified in the machine-readable fold audit.</w:t>
      </w:r>
    </w:p>
    <w:p>
      <w:r>
        <w:t>A total of 3,633 eligible pairs, comprising 3,174 continuous and 459 binary pairs, were evaluated in the supporting TITAN-only screen. Models below the effect checkpoint were assigned p=1 without permutation, while tests stopped after significance became impossible were assigned a distinct early-stopped p=1 status. Scaling, inner component selection, refitting and held-out prediction were repeated for every performed permutation. Up to 999 permutations were used in the primary audit, and eight separately locked leading targets were extended to 9,999 complete-process permutations with Monte Carlo intervals. Benjamini-Hochberg correction was applied within cancer and endpoint family; the q-value was defined as the false-discovery-rate-adjusted empirical p-value. Broader multiplicity sensitivities were reported separately. The 869 qualified candidates were subjected to five additional nested partitions and grouping by TCGA tissue-source-site code. For highlighted candidates, patients from five fixed held-out prediction sets were resampled in the 95% selection-conditioned (SC) patient-resampling interval for repeated OOF predictions, and each metric was recalculated without folds being regenerated and without retuning or refitting. Patient sampling variation conditional on those fitted partitions is represented by the interval; it is not a confidence interval for external generalisation, and winner's-curse selection is not corrected. Complete permutation, Monte Carlo, uncertainty, fold-adequacy, class-size, continuous-reliability and multiple-slide details are reported in the Supplementary Methods and machine-readable audit files.</w:t>
      </w:r>
    </w:p>
    <w:p>
      <w:r>
        <w:t>Model coefficients, representation schema, outcome definition and internal-performance metadata are carried by PathoFMPred, but no validation evidence is created. Contributor-authored package source code and documentation are released under the MIT License. Permitted Giga-SSL and Prov-GigaPath fitted collections are provided as explicit, checksum-verified post-install downloads with separate asset notices and upstream attribution. TITAN-derived fitted parameters are excluded from the public repository because the upstream terms require permission for redistribution. Authorized users can construct and apply a local object with generic package functions. No independent cohort was evaluated.</w:t>
      </w:r>
    </w:p>
    <w:p>
      <w:pPr>
        <w:pStyle w:val="Heading2"/>
      </w:pPr>
      <w:r>
        <w:t>Software, transparency and validation status</w:t>
      </w:r>
    </w:p>
    <w:p>
      <w:r>
        <w:t>The analyses were performed in R 4.6.0 with fastPLS 0.3. Code, manifests, complete-resolution results and registries are contained in the companion repository. Representation sources, checksums, object access terms and the future locked-evaluation protocol are documented in the Supplement and software repository. No independent cohort was included, so every reported performance estimate remains internal to TCGA.</w:t>
      </w:r>
    </w:p>
    <w:p>
      <w:pPr>
        <w:pStyle w:val="Heading1"/>
      </w:pPr>
      <w:r>
        <w:t>Results</w:t>
      </w:r>
    </w:p>
    <w:p>
      <w:pPr>
        <w:pStyle w:val="Heading2"/>
      </w:pPr>
      <w:r>
        <w:t>Matched cohort and pipeline scope</w:t>
      </w:r>
    </w:p>
    <w:p>
      <w:r>
        <w:t>We included 8,241 patients and 3,389 cancer–endpoint pairs shared across TITAN, Giga-SSL and Prov-GigaPath in the primary benchmark. These comprised 2,963 continuous and 426 binary pairs across 30 cancers. We used identical patients, outcomes, folds, seeds and tuning rules within each pair. Of the 8,241 patients in this matched cohort, 8,207 (99.6%) had exactly the same TCGA slide identifiers available in all three embedding datasets. At least one dataset lacked one or more otherwise eligible slides for the remaining 34 patients. Restricting every pipeline to the 10,165 slides available in all three datasets left median performance changes near zero, although individual small ACC tasks changed more substantially. The comparison nevertheless includes each pipeline's upstream preprocessing, resolution, representation-learning exposure and released layer.</w:t>
      </w:r>
    </w:p>
    <w:p>
      <w:r>
        <w:t>We analysed 768-dimensional TITAN, 512-dimensional Giga-SSL and 768-dimensional Prov-GigaPath whole-slide vectors. TITAN combined a CONCH v1.5 tile encoder with its region-of-interest workflow and released slide layer. Giga-SSL combined a ResNet-18 tile encoder with a sparse-convolutional slide encoder, while Prov-GigaPath combined a DINOv2-style tile encoder with its final long-context slide layer. The reported TITAN Mass-340K and Prov-GigaPath Providence pretraining corpora excluded TCGA. Giga-SSL development used TCGA, so direct exposure to evaluated slides cannot be excluded. All three downstream analyses withheld molecular labels. We therefore interpret every comparison as a result for the complete released representation pipeline rather than an image-unseen test of isolated foundation-model quality.</w:t>
      </w:r>
    </w:p>
    <w:p>
      <w:r>
        <w:t>Pathology and molecular linkage limited interpretation. In the non-adjudicated pathology-text exclusion sensitivity defined in Methods, the original threshold remained for 157/167 models. This sensitivity does not replace independent pathology review.</w:t>
      </w:r>
    </w:p>
    <w:p>
      <w:r>
        <w:t>Supplementary Table S3 provides the patient-level generated-text audit, endpoint-level exclusion refits, source-specific linkage denominators and pooling diagnostics.</w:t>
      </w:r>
    </w:p>
    <w:p>
      <w:r>
        <w:t>Pooling sensitivity supported the patient mean as a stable deterministic summary but did not establish tissue adequacy. Coordinate-wise median pooling changed the median Q² and balanced accuracy by 0.000 and 0.000; mean-versus-median ranks correlated 0.992 and 0.978, and 766/770 continuous and 98/99 binary models retained their original thresholds. Among multi-slide patients, median pairwise cosine distances were 0.080, 0.103 and 0.052 for TITAN, Giga-SSL and Prov-GigaPath; their 95th percentiles were 0.324, 0.372 and 0.163. The median maximum leave-one-slide-out centroid changes were 0.010, 0.012 and 0.006. This was an embedding-level stability analysis, not a pathology or endpoint-performance adjudication.</w:t>
      </w:r>
    </w:p>
    <w:p>
      <w:r>
        <w:t>In the maximum-slide-count sensitivity defined in Methods, the original threshold remained for 34/36 continuous and 3/4 binary models. Any threshold changes show why participant weighting and tissue representativeness are distinct problems.</w:t>
      </w:r>
    </w:p>
    <w:p>
      <w:pPr>
        <w:jc w:val="center"/>
      </w:pPr>
      <w:r>
        <w:drawing>
          <wp:inline xmlns:a="http://schemas.openxmlformats.org/drawingml/2006/main" xmlns:pic="http://schemas.openxmlformats.org/drawingml/2006/picture">
            <wp:extent cx="5806440" cy="4112895"/>
            <wp:docPr id="1" name="Picture 1"/>
            <wp:cNvGraphicFramePr>
              <a:graphicFrameLocks noChangeAspect="1"/>
            </wp:cNvGraphicFramePr>
            <a:graphic>
              <a:graphicData uri="http://schemas.openxmlformats.org/drawingml/2006/picture">
                <pic:pic>
                  <pic:nvPicPr>
                    <pic:cNvPr id="0" name="Figure1_patient_overlap_venn.png"/>
                    <pic:cNvPicPr/>
                  </pic:nvPicPr>
                  <pic:blipFill>
                    <a:blip r:embed="rId23"/>
                    <a:stretch>
                      <a:fillRect/>
                    </a:stretch>
                  </pic:blipFill>
                  <pic:spPr>
                    <a:xfrm>
                      <a:off x="0" y="0"/>
                      <a:ext cx="5806440" cy="4112895"/>
                    </a:xfrm>
                    <a:prstGeom prst="rect"/>
                  </pic:spPr>
                </pic:pic>
              </a:graphicData>
            </a:graphic>
          </wp:inline>
        </w:drawing>
      </w:r>
    </w:p>
    <w:p>
      <w:pPr>
        <w:pStyle w:val="Caption"/>
        <w:jc w:val="center"/>
      </w:pPr>
      <w:r>
        <w:t>Figure 1. Patient and slide overlap across the three released TCGA representation datasets. TITAN contained 11,449 slides from 9,404 patients, Giga-SSL contained 11,427 slides from 9,378 patients and Prov-GigaPath contained 10,328 slides from 8,393 patients. The matched analysis used 8,241 patients. The exact common-slide intersection contained 10,165 slides, and 8,207 patients had identical slide sets across all three datasets. Region areas are schematic.</w:t>
      </w:r>
    </w:p>
    <w:p>
      <w:pPr>
        <w:pStyle w:val="Heading2"/>
      </w:pPr>
      <w:r>
        <w:t>Predictable tumour features and biological patterns</w:t>
      </w:r>
    </w:p>
    <w:p>
      <w:r>
        <w:t>The matched benchmark revealed its strongest and broadest biological signal in direct genomic alterations. At least one representation crossed the descriptive AUROC threshold in 160/243 mutation or fusion tasks, and all three crossed in 65/243. Composite genomic-context status, including MSI, genome doubling and oncogenic-pathway states, crossed in at least one representation for 108/183 tasks and in all three for 57/183. The continuous layer was more selective: at least one representation crossed for 39/413 sequencing-derived burdens, 101/279 transcriptomic signatures, 31/638 computationally inferred immune-cell fractions and 35/166 continuous genomic-context scores. All three crossed for 10, 51, 13 and 11 tasks in these four classes. Figure 2 shows both class-level breadth and named cancer-specific examples.</w:t>
      </w:r>
    </w:p>
    <w:p>
      <w:r>
        <w:t>We first compared paired Q² and AUROC values without thresholding. Relative to TITAN, Giga-SSL effects had Spearman correlations of 0.804 for continuous tasks and 0.661 for binary tasks; the corresponding Prov-GigaPath correlations were 0.811 and 0.717. Median alternative-minus-TITAN differences were -0.044 Q² and -0.034 AUROC for Giga-SSL, and -0.045 Q² and -0.026 AUROC for Prov-GigaPath. The full paired distributions remain in the machine-readable comparison table; Figure 2 presents biological classes and named examples.</w:t>
      </w:r>
    </w:p>
    <w:p>
      <w:r>
        <w:t>We also examined TITAN and Prov-GigaPath separately because their reported pretraining corpora excluded TCGA. For continuous tasks, both pipelines crossed Q² 0.20 in 391/2,963 pairs, TITAN alone crossed in 252 and Prov-GigaPath alone in 50. TITAN had the higher Q² in 2,124 pairs and Prov-GigaPath in 839; the median Prov-GigaPath-minus-TITAN difference was -0.045 with a descriptive 95% cancer-cluster interval from -0.054 to -0.035. For binary tasks, both crossed AUROC 0.60 in 152/426 pairs, TITAN alone in 78 and Prov-GigaPath alone in 24. TITAN had the higher AUROC in 288 pairs and Prov-GigaPath in 137; the median difference was -0.026 (-0.034 to -0.018). These cancer-cluster intervals describe paired task effects and are not confidence intervals for external generalisation. This comparison reduces one known difference in reported training exposure but still compares complete pipelines.</w:t>
      </w:r>
    </w:p>
    <w:p>
      <w:r>
        <w:t>Catalogue-normalised summaries gave the same aggregate ordering but substantially different scales across outcomes. For continuous tasks, the task-level effect-threshold-crossing percentage, unique-definition percentage, macro-family percentage and macro-cancer percentage were 21.7/84.3/12.5/21.6% for TITAN, 12.2/73.1/6.1/12.1% for Giga-SSL and 14.9/79.6/8.4/14.8% for Prov-GigaPath. For binary tasks, the corresponding values were 54.0/72.5/71.6/51.1%, 39.0/51.1/59.4/46.2% and 41.3/57.3/65.9/46.0%.</w:t>
      </w:r>
    </w:p>
    <w:p>
      <w:r>
        <w:t>We defined a descriptive effect-threshold crossing as Q² at least 0.20 for a continuous task or AUROC at least 0.60 for a binary task. At least one representation produced an effect-threshold crossing for 971/3,389 cancer-endpoint pairs (28.7%), including 703 continuous and 268 binary pairs and covering 196/239 distinct feature definitions. Two or more representations produced an effect-threshold crossing for 621 pairs. All three did so for 426 pairs, including 304 continuous and 122 binary pairs across 127 distinct feature definitions. These counts depend on the endpoint catalogue, repeat correlated phenotypes across cancers and are not independent biological discoveries. The matched atlas has no representation-specific permutation or multiplicity testing.</w:t>
      </w:r>
    </w:p>
    <w:p>
      <w:r>
        <w:t>The cross-representation genomic core included GTF2I, BRAF, IDH1, TP53, ATRX, CIC, FGFR3, APC and PTEN mutations, any called fusion, MSI status, genome doubling and several oncogenic-pathway states. These associations concentrated in biologically recognisable cancer contexts. The glioma results linked histology to IDH1, TP53, ATRX and CIC alterations and to TP53, HIPPO, WNT and RTK-RAS pathway states. Thyroid carcinoma showed strong BRAF and RTK-RAS signals, thymoma showed a strong GTF2I signal, bladder carcinoma retained FGFR3, and endometrial cancer retained PTEN, TP53, fusion and genome-doubling signals. COAD and STAD retained both strict and broader MSI definitions.</w:t>
      </w:r>
    </w:p>
    <w:p>
      <w:r>
        <w:t>Several direct or sequence-derived examples combined strong discrimination with agreement across representations and retention after TCGA tissue-source-site code grouping. THYM GTF2I mutation reached AUROC 0.904, 0.884, 0.893 for TITAN, Giga-SSL and Prov-GigaPath, respectively. THCA BRAF reached 0.886, 0.862, 0.857, LGG TP53 reached 0.912, 0.866, 0.872 and LGG IDH1 reached 0.837, 0.782, 0.840. COAD strict MSI reached AUROC 0.940, 0.851, 0.857 and PR-AUC 0.805, 0.584, 0.620, compared with a prevalence and no-skill PR-AUC reference of 0.150. Supplementary Table S4 reports the selected binary tumour-feature results.</w:t>
      </w:r>
    </w:p>
    <w:p>
      <w:r>
        <w:t>Fusion prediction produced a distinct set of results. Among 26 eligible binary fusion cancer-endpoint pairs, 12, 11, 10 crossed AUROC 0.60 with TITAN, Giga-SSL and Prov-GigaPath, respectively. All three crossed for 6 binary fusion pairs. For UCEC any called fusion, the matched cohort contained 80 positive cases among 152 patients; the AUROCs were 0.859, 0.661, 0.705. The complete fusion table also distinguishes called-fusion status, individual recurrent pairs and continuous fusion burden. These internally estimated signals prioritise cancer-specific fusion tasks for external testing rather than support one general fusion detector.</w:t>
      </w:r>
    </w:p>
    <w:p>
      <w:r>
        <w:t>The continuous results linked histology to selected inflammatory and tissue-context programmes rather than to every tested immune feature. Signals crossing in all three representations included TGCT TGF-beta response (Q² 0.662, 0.647, 0.601); THYM Th17 programme (Q² 0.617, 0.522, 0.425); BLCA leukocyte fraction (Q² 0.364, 0.404, 0.379); KIRP leukocyte fraction (Q² 0.368, 0.401, 0.407); THYM TCR diversity (Q² 0.478, 0.455, 0.377), with values ordered as TITAN, Giga-SSL and Prov-GigaPath. We treated these as agreement with bulk-transcriptomic, methylation-derived, repertoire or composite reference phenotypes rather than direct recovery of immune-cell abundance. The same-H&amp;E TIL Regional Fraction contributed 11 eligible tasks, which we excluded from the default cross-modal summary. Supplementary Table S5 reports selected continuous results, Supplementary Table S6 summarizes predictability by feature family, and Supplementary Table S7 provides the literature context for each tumour-feature class.</w:t>
      </w:r>
    </w:p>
    <w:p>
      <w:pPr>
        <w:jc w:val="center"/>
      </w:pPr>
      <w:r>
        <w:drawing>
          <wp:inline xmlns:a="http://schemas.openxmlformats.org/drawingml/2006/main" xmlns:pic="http://schemas.openxmlformats.org/drawingml/2006/picture">
            <wp:extent cx="5806440" cy="7377594"/>
            <wp:docPr id="2" name="Picture 2"/>
            <wp:cNvGraphicFramePr>
              <a:graphicFrameLocks noChangeAspect="1"/>
            </wp:cNvGraphicFramePr>
            <a:graphic>
              <a:graphicData uri="http://schemas.openxmlformats.org/drawingml/2006/picture">
                <pic:pic>
                  <pic:nvPicPr>
                    <pic:cNvPr id="0" name="Figure2_biological_predictability_map.png"/>
                    <pic:cNvPicPr/>
                  </pic:nvPicPr>
                  <pic:blipFill>
                    <a:blip r:embed="rId18"/>
                    <a:stretch>
                      <a:fillRect/>
                    </a:stretch>
                  </pic:blipFill>
                  <pic:spPr>
                    <a:xfrm>
                      <a:off x="0" y="0"/>
                      <a:ext cx="5806440" cy="7377594"/>
                    </a:xfrm>
                    <a:prstGeom prst="rect"/>
                  </pic:spPr>
                </pic:pic>
              </a:graphicData>
            </a:graphic>
          </wp:inline>
        </w:drawing>
      </w:r>
    </w:p>
    <w:p>
      <w:pPr>
        <w:pStyle w:val="Caption"/>
        <w:jc w:val="center"/>
      </w:pPr>
      <w:r>
        <w:t>Figure 2. Tumour-feature classes and selected cancer-specific examples under the three released pathology representation pipelines. Panel A reports the percentage of eligible cancer-endpoint pairs reaching Q² at least 0.20 or AUROC at least 0.60 in at least one representation and in all three representations, after excluding the 11 same-H&amp;E TIL-fraction tasks. Panel B shows selected direct genomic and genomic-context examples. Panel C shows selected immune, inflammatory and tissue-context reference phenotypes. Every displayed example crossed in all three representations and retained the threshold after TCGA tissue-source-site code grouping. Blue, orange and green points represent TITAN, Giga-SSL and Prov-GigaPath, respectively. The coloured right-hand label identifies the pipeline with the highest observed effect for that pair; exact estimates are provided in the accompanying data table. The complete atlas reports every tested pair. Grouped retention is an internal cohort-structure sensitivity, not external validation.</w:t>
      </w:r>
    </w:p>
    <w:p>
      <w:r>
        <w:t>The leading representation differed by feature. Among the 18 examples in Figure 2, TITAN had the highest observed held-out effect for 14, Prov-GigaPath for 3 and Giga-SSL for 1. Examples led by Prov-GigaPath included COAD Genome doubling, THCA Any called fusion, KIRP Leukocyte Fraction; Giga-SSL led TGCT EPITHELIAL MESENCHYMAL TRANSITION. Several margins were small, so close values were interpreted as near-ties rather than evidence of a universally superior representation.</w:t>
      </w:r>
    </w:p>
    <w:p>
      <w:r>
        <w:t>The operating-point audit used the same AUROC-selected scores for every rule. Counts with balanced accuracy at least 0.60 under empirical priors, equal priors and a training-only optimized threshold were 88/180/160 for TITAN, 60/107/117 for Giga-SSL and 80/115/116 for Prov-GigaPath. Relative to empirical priors, the training-only threshold changed median balanced accuracy by 0.029/0.020/0.014, sensitivity by 0.378/0.381/0.362, specificity by -0.300/-0.329/-0.329, PPV by -0.020/-0.012/-0.021 and NPV by 0.016/0.012/0.011 for TITAN/Giga-SSL/Prov-GigaPath. Supplementary Table S8 summarizes the statistical and robustness audits, while complete paired changes for all five operating metrics remain machine readable. AUROC and PR-AUC did not change because the component and continuous outer score remained fixed. Table 1 summarizes descriptive predictability by tumour-feature class.</w:t>
      </w:r>
    </w:p>
    <w:p>
      <w:r>
        <w:t>Table 1. Tumour-feature classes with descriptive effect-threshold crossings. Percentages use eligible cancer-endpoint pairs within each class; values in brackets show distinct feature definitions. We evaluated some definitions in several cancers, so task counts are catalogue-dependent and do not represent independent biological discoveries.</w:t>
      </w:r>
    </w:p>
    <w:tbl>
      <w:tblPr>
        <w:tblStyle w:val="TableGrid"/>
        <w:tblW w:type="dxa" w:w="8276"/>
        <w:jc w:val="left"/>
        <w:tblLayout w:type="fixed"/>
        <w:tblLook w:firstColumn="1" w:firstRow="1" w:lastColumn="0" w:lastRow="0" w:noHBand="0" w:noVBand="1" w:val="04A0"/>
        <w:tblLayout w:type="fixed"/>
        <w:tblInd w:type="dxa" w:w="0"/>
      </w:tblPr>
      <w:tblGrid>
        <w:gridCol w:w="1644"/>
        <w:gridCol w:w="737"/>
        <w:gridCol w:w="1417"/>
        <w:gridCol w:w="1417"/>
        <w:gridCol w:w="3061"/>
      </w:tblGrid>
      <w:tr>
        <w:trPr>
          <w:tblHeader w:val="true"/>
          <w:cantSplit/>
        </w:trPr>
        <w:tc>
          <w:tcPr>
            <w:tcW w:type="dxa" w:w="1644"/>
            <w:shd w:fill="D9EAF7"/>
          </w:tcPr>
          <w:p>
            <w:pPr>
              <w:spacing w:line="240" w:lineRule="auto" w:after="0"/>
            </w:pPr>
            <w:r>
              <w:rPr>
                <w:b/>
                <w:sz w:val="16"/>
              </w:rPr>
              <w:t>Tumour-feature class</w:t>
            </w:r>
          </w:p>
        </w:tc>
        <w:tc>
          <w:tcPr>
            <w:tcW w:type="dxa" w:w="737"/>
            <w:shd w:fill="D9EAF7"/>
          </w:tcPr>
          <w:p>
            <w:pPr>
              <w:spacing w:line="240" w:lineRule="auto" w:after="0"/>
            </w:pPr>
            <w:r>
              <w:rPr>
                <w:b/>
                <w:sz w:val="16"/>
              </w:rPr>
              <w:t>Eligible pairs</w:t>
            </w:r>
          </w:p>
        </w:tc>
        <w:tc>
          <w:tcPr>
            <w:tcW w:type="dxa" w:w="1417"/>
            <w:shd w:fill="D9EAF7"/>
          </w:tcPr>
          <w:p>
            <w:pPr>
              <w:spacing w:line="240" w:lineRule="auto" w:after="0"/>
            </w:pPr>
            <w:r>
              <w:rPr>
                <w:b/>
                <w:sz w:val="16"/>
              </w:rPr>
              <w:t>Crossing in at least 1, n/N (%) [features]</w:t>
            </w:r>
          </w:p>
        </w:tc>
        <w:tc>
          <w:tcPr>
            <w:tcW w:type="dxa" w:w="1417"/>
            <w:shd w:fill="D9EAF7"/>
          </w:tcPr>
          <w:p>
            <w:pPr>
              <w:spacing w:line="240" w:lineRule="auto" w:after="0"/>
            </w:pPr>
            <w:r>
              <w:rPr>
                <w:b/>
                <w:sz w:val="16"/>
              </w:rPr>
              <w:t>Crossing in all 3, n/N (%) [features]</w:t>
            </w:r>
          </w:p>
        </w:tc>
        <w:tc>
          <w:tcPr>
            <w:tcW w:type="dxa" w:w="3061"/>
            <w:shd w:fill="D9EAF7"/>
          </w:tcPr>
          <w:p>
            <w:pPr>
              <w:spacing w:line="240" w:lineRule="auto" w:after="0"/>
            </w:pPr>
            <w:r>
              <w:rPr>
                <w:b/>
                <w:sz w:val="16"/>
              </w:rPr>
              <w:t>Examples shared by all 3</w:t>
            </w:r>
          </w:p>
        </w:tc>
      </w:tr>
      <w:tr>
        <w:trPr>
          <w:cantSplit/>
        </w:trPr>
        <w:tc>
          <w:tcPr>
            <w:tcW w:type="dxa" w:w="1644"/>
            <w:vAlign w:val="center"/>
          </w:tcPr>
          <w:p>
            <w:pPr>
              <w:spacing w:line="240" w:lineRule="auto" w:after="0"/>
            </w:pPr>
            <w:r>
              <w:rPr>
                <w:sz w:val="15"/>
              </w:rPr>
              <w:t>Direct genomic alterations</w:t>
            </w:r>
          </w:p>
        </w:tc>
        <w:tc>
          <w:tcPr>
            <w:tcW w:type="dxa" w:w="737"/>
            <w:vAlign w:val="center"/>
          </w:tcPr>
          <w:p>
            <w:pPr>
              <w:spacing w:line="240" w:lineRule="auto" w:after="0"/>
            </w:pPr>
            <w:r>
              <w:rPr>
                <w:sz w:val="15"/>
              </w:rPr>
              <w:t>243</w:t>
            </w:r>
          </w:p>
        </w:tc>
        <w:tc>
          <w:tcPr>
            <w:tcW w:type="dxa" w:w="1417"/>
            <w:vAlign w:val="center"/>
          </w:tcPr>
          <w:p>
            <w:pPr>
              <w:spacing w:line="240" w:lineRule="auto" w:after="0"/>
            </w:pPr>
            <w:r>
              <w:rPr>
                <w:sz w:val="15"/>
              </w:rPr>
              <w:t>160/243 (65.8%) [91]</w:t>
            </w:r>
          </w:p>
        </w:tc>
        <w:tc>
          <w:tcPr>
            <w:tcW w:type="dxa" w:w="1417"/>
            <w:vAlign w:val="center"/>
          </w:tcPr>
          <w:p>
            <w:pPr>
              <w:spacing w:line="240" w:lineRule="auto" w:after="0"/>
            </w:pPr>
            <w:r>
              <w:rPr>
                <w:sz w:val="15"/>
              </w:rPr>
              <w:t>65/243 (26.7%) [1]</w:t>
            </w:r>
          </w:p>
        </w:tc>
        <w:tc>
          <w:tcPr>
            <w:tcW w:type="dxa" w:w="3061"/>
            <w:vAlign w:val="center"/>
          </w:tcPr>
          <w:p>
            <w:pPr>
              <w:spacing w:line="240" w:lineRule="auto" w:after="0"/>
            </w:pPr>
            <w:r>
              <w:rPr>
                <w:sz w:val="15"/>
              </w:rPr>
              <w:t>GTF2I, BRAF, IDH1, TP53, ATRX, CIC, FGFR3, APC, PTEN and called fusions</w:t>
            </w:r>
          </w:p>
        </w:tc>
      </w:tr>
      <w:tr>
        <w:trPr>
          <w:cantSplit/>
        </w:trPr>
        <w:tc>
          <w:tcPr>
            <w:tcW w:type="dxa" w:w="1644"/>
            <w:vAlign w:val="center"/>
          </w:tcPr>
          <w:p>
            <w:pPr>
              <w:spacing w:line="240" w:lineRule="auto" w:after="0"/>
            </w:pPr>
            <w:r>
              <w:rPr>
                <w:sz w:val="15"/>
              </w:rPr>
              <w:t>Composite genomic-context status</w:t>
            </w:r>
          </w:p>
        </w:tc>
        <w:tc>
          <w:tcPr>
            <w:tcW w:type="dxa" w:w="737"/>
            <w:vAlign w:val="center"/>
          </w:tcPr>
          <w:p>
            <w:pPr>
              <w:spacing w:line="240" w:lineRule="auto" w:after="0"/>
            </w:pPr>
            <w:r>
              <w:rPr>
                <w:sz w:val="15"/>
              </w:rPr>
              <w:t>183</w:t>
            </w:r>
          </w:p>
        </w:tc>
        <w:tc>
          <w:tcPr>
            <w:tcW w:type="dxa" w:w="1417"/>
            <w:vAlign w:val="center"/>
          </w:tcPr>
          <w:p>
            <w:pPr>
              <w:spacing w:line="240" w:lineRule="auto" w:after="0"/>
            </w:pPr>
            <w:r>
              <w:rPr>
                <w:sz w:val="15"/>
              </w:rPr>
              <w:t>108/183 (59.0%) [7]</w:t>
            </w:r>
          </w:p>
        </w:tc>
        <w:tc>
          <w:tcPr>
            <w:tcW w:type="dxa" w:w="1417"/>
            <w:vAlign w:val="center"/>
          </w:tcPr>
          <w:p>
            <w:pPr>
              <w:spacing w:line="240" w:lineRule="auto" w:after="0"/>
            </w:pPr>
            <w:r>
              <w:rPr>
                <w:sz w:val="15"/>
              </w:rPr>
              <w:t>57/183 (31.1%) [7]</w:t>
            </w:r>
          </w:p>
        </w:tc>
        <w:tc>
          <w:tcPr>
            <w:tcW w:type="dxa" w:w="3061"/>
            <w:vAlign w:val="center"/>
          </w:tcPr>
          <w:p>
            <w:pPr>
              <w:spacing w:line="240" w:lineRule="auto" w:after="0"/>
            </w:pPr>
            <w:r>
              <w:rPr>
                <w:sz w:val="15"/>
              </w:rPr>
              <w:t>MSI, genome doubling and TP53, RTK-RAS, HIPPO, WNT and NOTCH pathway status</w:t>
            </w:r>
          </w:p>
        </w:tc>
      </w:tr>
      <w:tr>
        <w:trPr>
          <w:cantSplit/>
        </w:trPr>
        <w:tc>
          <w:tcPr>
            <w:tcW w:type="dxa" w:w="1644"/>
            <w:vAlign w:val="center"/>
          </w:tcPr>
          <w:p>
            <w:pPr>
              <w:spacing w:line="240" w:lineRule="auto" w:after="0"/>
            </w:pPr>
            <w:r>
              <w:rPr>
                <w:sz w:val="15"/>
              </w:rPr>
              <w:t>Sequencing-derived burdens</w:t>
            </w:r>
          </w:p>
        </w:tc>
        <w:tc>
          <w:tcPr>
            <w:tcW w:type="dxa" w:w="737"/>
            <w:vAlign w:val="center"/>
          </w:tcPr>
          <w:p>
            <w:pPr>
              <w:spacing w:line="240" w:lineRule="auto" w:after="0"/>
            </w:pPr>
            <w:r>
              <w:rPr>
                <w:sz w:val="15"/>
              </w:rPr>
              <w:t>413</w:t>
            </w:r>
          </w:p>
        </w:tc>
        <w:tc>
          <w:tcPr>
            <w:tcW w:type="dxa" w:w="1417"/>
            <w:vAlign w:val="center"/>
          </w:tcPr>
          <w:p>
            <w:pPr>
              <w:spacing w:line="240" w:lineRule="auto" w:after="0"/>
            </w:pPr>
            <w:r>
              <w:rPr>
                <w:sz w:val="15"/>
              </w:rPr>
              <w:t>39/413 (9.4%) [7]</w:t>
            </w:r>
          </w:p>
        </w:tc>
        <w:tc>
          <w:tcPr>
            <w:tcW w:type="dxa" w:w="1417"/>
            <w:vAlign w:val="center"/>
          </w:tcPr>
          <w:p>
            <w:pPr>
              <w:spacing w:line="240" w:lineRule="auto" w:after="0"/>
            </w:pPr>
            <w:r>
              <w:rPr>
                <w:sz w:val="15"/>
              </w:rPr>
              <w:t>10/413 (2.4%) [6]</w:t>
            </w:r>
          </w:p>
        </w:tc>
        <w:tc>
          <w:tcPr>
            <w:tcW w:type="dxa" w:w="3061"/>
            <w:vAlign w:val="center"/>
          </w:tcPr>
          <w:p>
            <w:pPr>
              <w:spacing w:line="240" w:lineRule="auto" w:after="0"/>
            </w:pPr>
            <w:r>
              <w:rPr>
                <w:sz w:val="15"/>
              </w:rPr>
              <w:t>MANTIS, aneuploidy, TCR diversity and SNV neoantigens</w:t>
            </w:r>
          </w:p>
        </w:tc>
      </w:tr>
      <w:tr>
        <w:trPr>
          <w:cantSplit/>
        </w:trPr>
        <w:tc>
          <w:tcPr>
            <w:tcW w:type="dxa" w:w="1644"/>
            <w:vAlign w:val="center"/>
          </w:tcPr>
          <w:p>
            <w:pPr>
              <w:spacing w:line="240" w:lineRule="auto" w:after="0"/>
            </w:pPr>
            <w:r>
              <w:rPr>
                <w:sz w:val="15"/>
              </w:rPr>
              <w:t>Transcriptomic signatures</w:t>
            </w:r>
          </w:p>
        </w:tc>
        <w:tc>
          <w:tcPr>
            <w:tcW w:type="dxa" w:w="737"/>
            <w:vAlign w:val="center"/>
          </w:tcPr>
          <w:p>
            <w:pPr>
              <w:spacing w:line="240" w:lineRule="auto" w:after="0"/>
            </w:pPr>
            <w:r>
              <w:rPr>
                <w:sz w:val="15"/>
              </w:rPr>
              <w:t>279</w:t>
            </w:r>
          </w:p>
        </w:tc>
        <w:tc>
          <w:tcPr>
            <w:tcW w:type="dxa" w:w="1417"/>
            <w:vAlign w:val="center"/>
          </w:tcPr>
          <w:p>
            <w:pPr>
              <w:spacing w:line="240" w:lineRule="auto" w:after="0"/>
            </w:pPr>
            <w:r>
              <w:rPr>
                <w:sz w:val="15"/>
              </w:rPr>
              <w:t>101/279 (36.2%) [13]</w:t>
            </w:r>
          </w:p>
        </w:tc>
        <w:tc>
          <w:tcPr>
            <w:tcW w:type="dxa" w:w="1417"/>
            <w:vAlign w:val="center"/>
          </w:tcPr>
          <w:p>
            <w:pPr>
              <w:spacing w:line="240" w:lineRule="auto" w:after="0"/>
            </w:pPr>
            <w:r>
              <w:rPr>
                <w:sz w:val="15"/>
              </w:rPr>
              <w:t>51/279 (18.3%) [12]</w:t>
            </w:r>
          </w:p>
        </w:tc>
        <w:tc>
          <w:tcPr>
            <w:tcW w:type="dxa" w:w="3061"/>
            <w:vAlign w:val="center"/>
          </w:tcPr>
          <w:p>
            <w:pPr>
              <w:spacing w:line="240" w:lineRule="auto" w:after="0"/>
            </w:pPr>
            <w:r>
              <w:rPr>
                <w:sz w:val="15"/>
              </w:rPr>
              <w:t>TGF-beta, IFN-gamma, proliferation, wound healing and Th1, Th2 and Th17 programmes</w:t>
            </w:r>
          </w:p>
        </w:tc>
      </w:tr>
      <w:tr>
        <w:trPr>
          <w:cantSplit/>
        </w:trPr>
        <w:tc>
          <w:tcPr>
            <w:tcW w:type="dxa" w:w="1644"/>
            <w:vAlign w:val="center"/>
          </w:tcPr>
          <w:p>
            <w:pPr>
              <w:spacing w:line="240" w:lineRule="auto" w:after="0"/>
            </w:pPr>
            <w:r>
              <w:rPr>
                <w:sz w:val="15"/>
              </w:rPr>
              <w:t>Inferred immune-cell fractions</w:t>
            </w:r>
          </w:p>
        </w:tc>
        <w:tc>
          <w:tcPr>
            <w:tcW w:type="dxa" w:w="737"/>
            <w:vAlign w:val="center"/>
          </w:tcPr>
          <w:p>
            <w:pPr>
              <w:spacing w:line="240" w:lineRule="auto" w:after="0"/>
            </w:pPr>
            <w:r>
              <w:rPr>
                <w:sz w:val="15"/>
              </w:rPr>
              <w:t>638</w:t>
            </w:r>
          </w:p>
        </w:tc>
        <w:tc>
          <w:tcPr>
            <w:tcW w:type="dxa" w:w="1417"/>
            <w:vAlign w:val="center"/>
          </w:tcPr>
          <w:p>
            <w:pPr>
              <w:spacing w:line="240" w:lineRule="auto" w:after="0"/>
            </w:pPr>
            <w:r>
              <w:rPr>
                <w:sz w:val="15"/>
              </w:rPr>
              <w:t>31/638 (4.9%) [11]</w:t>
            </w:r>
          </w:p>
        </w:tc>
        <w:tc>
          <w:tcPr>
            <w:tcW w:type="dxa" w:w="1417"/>
            <w:vAlign w:val="center"/>
          </w:tcPr>
          <w:p>
            <w:pPr>
              <w:spacing w:line="240" w:lineRule="auto" w:after="0"/>
            </w:pPr>
            <w:r>
              <w:rPr>
                <w:sz w:val="15"/>
              </w:rPr>
              <w:t>13/638 (2.0%) [6]</w:t>
            </w:r>
          </w:p>
        </w:tc>
        <w:tc>
          <w:tcPr>
            <w:tcW w:type="dxa" w:w="3061"/>
            <w:vAlign w:val="center"/>
          </w:tcPr>
          <w:p>
            <w:pPr>
              <w:spacing w:line="240" w:lineRule="auto" w:after="0"/>
            </w:pPr>
            <w:r>
              <w:rPr>
                <w:sz w:val="15"/>
              </w:rPr>
              <w:t>leukocyte, naive B-cell, M2-macrophage and regulatory T-cell fractions</w:t>
            </w:r>
          </w:p>
        </w:tc>
      </w:tr>
      <w:tr>
        <w:trPr>
          <w:cantSplit/>
        </w:trPr>
        <w:tc>
          <w:tcPr>
            <w:tcW w:type="dxa" w:w="1644"/>
            <w:vAlign w:val="center"/>
          </w:tcPr>
          <w:p>
            <w:pPr>
              <w:spacing w:line="240" w:lineRule="auto" w:after="0"/>
            </w:pPr>
            <w:r>
              <w:rPr>
                <w:sz w:val="15"/>
              </w:rPr>
              <w:t>Continuous genomic-context scores</w:t>
            </w:r>
          </w:p>
        </w:tc>
        <w:tc>
          <w:tcPr>
            <w:tcW w:type="dxa" w:w="737"/>
            <w:vAlign w:val="center"/>
          </w:tcPr>
          <w:p>
            <w:pPr>
              <w:spacing w:line="240" w:lineRule="auto" w:after="0"/>
            </w:pPr>
            <w:r>
              <w:rPr>
                <w:sz w:val="15"/>
              </w:rPr>
              <w:t>166</w:t>
            </w:r>
          </w:p>
        </w:tc>
        <w:tc>
          <w:tcPr>
            <w:tcW w:type="dxa" w:w="1417"/>
            <w:vAlign w:val="center"/>
          </w:tcPr>
          <w:p>
            <w:pPr>
              <w:spacing w:line="240" w:lineRule="auto" w:after="0"/>
            </w:pPr>
            <w:r>
              <w:rPr>
                <w:sz w:val="15"/>
              </w:rPr>
              <w:t>35/166 (21.1%) [8]</w:t>
            </w:r>
          </w:p>
        </w:tc>
        <w:tc>
          <w:tcPr>
            <w:tcW w:type="dxa" w:w="1417"/>
            <w:vAlign w:val="center"/>
          </w:tcPr>
          <w:p>
            <w:pPr>
              <w:spacing w:line="240" w:lineRule="auto" w:after="0"/>
            </w:pPr>
            <w:r>
              <w:rPr>
                <w:sz w:val="15"/>
              </w:rPr>
              <w:t>11/166 (6.6%) [5]</w:t>
            </w:r>
          </w:p>
        </w:tc>
        <w:tc>
          <w:tcPr>
            <w:tcW w:type="dxa" w:w="3061"/>
            <w:vAlign w:val="center"/>
          </w:tcPr>
          <w:p>
            <w:pPr>
              <w:spacing w:line="240" w:lineRule="auto" w:after="0"/>
            </w:pPr>
            <w:r>
              <w:rPr>
                <w:sz w:val="15"/>
              </w:rPr>
              <w:t>aneuploidy, fraction altered, homologous-recombination defects, segment count and stromal fraction</w:t>
            </w:r>
          </w:p>
        </w:tc>
      </w:tr>
      <w:tr>
        <w:trPr>
          <w:cantSplit/>
        </w:trPr>
        <w:tc>
          <w:tcPr>
            <w:tcW w:type="dxa" w:w="1644"/>
            <w:vAlign w:val="center"/>
          </w:tcPr>
          <w:p>
            <w:pPr>
              <w:spacing w:line="240" w:lineRule="auto" w:after="0"/>
            </w:pPr>
            <w:r>
              <w:rPr>
                <w:sz w:val="15"/>
              </w:rPr>
              <w:t>Same-H&amp;E TIL fraction</w:t>
            </w:r>
          </w:p>
        </w:tc>
        <w:tc>
          <w:tcPr>
            <w:tcW w:type="dxa" w:w="737"/>
            <w:vAlign w:val="center"/>
          </w:tcPr>
          <w:p>
            <w:pPr>
              <w:spacing w:line="240" w:lineRule="auto" w:after="0"/>
            </w:pPr>
            <w:r>
              <w:rPr>
                <w:sz w:val="15"/>
              </w:rPr>
              <w:t>11</w:t>
            </w:r>
          </w:p>
        </w:tc>
        <w:tc>
          <w:tcPr>
            <w:tcW w:type="dxa" w:w="1417"/>
            <w:vAlign w:val="center"/>
          </w:tcPr>
          <w:p>
            <w:pPr>
              <w:spacing w:line="240" w:lineRule="auto" w:after="0"/>
            </w:pPr>
            <w:r>
              <w:rPr>
                <w:sz w:val="15"/>
              </w:rPr>
              <w:t>11/11 (100.0%) [2]</w:t>
            </w:r>
          </w:p>
        </w:tc>
        <w:tc>
          <w:tcPr>
            <w:tcW w:type="dxa" w:w="1417"/>
            <w:vAlign w:val="center"/>
          </w:tcPr>
          <w:p>
            <w:pPr>
              <w:spacing w:line="240" w:lineRule="auto" w:after="0"/>
            </w:pPr>
            <w:r>
              <w:rPr>
                <w:sz w:val="15"/>
              </w:rPr>
              <w:t>10/11 (90.9%) [2]</w:t>
            </w:r>
          </w:p>
        </w:tc>
        <w:tc>
          <w:tcPr>
            <w:tcW w:type="dxa" w:w="3061"/>
            <w:vAlign w:val="center"/>
          </w:tcPr>
          <w:p>
            <w:pPr>
              <w:spacing w:line="240" w:lineRule="auto" w:after="0"/>
            </w:pPr>
            <w:r>
              <w:rPr>
                <w:sz w:val="15"/>
              </w:rPr>
              <w:t>TIL Regional Fraction</w:t>
            </w:r>
          </w:p>
        </w:tc>
      </w:tr>
    </w:tbl>
    <w:p/>
    <w:p>
      <w:r>
        <w:t>Supplementary Table S9 documents endpoint provenance, derivation and assay-equivalence limitations. Table 2 summarizes pathology-quality, pooling and molecular-slide linkage constraints.</w:t>
      </w:r>
    </w:p>
    <w:p>
      <w:pPr>
        <w:keepNext/>
      </w:pPr>
      <w:r>
        <w:t>Table 2. Pathology-quality, pooling and molecular-slide linkage constraints. Linkage refers to the released identifier resolution. A shared 15-character TCGA sample barcode does not establish identity of the tissue portion, analyte, aliquot, block, tumour region or subclone.</w:t>
      </w:r>
    </w:p>
    <w:tbl>
      <w:tblPr>
        <w:tblStyle w:val="TableGrid"/>
        <w:tblW w:type="dxa" w:w="8505"/>
        <w:jc w:val="left"/>
        <w:tblLayout w:type="fixed"/>
        <w:tblLook w:firstColumn="1" w:firstRow="1" w:lastColumn="0" w:lastRow="0" w:noHBand="0" w:noVBand="1" w:val="04A0"/>
        <w:tblLayout w:type="fixed"/>
        <w:tblInd w:type="dxa" w:w="0"/>
      </w:tblPr>
      <w:tblGrid>
        <w:gridCol w:w="1701"/>
        <w:gridCol w:w="2098"/>
        <w:gridCol w:w="2098"/>
        <w:gridCol w:w="2608"/>
      </w:tblGrid>
      <w:tr>
        <w:trPr>
          <w:tblHeader w:val="true"/>
          <w:cantSplit/>
        </w:trPr>
        <w:tc>
          <w:tcPr>
            <w:tcW w:type="dxa" w:w="1701"/>
            <w:shd w:fill="D9EAF7"/>
          </w:tcPr>
          <w:p>
            <w:pPr>
              <w:spacing w:line="240" w:lineRule="auto" w:after="0"/>
            </w:pPr>
            <w:r>
              <w:rPr>
                <w:b/>
                <w:sz w:val="13"/>
              </w:rPr>
              <w:t>Area or endpoint source</w:t>
            </w:r>
          </w:p>
        </w:tc>
        <w:tc>
          <w:tcPr>
            <w:tcW w:type="dxa" w:w="2098"/>
            <w:shd w:fill="D9EAF7"/>
          </w:tcPr>
          <w:p>
            <w:pPr>
              <w:spacing w:line="240" w:lineRule="auto" w:after="0"/>
            </w:pPr>
            <w:r>
              <w:rPr>
                <w:b/>
                <w:sz w:val="13"/>
              </w:rPr>
              <w:t>Available linkage or rule</w:t>
            </w:r>
          </w:p>
        </w:tc>
        <w:tc>
          <w:tcPr>
            <w:tcW w:type="dxa" w:w="2098"/>
            <w:shd w:fill="D9EAF7"/>
          </w:tcPr>
          <w:p>
            <w:pPr>
              <w:spacing w:line="240" w:lineRule="auto" w:after="0"/>
            </w:pPr>
            <w:r>
              <w:rPr>
                <w:b/>
                <w:sz w:val="13"/>
              </w:rPr>
              <w:t>Observed extent</w:t>
            </w:r>
          </w:p>
        </w:tc>
        <w:tc>
          <w:tcPr>
            <w:tcW w:type="dxa" w:w="2608"/>
            <w:shd w:fill="D9EAF7"/>
          </w:tcPr>
          <w:p>
            <w:pPr>
              <w:spacing w:line="240" w:lineRule="auto" w:after="0"/>
            </w:pPr>
            <w:r>
              <w:rPr>
                <w:b/>
                <w:sz w:val="13"/>
              </w:rPr>
              <w:t>Remaining limitation</w:t>
            </w:r>
          </w:p>
        </w:tc>
      </w:tr>
      <w:tr>
        <w:trPr>
          <w:cantSplit/>
        </w:trPr>
        <w:tc>
          <w:tcPr>
            <w:tcW w:type="dxa" w:w="1701"/>
            <w:vAlign w:val="center"/>
          </w:tcPr>
          <w:p>
            <w:pPr>
              <w:spacing w:line="240" w:lineRule="auto" w:after="0"/>
            </w:pPr>
            <w:r>
              <w:rPr>
                <w:sz w:val="12"/>
              </w:rPr>
              <w:t>Structured pathology quality</w:t>
            </w:r>
          </w:p>
        </w:tc>
        <w:tc>
          <w:tcPr>
            <w:tcW w:type="dxa" w:w="2098"/>
            <w:vAlign w:val="center"/>
          </w:tcPr>
          <w:p>
            <w:pPr>
              <w:spacing w:line="240" w:lineRule="auto" w:after="0"/>
            </w:pPr>
            <w:r>
              <w:rPr>
                <w:sz w:val="12"/>
              </w:rPr>
              <w:t>Primary-tumour sample type and diagnostic-slide filename</w:t>
            </w:r>
          </w:p>
        </w:tc>
        <w:tc>
          <w:tcPr>
            <w:tcW w:type="dxa" w:w="2098"/>
            <w:vAlign w:val="center"/>
          </w:tcPr>
          <w:p>
            <w:pPr>
              <w:spacing w:line="240" w:lineRule="auto" w:after="0"/>
            </w:pPr>
            <w:r>
              <w:rPr>
                <w:sz w:val="12"/>
              </w:rPr>
              <w:t>No structured tumour cellularity, tissue area, artefact, biopsy/resection or slide-quality field</w:t>
            </w:r>
          </w:p>
        </w:tc>
        <w:tc>
          <w:tcPr>
            <w:tcW w:type="dxa" w:w="2608"/>
            <w:vAlign w:val="center"/>
          </w:tcPr>
          <w:p>
            <w:pPr>
              <w:spacing w:line="240" w:lineRule="auto" w:after="0"/>
            </w:pPr>
            <w:r>
              <w:rPr>
                <w:sz w:val="12"/>
              </w:rPr>
              <w:t>Slide eligibility and weighting were not pathology adjudicated</w:t>
            </w:r>
          </w:p>
        </w:tc>
      </w:tr>
      <w:tr>
        <w:trPr>
          <w:cantSplit/>
        </w:trPr>
        <w:tc>
          <w:tcPr>
            <w:tcW w:type="dxa" w:w="1701"/>
            <w:vAlign w:val="center"/>
          </w:tcPr>
          <w:p>
            <w:pPr>
              <w:spacing w:line="240" w:lineRule="auto" w:after="0"/>
            </w:pPr>
            <w:r>
              <w:rPr>
                <w:sz w:val="12"/>
              </w:rPr>
              <w:t>Multiple diagnostic slides</w:t>
            </w:r>
          </w:p>
        </w:tc>
        <w:tc>
          <w:tcPr>
            <w:tcW w:type="dxa" w:w="2098"/>
            <w:vAlign w:val="center"/>
          </w:tcPr>
          <w:p>
            <w:pPr>
              <w:spacing w:line="240" w:lineRule="auto" w:after="0"/>
            </w:pPr>
            <w:r>
              <w:rPr>
                <w:sz w:val="12"/>
              </w:rPr>
              <w:t>Arithmetic patient mean; slide weight 1/n within patient</w:t>
            </w:r>
          </w:p>
        </w:tc>
        <w:tc>
          <w:tcPr>
            <w:tcW w:type="dxa" w:w="2098"/>
            <w:vAlign w:val="center"/>
          </w:tcPr>
          <w:p>
            <w:pPr>
              <w:spacing w:line="240" w:lineRule="auto" w:after="0"/>
            </w:pPr>
            <w:r>
              <w:rPr>
                <w:sz w:val="12"/>
              </w:rPr>
              <w:t>843/9,404 TITAN patients had more than one slide; maximum 30</w:t>
            </w:r>
          </w:p>
        </w:tc>
        <w:tc>
          <w:tcPr>
            <w:tcW w:type="dxa" w:w="2608"/>
            <w:vAlign w:val="center"/>
          </w:tcPr>
          <w:p>
            <w:pPr>
              <w:spacing w:line="240" w:lineRule="auto" w:after="0"/>
            </w:pPr>
            <w:r>
              <w:rPr>
                <w:sz w:val="12"/>
              </w:rPr>
              <w:t>Prevents participant over-weighting and leakage but cannot ensure tumour representativeness</w:t>
            </w:r>
          </w:p>
        </w:tc>
      </w:tr>
      <w:tr>
        <w:trPr>
          <w:cantSplit/>
        </w:trPr>
        <w:tc>
          <w:tcPr>
            <w:tcW w:type="dxa" w:w="1701"/>
            <w:vAlign w:val="center"/>
          </w:tcPr>
          <w:p>
            <w:pPr>
              <w:spacing w:line="240" w:lineRule="auto" w:after="0"/>
            </w:pPr>
            <w:r>
              <w:rPr>
                <w:sz w:val="12"/>
              </w:rPr>
              <w:t>Thorsson PanImmune</w:t>
            </w:r>
          </w:p>
        </w:tc>
        <w:tc>
          <w:tcPr>
            <w:tcW w:type="dxa" w:w="2098"/>
            <w:vAlign w:val="center"/>
          </w:tcPr>
          <w:p>
            <w:pPr>
              <w:spacing w:line="240" w:lineRule="auto" w:after="0"/>
            </w:pPr>
            <w:r>
              <w:rPr>
                <w:sz w:val="12"/>
              </w:rPr>
              <w:t>Participant identifier only</w:t>
            </w:r>
          </w:p>
        </w:tc>
        <w:tc>
          <w:tcPr>
            <w:tcW w:type="dxa" w:w="2098"/>
            <w:vAlign w:val="center"/>
          </w:tcPr>
          <w:p>
            <w:pPr>
              <w:spacing w:line="240" w:lineRule="auto" w:after="0"/>
            </w:pPr>
            <w:r>
              <w:rPr>
                <w:sz w:val="12"/>
              </w:rPr>
              <w:t>9,235 participant-linked patients</w:t>
            </w:r>
          </w:p>
        </w:tc>
        <w:tc>
          <w:tcPr>
            <w:tcW w:type="dxa" w:w="2608"/>
            <w:vAlign w:val="center"/>
          </w:tcPr>
          <w:p>
            <w:pPr>
              <w:spacing w:line="240" w:lineRule="auto" w:after="0"/>
            </w:pPr>
            <w:r>
              <w:rPr>
                <w:sz w:val="12"/>
              </w:rPr>
              <w:t>The WSI and reference phenotype may derive from different tumour specimens</w:t>
            </w:r>
          </w:p>
        </w:tc>
      </w:tr>
      <w:tr>
        <w:trPr>
          <w:cantSplit/>
        </w:trPr>
        <w:tc>
          <w:tcPr>
            <w:tcW w:type="dxa" w:w="1701"/>
            <w:vAlign w:val="center"/>
          </w:tcPr>
          <w:p>
            <w:pPr>
              <w:spacing w:line="240" w:lineRule="auto" w:after="0"/>
            </w:pPr>
            <w:r>
              <w:rPr>
                <w:sz w:val="12"/>
              </w:rPr>
              <w:t>Taylor aneuploidy</w:t>
            </w:r>
          </w:p>
        </w:tc>
        <w:tc>
          <w:tcPr>
            <w:tcW w:type="dxa" w:w="2098"/>
            <w:vAlign w:val="center"/>
          </w:tcPr>
          <w:p>
            <w:pPr>
              <w:spacing w:line="240" w:lineRule="auto" w:after="0"/>
            </w:pPr>
            <w:r>
              <w:rPr>
                <w:sz w:val="12"/>
              </w:rPr>
              <w:t>15-character sample barcode</w:t>
            </w:r>
          </w:p>
        </w:tc>
        <w:tc>
          <w:tcPr>
            <w:tcW w:type="dxa" w:w="2098"/>
            <w:vAlign w:val="center"/>
          </w:tcPr>
          <w:p>
            <w:pPr>
              <w:spacing w:line="240" w:lineRule="auto" w:after="0"/>
            </w:pPr>
            <w:r>
              <w:rPr>
                <w:sz w:val="12"/>
              </w:rPr>
              <w:t>8,667/8,667 exact sample matches</w:t>
            </w:r>
          </w:p>
        </w:tc>
        <w:tc>
          <w:tcPr>
            <w:tcW w:type="dxa" w:w="2608"/>
            <w:vAlign w:val="center"/>
          </w:tcPr>
          <w:p>
            <w:pPr>
              <w:spacing w:line="240" w:lineRule="auto" w:after="0"/>
            </w:pPr>
            <w:r>
              <w:rPr>
                <w:sz w:val="12"/>
              </w:rPr>
              <w:t>Portion, analyte, aliquot, block and tumour region remain unresolved</w:t>
            </w:r>
          </w:p>
        </w:tc>
      </w:tr>
      <w:tr>
        <w:trPr>
          <w:cantSplit/>
        </w:trPr>
        <w:tc>
          <w:tcPr>
            <w:tcW w:type="dxa" w:w="1701"/>
            <w:vAlign w:val="center"/>
          </w:tcPr>
          <w:p>
            <w:pPr>
              <w:spacing w:line="240" w:lineRule="auto" w:after="0"/>
            </w:pPr>
            <w:r>
              <w:rPr>
                <w:sz w:val="12"/>
              </w:rPr>
              <w:t>Sanchez-Vega pathways</w:t>
            </w:r>
          </w:p>
        </w:tc>
        <w:tc>
          <w:tcPr>
            <w:tcW w:type="dxa" w:w="2098"/>
            <w:vAlign w:val="center"/>
          </w:tcPr>
          <w:p>
            <w:pPr>
              <w:spacing w:line="240" w:lineRule="auto" w:after="0"/>
            </w:pPr>
            <w:r>
              <w:rPr>
                <w:sz w:val="12"/>
              </w:rPr>
              <w:t>15-character sample barcode</w:t>
            </w:r>
          </w:p>
        </w:tc>
        <w:tc>
          <w:tcPr>
            <w:tcW w:type="dxa" w:w="2098"/>
            <w:vAlign w:val="center"/>
          </w:tcPr>
          <w:p>
            <w:pPr>
              <w:spacing w:line="240" w:lineRule="auto" w:after="0"/>
            </w:pPr>
            <w:r>
              <w:rPr>
                <w:sz w:val="12"/>
              </w:rPr>
              <w:t>7,789/7,789 exact sample matches</w:t>
            </w:r>
          </w:p>
        </w:tc>
        <w:tc>
          <w:tcPr>
            <w:tcW w:type="dxa" w:w="2608"/>
            <w:vAlign w:val="center"/>
          </w:tcPr>
          <w:p>
            <w:pPr>
              <w:spacing w:line="240" w:lineRule="auto" w:after="0"/>
            </w:pPr>
            <w:r>
              <w:rPr>
                <w:sz w:val="12"/>
              </w:rPr>
              <w:t>Portion, analyte, aliquot, block and tumour region remain unresolved</w:t>
            </w:r>
          </w:p>
        </w:tc>
      </w:tr>
      <w:tr>
        <w:trPr>
          <w:cantSplit/>
        </w:trPr>
        <w:tc>
          <w:tcPr>
            <w:tcW w:type="dxa" w:w="1701"/>
            <w:vAlign w:val="center"/>
          </w:tcPr>
          <w:p>
            <w:pPr>
              <w:spacing w:line="240" w:lineRule="auto" w:after="0"/>
            </w:pPr>
            <w:r>
              <w:rPr>
                <w:sz w:val="12"/>
              </w:rPr>
              <w:t>Gao fusion calls</w:t>
            </w:r>
          </w:p>
        </w:tc>
        <w:tc>
          <w:tcPr>
            <w:tcW w:type="dxa" w:w="2098"/>
            <w:vAlign w:val="center"/>
          </w:tcPr>
          <w:p>
            <w:pPr>
              <w:spacing w:line="240" w:lineRule="auto" w:after="0"/>
            </w:pPr>
            <w:r>
              <w:rPr>
                <w:sz w:val="12"/>
              </w:rPr>
              <w:t>15-character sample barcode</w:t>
            </w:r>
          </w:p>
        </w:tc>
        <w:tc>
          <w:tcPr>
            <w:tcW w:type="dxa" w:w="2098"/>
            <w:vAlign w:val="center"/>
          </w:tcPr>
          <w:p>
            <w:pPr>
              <w:spacing w:line="240" w:lineRule="auto" w:after="0"/>
            </w:pPr>
            <w:r>
              <w:rPr>
                <w:sz w:val="12"/>
              </w:rPr>
              <w:t>8,068/8,068 exact sample matches</w:t>
            </w:r>
          </w:p>
        </w:tc>
        <w:tc>
          <w:tcPr>
            <w:tcW w:type="dxa" w:w="2608"/>
            <w:vAlign w:val="center"/>
          </w:tcPr>
          <w:p>
            <w:pPr>
              <w:spacing w:line="240" w:lineRule="auto" w:after="0"/>
            </w:pPr>
            <w:r>
              <w:rPr>
                <w:sz w:val="12"/>
              </w:rPr>
              <w:t>RNA aliquot, block identity and within-tumour fusion heterogeneity remain unresolved</w:t>
            </w:r>
          </w:p>
        </w:tc>
      </w:tr>
      <w:tr>
        <w:trPr>
          <w:cantSplit/>
        </w:trPr>
        <w:tc>
          <w:tcPr>
            <w:tcW w:type="dxa" w:w="1701"/>
            <w:vAlign w:val="center"/>
          </w:tcPr>
          <w:p>
            <w:pPr>
              <w:spacing w:line="240" w:lineRule="auto" w:after="0"/>
            </w:pPr>
            <w:r>
              <w:rPr>
                <w:sz w:val="12"/>
              </w:rPr>
              <w:t>cBioPortal MSI</w:t>
            </w:r>
          </w:p>
        </w:tc>
        <w:tc>
          <w:tcPr>
            <w:tcW w:type="dxa" w:w="2098"/>
            <w:vAlign w:val="center"/>
          </w:tcPr>
          <w:p>
            <w:pPr>
              <w:spacing w:line="240" w:lineRule="auto" w:after="0"/>
            </w:pPr>
            <w:r>
              <w:rPr>
                <w:sz w:val="12"/>
              </w:rPr>
              <w:t>15-character sample barcode</w:t>
            </w:r>
          </w:p>
        </w:tc>
        <w:tc>
          <w:tcPr>
            <w:tcW w:type="dxa" w:w="2098"/>
            <w:vAlign w:val="center"/>
          </w:tcPr>
          <w:p>
            <w:pPr>
              <w:spacing w:line="240" w:lineRule="auto" w:after="0"/>
            </w:pPr>
            <w:r>
              <w:rPr>
                <w:sz w:val="12"/>
              </w:rPr>
              <w:t>8,964/8,964 exact sample matches</w:t>
            </w:r>
          </w:p>
        </w:tc>
        <w:tc>
          <w:tcPr>
            <w:tcW w:type="dxa" w:w="2608"/>
            <w:vAlign w:val="center"/>
          </w:tcPr>
          <w:p>
            <w:pPr>
              <w:spacing w:line="240" w:lineRule="auto" w:after="0"/>
            </w:pPr>
            <w:r>
              <w:rPr>
                <w:sz w:val="12"/>
              </w:rPr>
              <w:t>Molecular aliquot, slide block and tumour region remain unresolved</w:t>
            </w:r>
          </w:p>
        </w:tc>
      </w:tr>
      <w:tr>
        <w:trPr>
          <w:cantSplit/>
        </w:trPr>
        <w:tc>
          <w:tcPr>
            <w:tcW w:type="dxa" w:w="1701"/>
            <w:vAlign w:val="center"/>
          </w:tcPr>
          <w:p>
            <w:pPr>
              <w:spacing w:line="240" w:lineRule="auto" w:after="0"/>
            </w:pPr>
            <w:r>
              <w:rPr>
                <w:sz w:val="12"/>
              </w:rPr>
              <w:t>MC3 mutation calls</w:t>
            </w:r>
          </w:p>
        </w:tc>
        <w:tc>
          <w:tcPr>
            <w:tcW w:type="dxa" w:w="2098"/>
            <w:vAlign w:val="center"/>
          </w:tcPr>
          <w:p>
            <w:pPr>
              <w:spacing w:line="240" w:lineRule="auto" w:after="0"/>
            </w:pPr>
            <w:r>
              <w:rPr>
                <w:sz w:val="12"/>
              </w:rPr>
              <w:t>15-character sample barcode</w:t>
            </w:r>
          </w:p>
        </w:tc>
        <w:tc>
          <w:tcPr>
            <w:tcW w:type="dxa" w:w="2098"/>
            <w:vAlign w:val="center"/>
          </w:tcPr>
          <w:p>
            <w:pPr>
              <w:spacing w:line="240" w:lineRule="auto" w:after="0"/>
            </w:pPr>
            <w:r>
              <w:rPr>
                <w:sz w:val="12"/>
              </w:rPr>
              <w:t>8,482/8,482 exact sample matches</w:t>
            </w:r>
          </w:p>
        </w:tc>
        <w:tc>
          <w:tcPr>
            <w:tcW w:type="dxa" w:w="2608"/>
            <w:vAlign w:val="center"/>
          </w:tcPr>
          <w:p>
            <w:pPr>
              <w:spacing w:line="240" w:lineRule="auto" w:after="0"/>
            </w:pPr>
            <w:r>
              <w:rPr>
                <w:sz w:val="12"/>
              </w:rPr>
              <w:t>Portion, analyte, aliquot, block, region and subclone remain unresolved</w:t>
            </w:r>
          </w:p>
        </w:tc>
      </w:tr>
    </w:tbl>
    <w:p/>
    <w:p>
      <w:r>
        <w:t>Across all 960 cross-modal cancer-endpoint pairs reaching the threshold in at least one representation, TITAN produced the highest observed Q² or AUROC for 734 (76.5%), Prov-GigaPath for 139 (14.5%) and Giga-SSL for 87 (9.1%). TITAN led most transcriptomic signatures, direct genomic alterations and both genomic-context classes. Prov-GigaPath contributed its largest relative share among sequencing-derived burdens, where it led 8/39 pairs. Giga-SSL led 22/108 composite binary pairs, including selected RTK-RAS, cell-cycle and genome-doubling tasks. Figure 3 reports every feature-class distribution. These counts identify the highest observed internal estimate under the common PLS-based probe and do not test intrinsic foundation-model superiority.</w:t>
      </w:r>
    </w:p>
    <w:p>
      <w:pPr>
        <w:jc w:val="center"/>
      </w:pPr>
      <w:r>
        <w:drawing>
          <wp:inline xmlns:a="http://schemas.openxmlformats.org/drawingml/2006/main" xmlns:pic="http://schemas.openxmlformats.org/drawingml/2006/picture">
            <wp:extent cx="5806440" cy="2903220"/>
            <wp:docPr id="3" name="Picture 3"/>
            <wp:cNvGraphicFramePr>
              <a:graphicFrameLocks noChangeAspect="1"/>
            </wp:cNvGraphicFramePr>
            <a:graphic>
              <a:graphicData uri="http://schemas.openxmlformats.org/drawingml/2006/picture">
                <pic:pic>
                  <pic:nvPicPr>
                    <pic:cNvPr id="0" name="Figure3_foundation_model_leadership.png"/>
                    <pic:cNvPicPr/>
                  </pic:nvPicPr>
                  <pic:blipFill>
                    <a:blip r:embed="rId24"/>
                    <a:stretch>
                      <a:fillRect/>
                    </a:stretch>
                  </pic:blipFill>
                  <pic:spPr>
                    <a:xfrm>
                      <a:off x="0" y="0"/>
                      <a:ext cx="5806440" cy="2903220"/>
                    </a:xfrm>
                    <a:prstGeom prst="rect"/>
                  </pic:spPr>
                </pic:pic>
              </a:graphicData>
            </a:graphic>
          </wp:inline>
        </w:drawing>
      </w:r>
    </w:p>
    <w:p>
      <w:pPr>
        <w:pStyle w:val="Caption"/>
        <w:jc w:val="center"/>
      </w:pPr>
      <w:r>
        <w:t>Figure 3. Foundation-model leadership by tumour-feature class. The analysis includes 960 cross-modal cancer-endpoint pairs that reached Q² at least 0.20 or AUROC at least 0.60 in at least one representation. Within each pair, the leading representation had the highest patient-level out-of-fold Q² for a continuous endpoint or AUROC for a binary endpoint under the common PLS-based probe. Labels inside segments at least 7% wide give pair counts; narrow segments remain visible without a number. Small paired differences may represent near-ties, and the descriptive rank does not establish intrinsic model superiority or external transportability.</w:t>
      </w:r>
    </w:p>
    <w:p>
      <w:pPr>
        <w:pStyle w:val="Heading2"/>
      </w:pPr>
      <w:r>
        <w:t>Partition and probe sensitivity</w:t>
      </w:r>
    </w:p>
    <w:p>
      <w:r>
        <w:t>Across five alternative matched partitions, an effect-threshold crossing recurred in all five for 517/978, 265/978 and 330/978 continuous pairs for TITAN, Giga-SSL and Prov-GigaPath, respectively; the corresponding binary counts were 169/356, 96/356 and 120/356. Median between-partition standard deviations were 0.022/0.024/0.026 Q² and 0.026/0.027/0.027 AUROC. The threshold-derived support class agreed with the primary class in at least four of five alternative partitions for 591/978 continuous and 172/356 binary pairs, and in all five for 448/978 and 119/356. The primary leading representation persisted in all five for 600/978 continuous and 132/356 binary pairs. We therefore report support classes only as navigation tags and prioritise continuous effects, paired differences and rank stability.</w:t>
      </w:r>
    </w:p>
    <w:p>
      <w:r>
        <w:t>We applied TCGA tissue-source-site code grouping to all 971 pairs crossing in at least one representation. Of 2,913 representation-task fits, 2,913 returned estimates. All returned pooled out-of-fold estimates, although sparse and single-class folds remain flagged in the fold-adequacy audit. Among pairs crossing in all three representations, every crossing retained its threshold for 148/304 continuous and 62/122 binary pairs. Median grouped-minus-matched-random effects were -0.027/-0.005 Q²/AUROC for TITAN, -0.043/-0.015 for Giga-SSL and -0.059/-0.011 for Prov-GigaPath. Grouping tests sensitivity to internal cohort structure; it does not provide institutional, scanner-level or external validation.</w:t>
      </w:r>
    </w:p>
    <w:p>
      <w:r>
        <w:t>Grouped-fold adequacy was heterogeneous. Tasks contained 4-35 contributing codes; outer test sets ranged from 1 to 317 patients, and 15 tasks used four rather than five folds. Among 268 binary tasks, 27 had a single-class outer test fold, 114 had a single-class inner validation fold and 2 had a single-class inner training fold. Minimum outer training counts were 1 positive and 5 negative patients; minimum inner training counts were 0 and 1. The sparse-fold warning applied to 153/268 binary and 184/703 continuous tasks. Metrics pooled all outer held-out predictions; we did not calculate or interpret a stand-alone AUROC for a single-class fold.</w:t>
      </w:r>
    </w:p>
    <w:p>
      <w:r>
        <w:t>The separate, larger TITAN permutation/FDR screen showed the same concern under its documented balanced-accuracy rule: 210/869 candidates (24.2%) fell below their original threshold. READ-APC declined from balanced accuracy 0.862 to 0.475, and COAD-APC from 0.777 to 0.519. In the separate matched-partition refits, grouped versus matched-random balanced accuracy was 0.452 versus 0.802 for READ-APC and 0.538 versus 0.751 for COAD-APC. TCGA tissue-source-site code alone achieved AUROC 0.900 and 0.755, respectively. These results support sensitivity to a barcode-derived cohort-structure variable, not proof of technical confounding or transportability.</w:t>
      </w:r>
    </w:p>
    <w:p>
      <w:r>
        <w:t>Representation ordering depended on the downstream analysis. In the symmetric metadata-stratified sensitivity, ridge retained the PLS-leading representation for 25/34 binary and 9/14 continuous targets. The primary atlas therefore compares the released representations under the specified 1-to-20-component PLS-based probe. Selected-component distributions, ceiling selection and feature-variance checks are reported for every representation. The supporting TITAN permutation/FDR screen is reported separately and is not used to rank the three representations.</w:t>
      </w:r>
    </w:p>
    <w:p>
      <w:r>
        <w:t>Figure 4 shows patient-level predictions for the published TGCT TGF-beta Response expression signature, a strong shared continuous example. We plotted every held-out patient once for each representation, using the same observed reference values and the model-specific outer-fold prediction. This published signature is distinct from the separately modelled MSigDB Hallmark TGF-beta signaling score.</w:t>
      </w:r>
    </w:p>
    <w:p>
      <w:pPr>
        <w:jc w:val="center"/>
      </w:pPr>
      <w:r>
        <w:drawing>
          <wp:inline xmlns:a="http://schemas.openxmlformats.org/drawingml/2006/main" xmlns:pic="http://schemas.openxmlformats.org/drawingml/2006/picture">
            <wp:extent cx="5806440" cy="2375362"/>
            <wp:docPr id="4" name="Picture 4"/>
            <wp:cNvGraphicFramePr>
              <a:graphicFrameLocks noChangeAspect="1"/>
            </wp:cNvGraphicFramePr>
            <a:graphic>
              <a:graphicData uri="http://schemas.openxmlformats.org/drawingml/2006/picture">
                <pic:pic>
                  <pic:nvPicPr>
                    <pic:cNvPr id="0" name="Figure4_observed_vs_predicted_TGCT_TGFbeta.png"/>
                    <pic:cNvPicPr/>
                  </pic:nvPicPr>
                  <pic:blipFill>
                    <a:blip r:embed="rId19"/>
                    <a:stretch>
                      <a:fillRect/>
                    </a:stretch>
                  </pic:blipFill>
                  <pic:spPr>
                    <a:xfrm>
                      <a:off x="0" y="0"/>
                      <a:ext cx="5806440" cy="2375362"/>
                    </a:xfrm>
                    <a:prstGeom prst="rect"/>
                  </pic:spPr>
                </pic:pic>
              </a:graphicData>
            </a:graphic>
          </wp:inline>
        </w:drawing>
      </w:r>
    </w:p>
    <w:p>
      <w:pPr>
        <w:pStyle w:val="Caption"/>
        <w:jc w:val="center"/>
      </w:pPr>
      <w:r>
        <w:t>Figure 4. Observed published TGCT TGF-beta Response values and patient-level out-of-fold predictions from TITAN, Giga-SSL and Prov-GigaPath. Each panel contains the same matched patients. The dashed line marks perfect agreement and the coloured line shows the fitted linear trend. Q² was 0.662, 0.647, 0.601; these are the primary matched-screen estimates, ordered as TITAN, Giga-SSL and Prov-GigaPath. TGF-beta Response is a published RNA-expression signature from Thorsson et al., so the figure demonstrates internal agreement with a computational reference phenotype rather than recovery of a direct laboratory measurement or external validation.</w:t>
      </w:r>
    </w:p>
    <w:p>
      <w:pPr>
        <w:pStyle w:val="Heading2"/>
      </w:pPr>
      <w:r>
        <w:t>PathoFMPred outputs for two illustrative COAD patients</w:t>
      </w:r>
    </w:p>
    <w:p>
      <w:pPr>
        <w:jc w:val="center"/>
      </w:pPr>
      <w:r>
        <w:drawing>
          <wp:inline xmlns:a="http://schemas.openxmlformats.org/drawingml/2006/main" xmlns:pic="http://schemas.openxmlformats.org/drawingml/2006/picture">
            <wp:extent cx="5806440" cy="6989233"/>
            <wp:docPr id="5" name="Picture 5"/>
            <wp:cNvGraphicFramePr>
              <a:graphicFrameLocks noChangeAspect="1"/>
            </wp:cNvGraphicFramePr>
            <a:graphic>
              <a:graphicData uri="http://schemas.openxmlformats.org/drawingml/2006/picture">
                <pic:pic>
                  <pic:nvPicPr>
                    <pic:cNvPr id="0" name="Figure3_COAD_PathoFMPred_multifoundation_examples.png"/>
                    <pic:cNvPicPr/>
                  </pic:nvPicPr>
                  <pic:blipFill>
                    <a:blip r:embed="rId21"/>
                    <a:stretch>
                      <a:fillRect/>
                    </a:stretch>
                  </pic:blipFill>
                  <pic:spPr>
                    <a:xfrm>
                      <a:off x="0" y="0"/>
                      <a:ext cx="5806440" cy="6989233"/>
                    </a:xfrm>
                    <a:prstGeom prst="rect"/>
                  </pic:spPr>
                </pic:pic>
              </a:graphicData>
            </a:graphic>
          </wp:inline>
        </w:drawing>
      </w:r>
    </w:p>
    <w:p>
      <w:pPr>
        <w:pStyle w:val="Caption"/>
        <w:jc w:val="center"/>
      </w:pPr>
      <w:r>
        <w:t>Figure 5. Post hoc PathoFMPred research-software illustration for TCGA-AA-A01F and TCGA-A6-A56B using TITAN, Giga-SSL and Prov-GigaPath inputs. Each panel includes only continuous endpoints meeting the recorded predictability rule for that cancer and representation: 15 for TITAN, 12 for Giga-SSL and 14 for Prov-GigaPath. Corner labels give original predictions in source units. Radius gives the internal TCGA out-of-fold reference percentile, not a probability or clinical reference interval. The examples do not evaluate calibration, treatment response, external validation or clinical utility.</w:t>
      </w:r>
    </w:p>
    <w:p>
      <w:pPr>
        <w:jc w:val="center"/>
      </w:pPr>
      <w:r>
        <w:drawing>
          <wp:inline xmlns:a="http://schemas.openxmlformats.org/drawingml/2006/main" xmlns:pic="http://schemas.openxmlformats.org/drawingml/2006/picture">
            <wp:extent cx="5806440" cy="7452360"/>
            <wp:docPr id="6" name="Picture 6"/>
            <wp:cNvGraphicFramePr>
              <a:graphicFrameLocks noChangeAspect="1"/>
            </wp:cNvGraphicFramePr>
            <a:graphic>
              <a:graphicData uri="http://schemas.openxmlformats.org/drawingml/2006/picture">
                <pic:pic>
                  <pic:nvPicPr>
                    <pic:cNvPr id="0" name="Figure6_COAD_PathoFMPred_full_binary_output.png"/>
                    <pic:cNvPicPr/>
                  </pic:nvPicPr>
                  <pic:blipFill>
                    <a:blip r:embed="rId22"/>
                    <a:stretch>
                      <a:fillRect/>
                    </a:stretch>
                  </pic:blipFill>
                  <pic:spPr>
                    <a:xfrm>
                      <a:off x="0" y="0"/>
                      <a:ext cx="5806440" cy="7452360"/>
                    </a:xfrm>
                    <a:prstGeom prst="rect"/>
                  </pic:spPr>
                </pic:pic>
              </a:graphicData>
            </a:graphic>
          </wp:inline>
        </w:drawing>
      </w:r>
    </w:p>
    <w:p>
      <w:pPr>
        <w:pStyle w:val="Caption"/>
        <w:jc w:val="center"/>
      </w:pPr>
      <w:r>
        <w:t>Figure 6. Complete predictable binary PathoFMPred output for the same two COAD examples using TITAN, Giga-SSL and Prov-GigaPath. The figure includes every binary endpoint returned for at least one representation. TITAN returned 8 endpoints, Giga-SSL returned 7 and Prov-GigaPath returned 7. Grey cells indicate that a representation did not return an eligible threshold-crossing fitted object. Each populated cell reports the direct class call, original uncalibrated LDA score and internal TCGA reference-score rank. Reference rank, not probability: raw LDA scores and ranks cannot be interpreted as calibrated probabilities or compared across models.</w:t>
      </w:r>
    </w:p>
    <w:p>
      <w:r>
        <w:t>Figure 6 shows every returned binary endpoint rather than a selected mutation subset. For TCGA-AA-A01F, APC mutation calls were negative, negative and negative for TITAN, Giga-SSL and Prov-GigaPath, respectively; KRAS calls were negative, positive and negative. For TCGA-A6-A56B, APC calls were positive, positive and positive; KRAS calls were negative, positive and positive. Together, Figures 5 and 6 show every continuous and binary model that PathoFMPred returned for these patients; exact calls, uncalibrated scores and reference ranks remain in Additional files 2 and 3. These software examples do not establish correctness, calibration, treatment response, external validity or clinical utility.</w:t>
      </w:r>
    </w:p>
    <w:p>
      <w:pPr>
        <w:pStyle w:val="Heading1"/>
      </w:pPr>
      <w:r>
        <w:t>Discussion</w:t>
      </w:r>
    </w:p>
    <w:p>
      <w:r>
        <w:t>The central biological result is a cross-representation set of cancer-specific histomolecular associations under the common probe. Direct genomic alterations produced the broadest binary signal: at least one representation crossed in 160/243 tasks and all three crossed in 65. Strong shared examples included THYM GTF2I, THCA BRAF, LGG TP53 and IDH1, BLCA FGFR3, UCEC fusion status, strict MSI in COAD and STAD, and genome-doubling or oncogenic-pathway states in several cancers. These results show that the embeddings retained histological information related to tumour lineage, genomic instability and pathway state, although the present analysis cannot identify the specific regions or cell patterns that generated each signal.</w:t>
      </w:r>
    </w:p>
    <w:p>
      <w:r>
        <w:t>The comparison also provides a practical answer about representation choice. TITAN had the highest observed effect for 734/960 cross-modal pairs reaching the threshold in at least one pipeline and led most of the selected high-performing biological examples. Prov-GigaPath nevertheless led 139 pairs, including LGG IDH1, KIRP leukocyte fraction and TGCT stromal fraction, while Giga-SSL led 87, including BLCA FGFR3. Prov-GigaPath supplied its largest relative contribution among sequencing-derived burdens, whereas TITAN dominated the transcriptomic-signature group. These endpoint-specific results support selecting a representation for the intended tumour feature rather than choosing one pipeline for every task. Small paired differences, alternative folds and the downstream-probe sensitivity altered some ranks, so the atlas reports all three estimates and their stability instead of assigning one universal winner.</w:t>
      </w:r>
    </w:p>
    <w:p>
      <w:r>
        <w:t>The continuous results add a complementary biological layer. Histology predicted selected inflammatory and tissue-context programmes, including TGF-beta response in TGCT and THCA, Th17 in THYM, lymphocyte-infiltration and Th1 signatures in THCA, proliferation in LUAD and THYM, leukocyte fraction in BLCA and KIRP, TCR diversity in THYM, and stromal fraction in TGCT and BLCA. The concentration of signal in particular cancer and feature combinations is more informative than an overall immune count. These models estimate agreement with CIBERSORT fractions, methylation-derived leukocyte estimates, RNA signatures, repertoire metrics or composite purity and stromal quantities. They do not recover a directly measured immune-cell count. We report the same-H&amp;E TIL fraction separately as computational concordance.</w:t>
      </w:r>
    </w:p>
    <w:p>
      <w:r>
        <w:t>Cohort structure and analytical choices materially affected prioritisation. When we held tissue-source-site codes apart, only 148/304 continuous and 62/122 binary pairs with effect-threshold crossings in all three representations retained every threshold. The primary threshold-derived support class agreed in all five alternative partitions for only 448/978 continuous and 119/356 binary pairs. Matched-random controls separate fold size and class balance from the additional grouped change. Under the primary 1-to-20-component grid, at least one outer fit selected the component ceiling for 51/426 TITAN, 62/426 Giga-SSL and 55/426 Prov-GigaPath binary pairs. Continuous effects, paired variability, ranks and grouped-minus-matched-random changes carry more information than a hard threshold class.</w:t>
      </w:r>
    </w:p>
    <w:p>
      <w:r>
        <w:t>The targeted narrative literature audit strengthens the biological credibility of the atlas: 37/42 TITAN screen-positive cancer-gene pairs recovered associations that previous histology-prediction studies had already supported statistically. We did not identify THYM-GTF2I in the reviewed predictive-model literature, which makes it a particularly interesting candidate for independent testing. Relative to earlier pan-cancer resources, including Arslan et al., we add a matched three-representation comparison, patient-first slide aggregation, explicit tested-negative results, and target-level partition and cohort-structure audits. PathoFMPred records compact linear model parameters without redistributing the original patient-level training embeddings, subject to upstream access and redistribution terms.</w:t>
      </w:r>
    </w:p>
    <w:p>
      <w:r>
        <w:t>Previous studies establish that the individual tumour-feature classes are biologically plausible prediction targets. Fu et al. predicted whole-genome duplication, chromosomal aneuploidies, driver alterations and tumour-composition signals [5]. Loeffler et al. compared gene and oncogenic-pathway prediction [31]. Dadhania et al. predicted ERG rearrangement in prostate cancer, and Mayer et al. predicted ALK and ROS1 fusions in lung cancer [12-13]. HE2RNA, regression-based biomarker studies and HistoTME predicted transcriptomic or tumour-microenvironment reference phenotypes [8-9,15], while Arslan et al. screened thousands of multi-omic biomarkers across the same 32 TCGA cancers [7]. Our principal innovation is the unified patient-level comparison of these feature classes across three released representation pipelines, with the same linear probe, explicit negative results and reusable representation-specific model records. The UCEC and LGG fusion-burden results and several cancer-specific any-fusion associations are less commonly reported tasks, but they still require an independent systematic literature review and external validation before any claim of endpoint novelty or clinical use.</w:t>
      </w:r>
    </w:p>
    <w:p>
      <w:r>
        <w:t>Independent validation is the next priority. Tissue-source-site code is a barcode-derived cohort variable rather than a scanner or institution identifier, so grouped retention cannot establish transportability. Our equal-weight pooling could not use tumour-area or independent pathology-quality weights; some molecular labels link only at participant or sample-barcode level; small outcome groups remain unstable; and global embeddings do not localise morphology. PathoFMPred currently supports research application and controlled model comparison. Researchers must test locked models in an independent, pathology-reviewed cohort with compatible endpoints and report all failures before considering clinical use.</w:t>
      </w:r>
    </w:p>
    <w:p>
      <w:pPr>
        <w:pStyle w:val="Heading1"/>
      </w:pPr>
      <w:r>
        <w:t>Conclusions</w:t>
      </w:r>
    </w:p>
    <w:p>
      <w:r>
        <w:t>Under the common PLS-based probe, TITAN, Giga-SSL and Prov-GigaPath captured specific, cancer-dependent histological associations with mutations, fusions, MSI, genome doubling, oncogenic pathways and selected inflammatory or tissue-context phenotypes. At least one representation crossed the descriptive threshold for 971 cancer-endpoint pairs across 196 feature definitions, and all three crossed for 426 pairs. THYM GTF2I, THCA BRAF, LGG IDH1 and TP53, BLCA FGFR3, COAD strict MSI, TGCT TGF-beta response, THYM Th17 and TCR diversity, and BLCA or KIRP leukocyte fraction provide concrete priorities for independent validation. TITAN produced the highest observed effect for 734/960 cross-modal threshold-crossing pairs, but Giga-SSL and Prov-GigaPath led important feature-specific subsets. Representation, partition and cohort structure still changed some estimates, so the atlas supports endpoint-specific model selection and biological prioritisation rather than one universal model, assay replacement or clinical validity. PathoFMPred provides a secondary route for applying compatible models in locked external research studies.</w:t>
      </w:r>
    </w:p>
    <w:p>
      <w:pPr>
        <w:pStyle w:val="Heading1"/>
      </w:pPr>
      <w:r>
        <w:t>Abbreviations</w:t>
      </w:r>
    </w:p>
    <w:p>
      <w:r>
        <w:t>AUROC, area under the receiver operating characteristic curve; BA, balanced accuracy; CV, cross-validation; FDR, false discovery rate; H&amp;E, haematoxylin and eosin; LDA, linear discriminant analysis; MC3, Multi-Center Mutation Calling in Multiple Cancers; MSI, microsatellite instability; OOF, out-of-fold; q-value, false-discovery-rate-adjusted p-value; SC interval, selection-conditioned patient-resampling interval for repeated out-of-fold predictions; PLS, partial least squares; Q², cross-validated coefficient of determination; RMSE, root-mean-square error; TCGA, The Cancer Genome Atlas; TCGA tissue-source-site code, barcode-derived submitting-centre field used as an internal cohort-structure variable.</w:t>
      </w:r>
    </w:p>
    <w:p>
      <w:pPr>
        <w:pStyle w:val="Heading1"/>
      </w:pPr>
      <w:r>
        <w:t>Declarations</w:t>
      </w:r>
    </w:p>
    <w:p>
      <w:pPr>
        <w:pStyle w:val="Heading2"/>
      </w:pPr>
      <w:r>
        <w:t>Ethics approval and consent to participate</w:t>
      </w:r>
    </w:p>
    <w:p>
      <w:r>
        <w:t>We analysed publicly available, de-identified TCGA data. We recruited no participants and collected no new tissue.</w:t>
      </w:r>
    </w:p>
    <w:p>
      <w:pPr>
        <w:pStyle w:val="Heading2"/>
      </w:pPr>
      <w:r>
        <w:t>Consent for publication</w:t>
      </w:r>
    </w:p>
    <w:p>
      <w:r>
        <w:t>Not applicable.</w:t>
      </w:r>
    </w:p>
    <w:p>
      <w:pPr>
        <w:pStyle w:val="Heading2"/>
      </w:pPr>
      <w:r>
        <w:t>Study registration and protocol</w:t>
      </w:r>
    </w:p>
    <w:p>
      <w:r>
        <w:t>We did not prospectively register this retrospective computational benchmark.</w:t>
      </w:r>
    </w:p>
    <w:p>
      <w:pPr>
        <w:pStyle w:val="Heading2"/>
      </w:pPr>
      <w:r>
        <w:t>Patient and public involvement</w:t>
      </w:r>
    </w:p>
    <w:p>
      <w:r>
        <w:t>We did not involve patients or members of the public in the design, conduct, interpretation or reporting of this secondary analysis.</w:t>
      </w:r>
    </w:p>
    <w:p>
      <w:pPr>
        <w:pStyle w:val="Heading2"/>
      </w:pPr>
      <w:r>
        <w:t>Availability of data and materials</w:t>
      </w:r>
    </w:p>
    <w:p>
      <w:r>
        <w:t>We used the official TITAN TCGA feature artifact, official Giga-SSL TCGA embeddings and the seandavis/tcga_provgigapath_embeddings Hugging Face dataset. The companion repository provides conversion scripts, source locations, access conditions, SHA-256 checksums and complete-resolution result companions [32]. We do not redistribute controlled-access whole-slide images; the cited sources provide access to TCGA molecular data. No persistent DOI has been assigned at the authors' request. PathoFMPred source code is released under the MIT licence. The public package contains a minimal Giga-SSL fixture and offers explicit user-invoked downloads of the permitted Giga-SSL and Prov-GigaPath fitted collections, whose asset terms and upstream attribution are stated separately. The TITAN fitted collection is excluded from the public repository and retained only in the private collaboration repository pending written redistribution permission. Users may build a local object from independently obtained compatible representations and outcomes. None of the fitted objects is externally validated or intended for clinical use.</w:t>
      </w:r>
    </w:p>
    <w:p>
      <w:pPr>
        <w:pStyle w:val="Heading2"/>
      </w:pPr>
      <w:r>
        <w:t>Competing interests</w:t>
      </w:r>
    </w:p>
    <w:p>
      <w:r>
        <w:t>The authors declare that they have no competing interests.</w:t>
      </w:r>
    </w:p>
    <w:p>
      <w:pPr>
        <w:pStyle w:val="Heading2"/>
      </w:pPr>
      <w:r>
        <w:t>Funding</w:t>
      </w:r>
    </w:p>
    <w:p>
      <w:r>
        <w:t>No specific grant was received from any funding agency in the public, commercial or not-for-profit sectors.</w:t>
      </w:r>
    </w:p>
    <w:p>
      <w:pPr>
        <w:pStyle w:val="Heading2"/>
      </w:pPr>
      <w:r>
        <w:t>Authors’ contributions</w:t>
      </w:r>
    </w:p>
    <w:p>
      <w:r>
        <w:t>Aamilah Ismail: Data curation, Formal analysis, Investigation, Methodology, Software, Validation, Visualization, Writing - original draft, Writing - review and editing. Martin Ocharo: Data curation, Formal analysis, Investigation, Methodology, Software, Validation, Visualization, Writing - original draft, Writing - review and editing. Moussa Kassim: Data curation, Investigation, Validation, Writing - review and editing. Dalia Ahmed: Data curation, Investigation, Validation, Writing - review and editing. Brendon Price: Investigation, Validation, Writing - review and editing. Dupe Ojo: Data curation, Investigation, Validation, Writing - review and editing. Ekene Emmanuel Nweke: Investigation, Validation, Writing - review and editing. Silvano Piazza: Methodology, Software, Validation, Writing - review and editing. Dinesh Gupta: Methodology, Supervision, Validation, Writing - review and editing. Alessia Vignoli: Methodology, Validation, Writing - review and editing. Leonardo Tenori: Conceptualization, Methodology, Supervision, Writing - review and editing. Stefano Cacciatore: Conceptualization, Data curation, Formal analysis, Methodology, Project administration, Resources, Software, Supervision, Validation, Visualization, Writing - original draft, Writing - review and editing. These proposed contributions require confirmation by every author before submission.</w:t>
      </w:r>
    </w:p>
    <w:p>
      <w:pPr>
        <w:pStyle w:val="Heading2"/>
      </w:pPr>
      <w:r>
        <w:t>Acknowledgements</w:t>
      </w:r>
    </w:p>
    <w:p>
      <w:r>
        <w:t>OpenAI Codex assisted with code refactoring and language editing. Human authors remain responsible for verification, interpretation and the submitted text.</w:t>
      </w:r>
    </w:p>
    <w:p>
      <w:pPr>
        <w:pStyle w:val="Heading1"/>
      </w:pPr>
      <w:r>
        <w:t>Additional files</w:t>
      </w:r>
    </w:p>
    <w:p>
      <w:r>
        <w:t>Additional file 1: supplementary_material_JTM.docx. Contains Supplementary Methods, compact interpretive Tables S1-S13, Figures S1-S4 and an inventory of the synchronized machine-readable result companions.</w:t>
      </w:r>
    </w:p>
    <w:p>
      <w:r>
        <w:t>Additional file 2: Additional_file_2_COAD_example_A_PathoFMPred_report.pdf. COAD example A (TCGA-AA-A01F) complete PathoFMPred research-software output using TITAN, Giga-SSL and Prov-GigaPath features. The report lists every continuous and binary fitted model returned for each representation, with original predictions, class calls, internal TCGA reference ranks and model-performance metadata. It is a post hoc software illustration and is neither probability-calibrated nor externally validated.</w:t>
      </w:r>
    </w:p>
    <w:p>
      <w:r>
        <w:t>Additional file 3: Additional_file_3_COAD_example_B_PathoFMPred_report.pdf. COAD example B (TCGA-A6-A56B) complete PathoFMPred research-software output using TITAN, Giga-SSL and Prov-GigaPath features. The report lists every continuous and binary fitted model returned for each representation, with original predictions, class calls, internal TCGA reference ranks and model-performance metadata. It is a post hoc software illustration and is neither probability-calibrated nor externally validated.</w:t>
      </w:r>
    </w:p>
    <w:p>
      <w:pPr>
        <w:pStyle w:val="Heading1"/>
      </w:pPr>
      <w:r>
        <w:t>References</w:t>
      </w:r>
    </w:p>
    <w:p>
      <w:r>
        <w:t>1. Oquab M, Darcet T, Moutakanni T, et al. DINOv2: learning robust visual features without supervision. Trans Mach Learn Res. 2024. https://openreview.net/forum?id=a68SUt6zFt.</w:t>
      </w:r>
    </w:p>
    <w:p>
      <w:r>
        <w:t>2. Coudray N, et al. Classification and mutation prediction from non-small cell lung cancer histopathology images using deep learning. Nat Med. 2018;24:1559–1567. doi:10.1038/s41591-018-0177-5.</w:t>
      </w:r>
    </w:p>
    <w:p>
      <w:r>
        <w:t>3. Kather JN, et al. Deep learning can predict microsatellite instability directly from histology in gastrointestinal cancer. Nat Med. 2019;25:1054–1056. doi:10.1038/s41591-019-0462-y.</w:t>
      </w:r>
    </w:p>
    <w:p>
      <w:r>
        <w:t>4. Echle A, et al. Clinical-grade detection of microsatellite instability in colorectal tumors by deep learning. Gastroenterology. 2020;159:1406–1416.e11. doi:10.1053/j.gastro.2020.06.021.</w:t>
      </w:r>
    </w:p>
    <w:p>
      <w:r>
        <w:t>5. Fu Y, et al. Pan-cancer computational histopathology reveals mutations, tumor composition and prognosis. Nat Cancer. 2020;1:800–810. doi:10.1038/s43018-020-0085-8.</w:t>
      </w:r>
    </w:p>
    <w:p>
      <w:r>
        <w:t>6. Kather JN, et al. Pan-cancer image-based detection of clinically actionable genetic alterations. Nat Cancer. 2020;1:789–799. doi:10.1038/s43018-020-0087-6.</w:t>
      </w:r>
    </w:p>
    <w:p>
      <w:r>
        <w:t>7. Arslan S, et al. A systematic pan-cancer study on deep learning-based prediction of multi-omic biomarkers from routine pathology images. Commun Med. 2024;4:48. doi:10.1038/s43856-024-00471-5.</w:t>
      </w:r>
    </w:p>
    <w:p>
      <w:r>
        <w:t>8. Schmauch B, et al. A deep learning model to predict RNA-Seq expression of tumours from whole slide images. Nat Commun. 2020;11:3877. doi:10.1038/s41467-020-17678-4.</w:t>
      </w:r>
    </w:p>
    <w:p>
      <w:r>
        <w:t>9. El Nahhas OSM, et al. Regression-based deep-learning predicts molecular biomarkers from pathology slides. Nat Commun. 2024;15:1253. doi:10.1038/s41467-024-45589-1.</w:t>
      </w:r>
    </w:p>
    <w:p>
      <w:r>
        <w:t>10. Howard FM, et al. The impact of site-specific digital histology signatures on deep learning model accuracy and bias. Nat Commun. 2021;12:4423. doi:10.1038/s41467-021-24698-1.</w:t>
      </w:r>
    </w:p>
    <w:p>
      <w:r>
        <w:t>11. Saldanha OL, et al. Self-supervised attention-based deep learning for pan-cancer mutation prediction from histopathology. npj Precis Oncol. 2023;7:35. doi:10.1038/s41698-023-00365-0.</w:t>
      </w:r>
    </w:p>
    <w:p>
      <w:r>
        <w:t>12. Dadhania V, et al. Leveraging artificial intelligence to predict ERG gene fusion status in prostate cancer. BMC Cancer. 2022;22:494. doi:10.1186/s12885-022-09559-4.</w:t>
      </w:r>
    </w:p>
    <w:p>
      <w:r>
        <w:t>13. Mayer C, et al. Direct identification of ALK and ROS1 fusions in non-small cell lung cancer from hematoxylin and eosin-stained slides using deep learning algorithms. Mod Pathol. 2022;35:1882–1887. doi:10.1038/s41379-022-01141-4.</w:t>
      </w:r>
    </w:p>
    <w:p>
      <w:r>
        <w:t>14. Bergstrom EN, et al. Deep learning artificial intelligence predicts homologous recombination deficiency and platinum response from histologic slides. J Clin Oncol. 2024;42:3550–3560. doi:10.1200/JCO.23.02641.</w:t>
      </w:r>
    </w:p>
    <w:p>
      <w:r>
        <w:t>15. Patkar S, et al. Predicting the tumor microenvironment composition and immunotherapy response in non-small cell lung cancer from digital histopathology images. npj Precis Oncol. 2024;8:280. doi:10.1038/s41698-024-00765-w.</w:t>
      </w:r>
    </w:p>
    <w:p>
      <w:r>
        <w:t>16. Ding T, et al. A multimodal whole-slide foundation model for pathology. Nat Med. 2025;31:3749–3761. doi:10.1038/s41591-025-03982-3.</w:t>
      </w:r>
    </w:p>
    <w:p>
      <w:r>
        <w:t>17. Lazard T, Lerousseau M, Decencière E, Walter T. Giga-SSL: self-supervised learning for gigapixel images. In: Proceedings of the IEEE/CVF Conference on Computer Vision and Pattern Recognition Workshops. 2023. p. 4305–4314.</w:t>
      </w:r>
    </w:p>
    <w:p>
      <w:r>
        <w:t>18. Xu H, et al. A whole-slide foundation model for digital pathology from real-world data. Nature. 2024;630:181–188. doi:10.1038/s41586-024-07441-w.</w:t>
      </w:r>
    </w:p>
    <w:p>
      <w:r>
        <w:t>19. Thorsson V, et al. The Immune Landscape of Cancer. Immunity. 2018;48:812–830.e14. doi:10.1016/j.immuni.2018.03.023.</w:t>
      </w:r>
    </w:p>
    <w:p>
      <w:r>
        <w:t>20. Newman AM, et al. Robust enumeration of cell subsets from tissue expression profiles. Nat Methods. 2015;12:453–457. doi:10.1038/nmeth.3337.</w:t>
      </w:r>
    </w:p>
    <w:p>
      <w:r>
        <w:t>21. Saltz J, et al. Spatial organization and molecular correlation of tumor-infiltrating lymphocytes using deep learning on pathology images. Cell Rep. 2018;23:181–193.e7. doi:10.1016/j.celrep.2018.03.086.</w:t>
      </w:r>
    </w:p>
    <w:p>
      <w:r>
        <w:t>22. Goldman MJ, Craft B, Hastie M, et al. Visualizing and interpreting cancer genomics data via the Xena platform. Nat Biotechnol. 2020;38:675-678. doi:10.1038/s41587-020-0546-8.</w:t>
      </w:r>
    </w:p>
    <w:p>
      <w:r>
        <w:t>23. Liberzon A, Birger C, Thorvaldsdottir H, Ghandi M, Mesirov JP, Tamayo P. The Molecular Signatures Database Hallmark Gene Set Collection. Cell Syst. 2015;1:417-425. doi:10.1016/j.cels.2015.12.004.</w:t>
      </w:r>
    </w:p>
    <w:p>
      <w:r>
        <w:t>24. Ellrott K, et al. Scalable open science approach for mutation calling of tumor exomes. Cell Syst. 2018;6:271–281.e7. doi:10.1016/j.cels.2018.03.002.</w:t>
      </w:r>
    </w:p>
    <w:p>
      <w:r>
        <w:t>25. Bailey MH, et al. Comprehensive characterization of cancer driver genes and mutations. Cell. 2018;173:371–385.e18. doi:10.1016/j.cell.2018.02.060.</w:t>
      </w:r>
    </w:p>
    <w:p>
      <w:r>
        <w:t>26. Sanchez-Vega F, et al. Oncogenic signaling pathways in The Cancer Genome Atlas. Cell. 2018;173:321–337.e10. doi:10.1016/j.cell.2018.03.035.</w:t>
      </w:r>
    </w:p>
    <w:p>
      <w:r>
        <w:t>27. Taylor AM, et al. Genomic and functional approaches to understanding cancer aneuploidy. Cancer Cell. 2018;33:676–689.e3. doi:10.1016/j.ccell.2018.03.007.</w:t>
      </w:r>
    </w:p>
    <w:p>
      <w:r>
        <w:t>28. Gao Q, et al. Driver fusions and their implications in the development and treatment of human cancers. Cell Rep. 2018;23:227–238.e3. doi:10.1016/j.celrep.2018.03.050.</w:t>
      </w:r>
    </w:p>
    <w:p>
      <w:r>
        <w:t>29. Bonneville R, et al. Landscape of microsatellite instability across 39 cancer types. JCO Precis Oncol. 2017;2017:PO.17.00073. doi:10.1200/PO.17.00073.</w:t>
      </w:r>
    </w:p>
    <w:p>
      <w:r>
        <w:t>30. Cerami E, et al. The cBio cancer genomics portal: an open platform for exploring multidimensional cancer genomics data. Cancer Discov. 2012;2:401–404. doi:10.1158/2159-8290.CD-12-0095.</w:t>
      </w:r>
    </w:p>
    <w:p>
      <w:r>
        <w:t>31. Loeffler CML, et al. Predicting mutational status of driver and suppressor genes directly from histopathology with deep learning. Front Genet. 2022;12:806386. doi:10.3389/fgene.2021.806386.</w:t>
      </w:r>
    </w:p>
    <w:p>
      <w:r>
        <w:t>32. Pathology foundation-model patient-level benchmark repository. GitHub. https://github.com/tkcaccia/pathology-foundation-model-atlas. Accessed 29 Sep 2026.</w:t>
      </w:r>
    </w:p>
    <w:p>
      <w:r>
        <w:t>33. Wold S, Sjöström M, Eriksson L. PLS-regression: a basic tool of chemometrics. Chemometr Intell Lab Syst. 2001;58:109–130. doi:10.1016/S0169-7439(01)00155-1.</w:t>
      </w:r>
    </w:p>
    <w:p>
      <w:r>
        <w:t>34. Szymańska E, et al. Double-check: validation of diagnostic statistics for PLS-DA models. Metabolomics. 2012;8(Suppl 1):3–16. doi:10.1007/s11306-011-0330-3.</w:t>
      </w:r>
    </w:p>
    <w:p>
      <w:r>
        <w:t>35. Benjamini Y, Hochberg Y. Controlling the false discovery rate: a practical and powerful approach to multiple testing. J R Stat Soc B. 1995;57:289–300. doi:10.1111/j.2517-6161.1995.tb02031.x.</w:t>
      </w:r>
    </w:p>
    <w:p>
      <w:r>
        <w:t>36. Collins GS, et al. TRIPOD+AI statement: updated guidance for reporting clinical prediction models that use regression or machine learning methods. BMJ. 2024;385:e078378. doi:10.1136/bmj-2023-078378.</w:t>
      </w:r>
    </w:p>
    <w:p>
      <w:r>
        <w:t>37. Liu J, et al. An integrated TCGA pan-cancer clinical data resource to drive high-quality survival outcome analytics. Cell. 2018;173:400–416.e11. doi:10.1016/j.cell.2018.02.052.</w:t>
      </w:r>
    </w:p>
    <w:p>
      <w:r>
        <w:t>38. PathoFMPred R package and fitted-model repository. GitHub. https://github.com/tkcaccia/PathoFMPred. Accessed 29 Sep 2026.</w:t>
      </w:r>
    </w:p>
    <w:p>
      <w:r>
        <w:t>39. International Agency for Research on Cancer. Global Cancer Observatory: GLOBOCAN 2022 world fact sheet. Lyon: IARC; 2024. https://gco.iarc.who.int/media/globocan/factsheets/populations/900-world-fact-sheet.pdf. Accessed 16 Aug 2026.</w:t>
      </w:r>
    </w:p>
    <w:p>
      <w:r>
        <w:t>40. National Cancer Institute. Genomic Data Commons Cases API. https://api.gdc.cancer.gov/cases. Accessed 16 Aug 2026.</w:t>
      </w:r>
    </w:p>
    <w:p>
      <w:r>
        <w:t>41. Fernandes G. Morpho-genomic deep learning for ovarian cancer subtype and gene mutation prediction from histopathology. arXiv. 2025;arXiv:2511.03365. doi:10.48550/arXiv.2511.03365.</w:t>
      </w:r>
    </w:p>
    <w:p>
      <w:r>
        <w:t>42. Wells K, Lamrca A, Papaxoinis G, Wallace A, Quinn AM, Summers Y, Nonaka D. Unique correlation between GTF2I mutation and spindle cell morphology in thymomas (type A and AB thymomas). J Clin Pathol. 2023;76:463-466. doi:10.1136/jclinpath-2021-207837.</w:t>
      </w:r>
    </w:p>
    <w:p>
      <w:r>
        <w:t>43. National Cancer Institute Clinical Proteomic Tumor Analysis Consortium. CPTAC-UCEC: The Clinical Proteomic Tumor Analysis Consortium Uterine Corpus Endometrial Carcinoma Collection. The Cancer Imaging Archive. doi:10.7937/K9/TCIA.2018.3R3JUISW. Accessed 20 Sep 2026.</w:t>
      </w:r>
    </w:p>
    <w:p>
      <w:r>
        <w:t>44. Lazard T, et al. Giga-SSL source code and released TCGA_encoded_t5e1000 embeddings. GitHub. https://github.com/trislaz/gigassl. Commit 605b950. Accessed 20 Sep 2026.</w:t>
      </w:r>
    </w:p>
    <w:p>
      <w:r>
        <w:t>45. Davis S. TCGA Prov-GigaPath embeddings. Hugging Face Datasets. https://huggingface.co/datasets/seandavis/tcga_provgigapath_embeddings. Source snapshot commit 073115403c2fc5134ee8d1332c603edba591dddb. Accessed 20 Sep 2026.</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Patient-level pathology foundation-model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480" w:lineRule="auto"/>
      <w:contextualSpacing/>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pPr>
    <w:rPr>
      <w:rFonts w:ascii="Arial" w:hAnsi="Arial"/>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