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comparison of pathology foundation models for molecular and derived immune-feature prediction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prediction analysis of TCGA tissue-source-site code.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grouping by TCGA tissue-source-site code.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constraint on TCGA tissue-source-site code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external-institution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(https://github.com/tkcaccia/PathoFMPred)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validation grouped by TCGA tissue-source-site code,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 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classification of TCGA tissue-source-site code';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We now add a denominator-first post hoc subgroup audit using the fixed five-repeat held-out predictions. A high-volume model required at least 200 outcome-labelled patients; continuous subgroup metrics required at least 50 patients, and binary metrics required at least 20 positive and 20 negative patients. Both recorded-sex groups were estimable in 138 continuous and 56 binary models; at least two broad race groups were estimable in 98 continuous and 32 binary models. Supplementary Table S2b gives exact counts for highlighted models, while subgroup_performance_audit.csv reports exact counts, metrics or the specific non-estimability reason for every screen-positive model–subgroup row. The manuscript states that these post hoc internal estimates are not formal fairness validation and do not establish demographic equivalence.</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p>
      <w:pPr>
        <w:pStyle w:val="Heading1"/>
      </w:pPr>
      <w:r>
        <w:t>Pathology quality control</w:t>
      </w:r>
    </w:p>
    <w:p>
      <w:r>
        <w:t>Agreed and addressed with a structured-field audit and explicit limitation. Neither the TITAN feature table nor TCGA-Slide-Reports.csv supplied structured tumour content/cellularity, tissue area, artefact, biopsy-versus-resection status or slide/image-quality measurements. The field site_of_resection_or_biopsy is an anatomical-site variable and is no longer described as a specimen-procedure indicator. These quantities were therefore not used for exclusion or weighting. Generated narrative text was audited only as unvalidated same-image context: among 10,106 matched reports, tumour-content, tissue-area, artefact and explicit slide-quality phrases appeared in 16, 9, 2 and 0 slides, respectively. Mean pooling assigns each slide weight 1/n within a participant, after which every participant contributes one validation row; thus the 30-slide participant does not have 30-fold downstream weight. However, all 30 generated narratives for that participant, TCGA-DX-AB2L (SARC), mentioned no residual sarcoma/myxofibrosarcoma. We now highlight this as a clinically important inadequacy of barcode-only eligibility, not as an independently adjudicated exclusion. Methods, Results, Discussion, Supplementary Table S3b and four machine-readable pathology-QC files report the issue. The existing first-slide analysis remains a pooling-rule sensitivity, not a substitute for independent pathology review or tumour-area-aware aggregation.</w:t>
      </w:r>
    </w:p>
    <w:p>
      <w:pPr>
        <w:pStyle w:val="Heading1"/>
      </w:pPr>
      <w:r>
        <w:t>Terminology: predictability</w:t>
      </w:r>
    </w:p>
    <w:p>
      <w:r>
        <w:t>Agreed. The Background now supplies one explicit operational definition used throughout: predictability means held-out cross-validated statistical association under the stated target, model, validation folds and performance threshold. Results that meet this criterion are no longer described as revealing biological information. The Results, tissue-source-site-code analysis, Discussion, limitations and Supplementary Methods state that such association does not establish causality or mechanism, directly recover the originating measurement, demonstrate analytical or clinical assay equivalence, or support omitting or replacing an assay. The reviewer report and repository documentation use the same definition.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