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derived immune-feature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derived immune-feature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Sensitivity to grouping by TCGA tissue-source-site code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supplies descriptive characteristics for 9,385 matched participants, including age, recorded gender, race and broad stage overall and by cancer. A new denominator-first subgroup audit covers 266 high-volume models. Both recorded-sex groups were estimable in 138 continuous and 56 binary models; at least two broad race groups were estimable in 98 continuous and 32 binary models. Exact counts, metrics and non-estimability reasons are supplied for every screen-positive model–subgroup row.</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post hoc internal subgroup estimates constitute fairness validation or demographic equivalence.</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the outcome-appropriate predictive metric, repeated stability and stability under grouping by TCGA tissue-source-site code are reported alongside, and tied minimum q-values are not used for ranking. The former effect-sounding categories have been replaced by the neutral labels 'prespecified screening tier A' and 'prespecified screening tier B'. The Methods state that these are prioritisation rules based on Q² for continuous outcomes and 2×balanced accuracy−1 for binary outcomes, not established clinical or statistical effect categories or directly commensurate scales.</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Sensitivity to grouping by TCGA tissue-source-site code and confounding</w:t>
      </w:r>
    </w:p>
    <w:p>
      <w:pPr>
        <w:spacing w:after="120" w:line="264" w:lineRule="auto"/>
      </w:pPr>
      <w:r>
        <w:rPr>
          <w:rFonts w:ascii="Calibri" w:hAnsi="Calibri"/>
          <w:b w:val="0"/>
          <w:i w:val="0"/>
          <w:color w:val="000000"/>
          <w:sz w:val="22"/>
        </w:rPr>
        <w:t>The revised manuscript now makes the result from grouping by TCGA tissue-source-site code visible rather than reducing it to a median robustness statistic. Main Figure 6 shows every target, the largest attenuations and the new within-cancer classifiers of TCGA tissue-source-site code; Supplementary Table S6a reports grouped performance beside highlighted models. Overall, 83/323 screen-positive models (25.7%) fell below their original prespecified screening threshold. READ–APC and COAD–APC declined to balanced accuracies 0.495 and 0.543. The public analysis registry and inference output expose the grouped metric, delta, number of TCGA tissue-source-site codes, threshold-retention status and prominent warning for every model. The complete fold audit reports patients, codes and class counts in all 1,613 outer folds and confirms that inner component selection also kept each TCGA tissue-source-site code intact.</w:t>
      </w:r>
    </w:p>
    <w:p>
      <w:pPr>
        <w:spacing w:after="120" w:line="264" w:lineRule="auto"/>
      </w:pPr>
      <w:r>
        <w:rPr>
          <w:rFonts w:ascii="Calibri" w:hAnsi="Calibri"/>
          <w:b w:val="0"/>
          <w:i w:val="0"/>
          <w:color w:val="000000"/>
          <w:sz w:val="22"/>
        </w:rPr>
        <w:t>The dedicated repeated nested analysis predicted TCGA tissue-source-site code from TITAN representations in 27/32 evaluable cancers, with median multiclass macro balanced accuracy 0.628. This quantifies substantial confounding potential. The manuscript appropriately calls the endpoint analysis 'internal validation grouped by TCGA tissue-source-site code' and does not interpret retained performance as proof of scanner, laboratory or institutional transportability. Tissue-source the barcode-derived code is not an institution, scanner or laboratory identifier,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cohort/institution/scanner/population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Endpoint provenance and morphological interpretation</w:t>
      </w:r>
    </w:p>
    <w:p>
      <w:pPr>
        <w:spacing w:after="120" w:line="264" w:lineRule="auto"/>
      </w:pPr>
      <w:r>
        <w:rPr>
          <w:rFonts w:ascii="Calibri" w:hAnsi="Calibri"/>
          <w:b w:val="0"/>
          <w:i w:val="0"/>
          <w:color w:val="000000"/>
          <w:sz w:val="22"/>
        </w:rPr>
        <w:t>The revision now distinguishes the label-generating assays and algorithms rather than presenting all continuous targets as equivalent immune measurements. The complete 2,073-row endpoint dictionary covers every eligible cancer–endpoint test and records source modality, direct/inferred status, derivation algorithm, original scale, analysis transformation, target-specific missingness, expected measurement error, biological interpretation and an assay-equivalence caveat. Its 194 unique definitions are also supplied separately. The high-level classes are direct sequence-supported alterations, sequencing-derived burdens, inferred immune-cell fractions, transcriptomic signatures, pathology-associated quantities and composite genomic-context scores. CIBERSORT fractions are correctly described as bulk-RNA deconvolution outputs, leukocyte fraction as methylation-derived and TIL Regional Fraction as an H&amp;E-derived Saltz quantity. The text appropriately states that prediction of these inferred phenotypes is not equivalent to a direct cell count, IHC, flow cytometry or a clinically certified biomarker.</w:t>
      </w:r>
    </w:p>
    <w:p>
      <w:pPr>
        <w:spacing w:after="120" w:line="264" w:lineRule="auto"/>
      </w:pPr>
      <w:r>
        <w:rPr>
          <w:rFonts w:ascii="Calibri" w:hAnsi="Calibri"/>
          <w:b w:val="0"/>
          <w:i w:val="0"/>
          <w:color w:val="000000"/>
          <w:sz w:val="22"/>
        </w:rPr>
        <w:t>The authors also add a qualitative context analysis with 20 records across five representative models. High/low repeated-OOF anchors are paired with their nearest within-cancer patient-level mean TITAN neighbour, and the table preserves exact patient/slide identifiers, original predictions, ranks, cosine similarities and generated-report context. This is a useful transparency step, especially because the BLCA TIL Regional Fraction panel is explicitly identified as same-H&amp;E-modality concordance. However, global pooled embeddings do not localise relevant patches, and TCGA-Slide-Reports text generated by TITAN from the same images is not independent evidence or blinded pathology review. The manuscript now states those limits plainly.</w:t>
      </w:r>
    </w:p>
    <w:p>
      <w:pPr>
        <w:spacing w:after="120" w:line="264" w:lineRule="auto"/>
      </w:pPr>
      <w:r>
        <w:rPr>
          <w:rFonts w:ascii="Calibri" w:hAnsi="Calibri"/>
          <w:b/>
          <w:i w:val="0"/>
          <w:color w:val="000000"/>
          <w:sz w:val="22"/>
        </w:rPr>
        <w:t>No additional internal interpretability claim is requested.</w:t>
      </w:r>
      <w:r>
        <w:rPr>
          <w:rFonts w:ascii="Calibri" w:hAnsi="Calibri"/>
          <w:b w:val="0"/>
          <w:i w:val="0"/>
          <w:color w:val="000000"/>
          <w:sz w:val="22"/>
        </w:rPr>
        <w:t xml:space="preserve"> Retain Figure S4 and Tables S13–S14 as qualitative context, not mechanistic evidence. Any future morphological explanation should preserve tile-level representations or relevance maps and undergo blinded pathologist review.</w:t>
      </w:r>
    </w:p>
    <w:p>
      <w:pPr>
        <w:pStyle w:val="Heading2"/>
        <w:keepNext/>
      </w:pPr>
      <w:r>
        <w:t>10. COAD software-interface illustration</w:t>
      </w:r>
    </w:p>
    <w:p>
      <w:pPr>
        <w:spacing w:after="120" w:line="264" w:lineRule="auto"/>
      </w:pPr>
      <w:r>
        <w:rPr>
          <w:rFonts w:ascii="Calibri" w:hAnsi="Calibri"/>
          <w:b w:val="0"/>
          <w:i w:val="0"/>
          <w:color w:val="000000"/>
          <w:sz w:val="22"/>
        </w:rPr>
        <w:t>At the authors' request, the two COAD participants and radar comparison remain in main Figure 7 solely to show the software output. The Results and caption state the full post hoc construction: clinical-text and profile-saturation restrictions followed by selection of the pair with maximum Euclidean separation across continuous TCGA OOF prediction percentiles. This makes clear that the visual contrast was designed after inspecting model outputs and is not representative sampling or performance evidence.</w:t>
      </w:r>
    </w:p>
    <w:p>
      <w:pPr>
        <w:spacing w:after="120" w:line="264" w:lineRule="auto"/>
      </w:pPr>
      <w:r>
        <w:rPr>
          <w:rFonts w:ascii="Calibri" w:hAnsi="Calibri"/>
          <w:b w:val="0"/>
          <w:i w:val="0"/>
          <w:color w:val="000000"/>
          <w:sz w:val="22"/>
        </w:rPr>
        <w:t>The case language is now appropriately limited. TCGA-AA-A01F is reported as pN1, whereas the available slide summary for TCGA-AA-3972 contains no nodal category; no claim of clinical comparability remains. Treatment, response, recurrence, follow-up and survival narratives have been removed because these variables were neither model inputs nor validation outcomes. The package tutorial separately uses a synthetic non-patient vector for routine smoke testing.</w:t>
      </w:r>
    </w:p>
    <w:p>
      <w:pPr>
        <w:spacing w:after="120" w:line="264" w:lineRule="auto"/>
      </w:pPr>
      <w:r>
        <w:rPr>
          <w:rFonts w:ascii="Calibri" w:hAnsi="Calibri"/>
          <w:b w:val="0"/>
          <w:i w:val="0"/>
          <w:color w:val="000000"/>
          <w:sz w:val="22"/>
        </w:rPr>
        <w:t>The package report makes the principal limitations visually prominent: its banner states 'UNVALIDATED RESEARCH OUTPUT', 'TCGA OOF score rank (not probability)', 'No independent external validation' and 'Not for diagnosis, treatment selection, or clinical risk estimation'. Binary plots and tables place '(not probability)' directly beside every score-rank label, and machine-readable inference rows expose an explicit false probability flag and uncalibrated status. No further case-based clinical interpretation is justified.</w:t>
      </w:r>
    </w:p>
    <w:p>
      <w:pPr>
        <w:pStyle w:val="Heading2"/>
        <w:keepNext/>
      </w:pPr>
      <w:r>
        <w:t>11.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12.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and the endpoint dictionary in Table S13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primary-screen continuous prediction with explicit held-out metrics. These corrected production figures should be retained.</w:t>
      </w:r>
    </w:p>
    <w:p>
      <w:pPr>
        <w:pStyle w:val="Heading3"/>
        <w:keepNext/>
      </w:pPr>
      <w:r>
        <w:t>Primary versus repeated estimates</w:t>
      </w:r>
    </w:p>
    <w:p>
      <w:pPr>
        <w:spacing w:after="120" w:line="264" w:lineRule="auto"/>
      </w:pPr>
      <w:r>
        <w:rPr>
          <w:rFonts w:ascii="Calibri" w:hAnsi="Calibri"/>
          <w:b w:val="0"/>
          <w:i w:val="0"/>
          <w:color w:val="000000"/>
          <w:sz w:val="22"/>
        </w:rPr>
        <w:t>The revision now distinguishes the initial nested-CV primary screening estimate from the mean across five additional nested-CV repeats. Supplementary Table S6a reports both; THYM–Th17 is transparently labelled Q² 0.638 in the screen and 0.594 in repeated validation. The difference is expected resampling variation, not an inconsistency.</w:t>
      </w:r>
    </w:p>
    <w:p>
      <w:pPr>
        <w:pStyle w:val="Heading3"/>
        <w:keepNext/>
      </w:pPr>
      <w:r>
        <w:t>Manuscript density</w:t>
      </w:r>
    </w:p>
    <w:p>
      <w:pPr>
        <w:spacing w:after="120" w:line="264" w:lineRule="auto"/>
      </w:pPr>
      <w:r>
        <w:rPr>
          <w:rFonts w:ascii="Calibri" w:hAnsi="Calibri"/>
          <w:b w:val="0"/>
          <w:i w:val="0"/>
          <w:color w:val="000000"/>
          <w:sz w:val="22"/>
        </w:rPr>
        <w:t>The main paper is appropriately streamlined as a research article: the review-style literature comparison table has been removed, and the oversized highlighted-model performance table has moved to Supplementary Table S6a without loss of metrics. The locked-target implementation table has also moved to Supplementary Table S6c, leaving one compact main-text table.</w:t>
      </w:r>
    </w:p>
    <w:p>
      <w:pPr>
        <w:pStyle w:val="Heading3"/>
        <w:keepNext/>
      </w:pPr>
      <w:r>
        <w:t>Implementation detail</w:t>
      </w:r>
    </w:p>
    <w:p>
      <w:pPr>
        <w:spacing w:after="120" w:line="264" w:lineRule="auto"/>
      </w:pPr>
      <w:r>
        <w:rPr>
          <w:rFonts w:ascii="Calibri" w:hAnsi="Calibri"/>
          <w:b w:val="0"/>
          <w:i w:val="0"/>
          <w:color w:val="000000"/>
          <w:sz w:val="22"/>
        </w:rPr>
        <w:t>Detailed report construction, score-rank definitions, checksums, model inventory, input validation, locked-artifact metadata and package behaviour have been removed from the main Results and retained in the Supplement and software documentation. The implementation-oriented external-readiness subsection has also been removed. The main Results retain only one external-validation-status sentence and the biological context needed to interpret the two illustrative COAD profiles.</w:t>
      </w:r>
    </w:p>
    <w:p>
      <w:pPr>
        <w:pStyle w:val="Heading3"/>
        <w:keepNext/>
      </w:pPr>
      <w:r>
        <w:t>TCGA tissue-source-site code</w:t>
      </w:r>
    </w:p>
    <w:p>
      <w:pPr>
        <w:spacing w:after="120" w:line="264" w:lineRule="auto"/>
      </w:pPr>
      <w:r>
        <w:rPr>
          <w:rFonts w:ascii="Calibri" w:hAnsi="Calibri"/>
          <w:b w:val="0"/>
          <w:i w:val="0"/>
          <w:color w:val="000000"/>
          <w:sz w:val="22"/>
        </w:rPr>
        <w:t>The two-character barcode variable is now named consistently as the TCGA tissue-source-site code. Grouped validation and code-classification analyses no longer use the broader shorthand 'site'. The manuscript explicitly states that this code is not an institution, scanner, laboratory or staining-batch identifier and that grouping by it is internal to TCGA.</w:t>
      </w:r>
    </w:p>
    <w:p>
      <w:pPr>
        <w:pStyle w:val="Heading3"/>
        <w:keepNext/>
      </w:pPr>
      <w:r>
        <w:t>Precision–recall reporting</w:t>
      </w:r>
    </w:p>
    <w:p>
      <w:pPr>
        <w:spacing w:after="120" w:line="264" w:lineRule="auto"/>
      </w:pPr>
      <w:r>
        <w:rPr>
          <w:rFonts w:ascii="Calibri" w:hAnsi="Calibri"/>
          <w:b w:val="0"/>
          <w:i w:val="0"/>
          <w:color w:val="000000"/>
          <w:sz w:val="22"/>
        </w:rPr>
        <w:t>PR-AUC is now visible in the Abstract and main Results, not only in supplementary reliability fields. It is correctly defined as non-interpolated average precision and interpreted against endpoint prevalence. The explicit low-prevalence mutation/fusion summary usefully shows that apparently strong AUROC can coexist with substantially more modest positive-class retrieval.</w:t>
      </w:r>
    </w:p>
    <w:p>
      <w:pPr>
        <w:pStyle w:val="Heading3"/>
        <w:keepNext/>
      </w:pPr>
      <w:r>
        <w:t>Figure readability</w:t>
      </w:r>
    </w:p>
    <w:p>
      <w:pPr>
        <w:spacing w:after="120" w:line="264" w:lineRule="auto"/>
      </w:pPr>
      <w:r>
        <w:rPr>
          <w:rFonts w:ascii="Calibri" w:hAnsi="Calibri"/>
          <w:b w:val="0"/>
          <w:i w:val="0"/>
          <w:color w:val="000000"/>
          <w:sz w:val="22"/>
        </w:rPr>
        <w:t>Figures 2 and 3 are restricted to 12 models, Figure 5 to 15 cancers, and Figure 6 to six labelled attenuations and 10 code-classification results, all with larger typography and links to complete supplementary tables. Figure 7 replaces the radar plots with a shared-axis dumbbell comparison of eight continuous endpoints and a six-endpoint binary panel; original predicted values remain visible and complete outputs stay in the separate case reports. The redesign materially improves normal-size comparison without dropping the two illustrative COAD cases.</w:t>
      </w:r>
    </w:p>
    <w:p>
      <w:pPr>
        <w:pStyle w:val="Heading3"/>
        <w:keepNext/>
      </w:pPr>
      <w:r>
        <w:t>Pathology quality control</w:t>
      </w:r>
    </w:p>
    <w:p>
      <w:pPr>
        <w:spacing w:after="120" w:line="264" w:lineRule="auto"/>
      </w:pPr>
      <w:r>
        <w:rPr>
          <w:rFonts w:ascii="Calibri" w:hAnsi="Calibri"/>
          <w:b w:val="0"/>
          <w:i w:val="0"/>
          <w:color w:val="000000"/>
          <w:sz w:val="22"/>
        </w:rPr>
        <w:t>The revision now states that tumour content/cellularity, tissue area, artefact, biopsy-versus-resection status and slide/image quality were not available as structured fields and were not used for exclusion or weighting. It correctly identifies site_of_resection_or_biopsy as anatomical site rather than procedure. Mean pooling gives each slide weight 1/n within a participant and each pooled participant one validation row, but this does not establish tissue adequacy. The maximum-slide participant, TCGA-DX-AB2L (SARC), is explicitly reported: all 30 same-image generated narratives mention no residual sarcoma/myxofibrosarcoma. Because these narratives are not independent pathologist adjudication, retaining the case as a limitation rather than silently excluding it is defensible; prospective pathology QC remains necessary.</w:t>
      </w:r>
    </w:p>
    <w:p>
      <w:pPr>
        <w:pStyle w:val="Heading3"/>
        <w:keepNext/>
      </w:pPr>
      <w:r>
        <w:t>Predictability terminology</w:t>
      </w:r>
    </w:p>
    <w:p>
      <w:pPr>
        <w:spacing w:after="120" w:line="264" w:lineRule="auto"/>
      </w:pPr>
      <w:r>
        <w:rPr>
          <w:rFonts w:ascii="Calibri" w:hAnsi="Calibri"/>
          <w:b w:val="0"/>
          <w:i w:val="0"/>
          <w:color w:val="000000"/>
          <w:sz w:val="22"/>
        </w:rPr>
        <w:t>The manuscript now uses predictability as an operational term for held-out cross-validated statistical association under the specified target, model, folds and threshold. It explicitly rejects causal, mechanistic and assay-equivalence interpretations and states that no image-derived estimate supports omission or replacement of the originating molecular or immune assay. This definition should be retained consistently in the final submission.</w:t>
      </w:r>
    </w:p>
    <w:p>
      <w:pPr>
        <w:pStyle w:val="Heading3"/>
        <w:keepNext/>
      </w:pPr>
      <w:r>
        <w:t>Screening tiers</w:t>
      </w:r>
    </w:p>
    <w:p>
      <w:pPr>
        <w:spacing w:after="120" w:line="264" w:lineRule="auto"/>
      </w:pPr>
      <w:r>
        <w:rPr>
          <w:rFonts w:ascii="Calibri" w:hAnsi="Calibri"/>
          <w:b w:val="0"/>
          <w:i w:val="0"/>
          <w:color w:val="000000"/>
          <w:sz w:val="22"/>
        </w:rPr>
        <w:t>The neutral labels prespecified screening tier A/B are appropriate. They are clearly defined as prioritisation rules rather than established clinical or statistical effect categories.</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distinguishes inferred immune and inflammatory features from direct alterations and other derived genomic phenotypes.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