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systematic patient-level benchmark and reusable model resource for molecular and immune prediction from pretrained TITAN whole-slide representations across 32 TCGA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Silvano Piazza</w:t>
      </w:r>
      <w:r>
        <w:rPr>
          <w:vertAlign w:val="superscript"/>
        </w:rPr>
        <w:t>6,8</w:t>
      </w:r>
      <w:r>
        <w:t xml:space="preserve">, </w:t>
      </w:r>
      <w:r>
        <w:rPr>
          <w:b/>
        </w:rPr>
        <w:t>Dinesh Gupta</w:t>
      </w:r>
      <w:r>
        <w:rPr>
          <w:vertAlign w:val="superscript"/>
        </w:rPr>
        <w:t>7</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b/>
        </w:rPr>
        <w:t xml:space="preserve">6 </w:t>
      </w:r>
      <w:r>
        <w:t>Computational Biology Group, International Centre for Genetic Engineering and Biotechnology (ICGEB), Trieste, Italy</w:t>
      </w:r>
    </w:p>
    <w:p>
      <w:pPr>
        <w:jc w:val="center"/>
      </w:pPr>
      <w:r>
        <w:rPr>
          <w:b/>
        </w:rPr>
        <w:t xml:space="preserve">7 </w:t>
      </w:r>
      <w:r>
        <w:t>Translational Bioinformatics Group, International Centre for Genetic Engineering and Biotechnology (ICGEB), Aruna Asaf Ali Marg, New Delhi 110067, India</w:t>
      </w:r>
    </w:p>
    <w:p>
      <w:pPr>
        <w:jc w:val="center"/>
      </w:pPr>
      <w:r>
        <w:rPr>
          <w:b/>
        </w:rPr>
        <w:t xml:space="preserve">8 </w:t>
      </w:r>
      <w:r>
        <w:t>Bioinformatics Facility, Department of Cellular, Computational and Integrative Biology - CIBIO, University of Trento, Trento, Italy</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Pan-cancer histology studies have already screened broad molecular endpoint spaces: Arslan and colleagues trained 12,093 models for 4,031 biomarkers across the same 32 TCGA cancers. We therefore evaluated TITAN as a reproducible patient-level benchmark and reusable model resource, rather than claiming a first pan-cancer screen or unprecedented mutation targets.</w:t>
      </w:r>
    </w:p>
    <w:p>
      <w:r>
        <w:rPr>
          <w:b/>
        </w:rPr>
        <w:t xml:space="preserve">Methods. </w:t>
      </w:r>
      <w:r>
        <w:t>We mean-pooled 11,449 primary diagnostic slide embeddings into 9,404 patient vectors across 32 TCGA cancers; 843 patients contributed multiple slides. We tested 1,614 continuous and 459 binary cancer–endpoint pairs. PLS1 regression was used for continuous targets; binary targets used PLS latent scores with LDA. Patient-level nested 5×5 cross-validation selected 1–10 components. Effect-eligible models underwent a 999-permutation refinement with conservative sequential stopping, Benjamini–Hochberg control within cancer and endpoint family, and a stricter across-cancer family correction.</w:t>
      </w:r>
    </w:p>
    <w:p>
      <w:r>
        <w:rPr>
          <w:b/>
        </w:rPr>
        <w:t xml:space="preserve">Results. </w:t>
      </w:r>
      <w:r>
        <w:t>Within-cancer screening identified 219 continuous and 104 binary higher- or moderate-effect candidates. Highlighted repeated-CV results included TGCT–TGF-beta Response (Q² 0.670, 95% bootstrap interval 0.573–0.741; RMSE 0.303, Spearman 0.791) and LGG–TP53 (sensitivity 0.839, specificity 0.885, balanced accuracy 0.862, 95% bootstrap interval 0.833–0.888; AUROC 0.908). The literature audit found prior statistical support for 38/41 screen-positive cancer–gene pairs. Under the multiplicity sensitivity, 219 continuous and 39 cancer–mutation pairs passed the stricter across-cancer correction; its attainable q-values in large families were limited by the 0.001 empirical-p resolution. Site grouping reduced 83/323 candidates (25.7%) below the original effect threshold. In a selection-conditioned 24-model benchmark, median ridge-minus-PLS differences were 0.007 balanced accuracy and 0.014 Q², showing no uniform PLS advantage.</w:t>
      </w:r>
    </w:p>
    <w:p>
      <w:r>
        <w:rPr>
          <w:b/>
        </w:rPr>
        <w:t xml:space="preserve">Conclusions. </w:t>
      </w:r>
      <w:r>
        <w:t>This systematic patient-level benchmark defines internally derived TCGA estimates under one fixed pretrained TITAN representation and constructs compact research models for future locked evaluation. Its contribution is methodological and resource-oriented rather than mutation-target novelty. No independent performance evidence is presented, and clinical interpretation or application is not supported.</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Breadth alone is not the gap. Fu et al. analysed 17,355 slides across 28 cancers [4], Kather et al. applied one workflow to more than 5,000 patients across 14 cancers [5], Saldanha et al. externally tested mutation models across seven matched TCGA and CPTAC cancers [11], and Arslan et al. trained 12,093 models for 4,031 genomic, transcriptomic, proteomic and clinical biomarkers in 8,890 TCGA patients across the same 32 cancers [13]. The present study consequently does not claim the first pan-cancer molecular screen, a larger endpoint catalogue, or general mutation-target novelty.</w:t>
      </w:r>
    </w:p>
    <w:p>
      <w:r>
        <w:t>The narrower unresolved gap is a reproducible benchmark that applies one fixed pretrained representation to every target; deterministically aggregates slides before outcome matching; performs nested validation with the patient as the unit; preserves tested-negative and sample-size-ineligible results; reports target-level tissue-source-site sensitivity; models selected immune and genomic-context measurements continuously; and constructs compact fitted predictors with research-use provenance metadata. These design and resource features—not unprecedented endpoint classes—define the contribution of this study (Table 1).</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 latent-variable method suited to correlated high-dimensional predictors [17,18].</w:t>
      </w:r>
    </w:p>
    <w:p>
      <w:r>
        <w:t>A practical feature of the fitted analysis is model portability. A PLS or PLS–LDA predictor can be distributed as preprocessing parameters, latent-variable weights, regression coefficients and LDA parameters. Prediction therefore does not require release of the patient-level training embeddings or outcomes. This supports external research testing while minimising distribution of patient-level data, but does not itself establish privacy, licensing compatibility or transportability.</w:t>
      </w:r>
    </w:p>
    <w:p>
      <w:r>
        <w:t>The primary question was cancer-specific: which individual mutations, inflammatory measurements, oncogenic pathways, MSI phenotypes, aneuploidy measures and fusions are predictable within each cancer? Molecular subtype association was not analysed. PLS–LDA was preferred for individual binary molecular endpoints. The methodological PLS1–PLS2 comparison for correlated inflammatory panels is reported in the Supplementary Material.</w:t>
      </w:r>
    </w:p>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Caption"/>
      </w:pPr>
      <w:r>
        <w:t>Table 1. Comparison with major pan-cancer histology–molecular prediction studies. Panel A summarises cohort, endpoint and representation design; Panel B summarises validation, robustness, reporting and reusable predictor availability.</w:t>
      </w:r>
    </w:p>
    <w:p>
      <w:pPr>
        <w:pStyle w:val="Caption"/>
      </w:pPr>
      <w:r>
        <w:t>Panel A. Cohort, endpoints, representation and patient aggregation.</w:t>
      </w:r>
    </w:p>
    <w:tbl>
      <w:tblPr>
        <w:tblStyle w:val="TableGrid"/>
        <w:tblW w:type="auto" w:w="0"/>
        <w:jc w:val="center"/>
        <w:tblLook w:firstColumn="1" w:firstRow="1" w:lastColumn="0" w:lastRow="0" w:noHBand="0" w:noVBand="1" w:val="04A0"/>
      </w:tblPr>
      <w:tblGrid>
        <w:gridCol w:w="3028"/>
        <w:gridCol w:w="3028"/>
        <w:gridCol w:w="3028"/>
        <w:gridCol w:w="3028"/>
        <w:gridCol w:w="3028"/>
      </w:tblGrid>
      <w:tr>
        <w:trPr>
          <w:tblHeader w:val="true"/>
          <w:cantSplit/>
        </w:trPr>
        <w:tc>
          <w:tcPr>
            <w:tcW w:type="dxa" w:w="1701"/>
          </w:tcPr>
          <w:p>
            <w:r>
              <w:rPr>
                <w:b/>
                <w:sz w:val="17"/>
              </w:rPr>
              <w:t>Study</w:t>
            </w:r>
          </w:p>
        </w:tc>
        <w:tc>
          <w:tcPr>
            <w:tcW w:type="dxa" w:w="2268"/>
          </w:tcPr>
          <w:p>
            <w:r>
              <w:rPr>
                <w:b/>
                <w:sz w:val="17"/>
              </w:rPr>
              <w:t>Patients; cancers</w:t>
            </w:r>
          </w:p>
        </w:tc>
        <w:tc>
          <w:tcPr>
            <w:tcW w:type="dxa" w:w="1701"/>
          </w:tcPr>
          <w:p>
            <w:r>
              <w:rPr>
                <w:b/>
                <w:sz w:val="17"/>
              </w:rPr>
              <w:t>Slides</w:t>
            </w:r>
          </w:p>
        </w:tc>
        <w:tc>
          <w:tcPr>
            <w:tcW w:type="dxa" w:w="4252"/>
          </w:tcPr>
          <w:p>
            <w:r>
              <w:rPr>
                <w:b/>
                <w:sz w:val="17"/>
              </w:rPr>
              <w:t>Endpoint classes</w:t>
            </w:r>
          </w:p>
        </w:tc>
        <w:tc>
          <w:tcPr>
            <w:tcW w:type="dxa" w:w="5102"/>
          </w:tcPr>
          <w:p>
            <w:r>
              <w:rPr>
                <w:b/>
                <w:sz w:val="17"/>
              </w:rPr>
              <w:t>Representation; patient aggregation</w:t>
            </w:r>
          </w:p>
        </w:tc>
      </w:tr>
      <w:tr>
        <w:trPr>
          <w:cantSplit/>
        </w:trPr>
        <w:tc>
          <w:tcPr>
            <w:tcW w:type="dxa" w:w="1701"/>
            <w:vAlign w:val="center"/>
          </w:tcPr>
          <w:p>
            <w:r>
              <w:rPr>
                <w:sz w:val="16"/>
              </w:rPr>
              <w:t>Fu et al. [4]</w:t>
            </w:r>
          </w:p>
        </w:tc>
        <w:tc>
          <w:tcPr>
            <w:tcW w:type="dxa" w:w="2268"/>
            <w:vAlign w:val="center"/>
          </w:tcPr>
          <w:p>
            <w:r>
              <w:rPr>
                <w:sz w:val="16"/>
              </w:rPr>
              <w:t>Not reported as one total in the main article; 28 cancers</w:t>
            </w:r>
          </w:p>
        </w:tc>
        <w:tc>
          <w:tcPr>
            <w:tcW w:type="dxa" w:w="1701"/>
            <w:vAlign w:val="center"/>
          </w:tcPr>
          <w:p>
            <w:r>
              <w:rPr>
                <w:sz w:val="16"/>
              </w:rPr>
              <w:t>17,355</w:t>
            </w:r>
          </w:p>
        </w:tc>
        <w:tc>
          <w:tcPr>
            <w:tcW w:type="dxa" w:w="4252"/>
            <w:vAlign w:val="center"/>
          </w:tcPr>
          <w:p>
            <w:r>
              <w:rPr>
                <w:sz w:val="16"/>
              </w:rPr>
              <w:t>Cancer and tissue class; mutations; whole-genome duplication and copy-number alterations; transcriptomic and tumour-composition features; prognosis</w:t>
            </w:r>
          </w:p>
        </w:tc>
        <w:tc>
          <w:tcPr>
            <w:tcW w:type="dxa" w:w="5102"/>
            <w:vAlign w:val="center"/>
          </w:tcPr>
          <w:p>
            <w:r>
              <w:rPr>
                <w:sz w:val="16"/>
              </w:rPr>
              <w:t>Inception-v4 deep-transfer image features (1,536 dimensions). A deterministic pre-model patient-vector pooling rule was not described in the main article</w:t>
            </w:r>
          </w:p>
        </w:tc>
      </w:tr>
      <w:tr>
        <w:trPr>
          <w:cantSplit/>
        </w:trPr>
        <w:tc>
          <w:tcPr>
            <w:tcW w:type="dxa" w:w="1701"/>
            <w:vAlign w:val="center"/>
          </w:tcPr>
          <w:p>
            <w:r>
              <w:rPr>
                <w:sz w:val="16"/>
              </w:rPr>
              <w:t>Kather et al. [5]</w:t>
            </w:r>
          </w:p>
        </w:tc>
        <w:tc>
          <w:tcPr>
            <w:tcW w:type="dxa" w:w="2268"/>
            <w:vAlign w:val="center"/>
          </w:tcPr>
          <w:p>
            <w:r>
              <w:rPr>
                <w:sz w:val="16"/>
              </w:rPr>
              <w:t>&gt;5,000; 14 cancers</w:t>
            </w:r>
          </w:p>
        </w:tc>
        <w:tc>
          <w:tcPr>
            <w:tcW w:type="dxa" w:w="1701"/>
            <w:vAlign w:val="center"/>
          </w:tcPr>
          <w:p>
            <w:r>
              <w:rPr>
                <w:sz w:val="16"/>
              </w:rPr>
              <w:t>Not reported as one total in the main article</w:t>
            </w:r>
          </w:p>
        </w:tc>
        <w:tc>
          <w:tcPr>
            <w:tcW w:type="dxa" w:w="4252"/>
            <w:vAlign w:val="center"/>
          </w:tcPr>
          <w:p>
            <w:r>
              <w:rPr>
                <w:sz w:val="16"/>
              </w:rPr>
              <w:t>Mutations; oncogenic drivers; molecular subtypes and expression signatures; standard-of-care biomarkers</w:t>
            </w:r>
          </w:p>
        </w:tc>
        <w:tc>
          <w:tcPr>
            <w:tcW w:type="dxa" w:w="5102"/>
            <w:vAlign w:val="center"/>
          </w:tcPr>
          <w:p>
            <w:r>
              <w:rPr>
                <w:sz w:val="16"/>
              </w:rPr>
              <w:t>Task-specific CNN workflow using tumour regions and tile aggregation. Tile predictions aggregated to the patient; patients, not tiles, assigned to folds</w:t>
            </w:r>
          </w:p>
        </w:tc>
      </w:tr>
      <w:tr>
        <w:trPr>
          <w:cantSplit/>
        </w:trPr>
        <w:tc>
          <w:tcPr>
            <w:tcW w:type="dxa" w:w="1701"/>
            <w:vAlign w:val="center"/>
          </w:tcPr>
          <w:p>
            <w:r>
              <w:rPr>
                <w:sz w:val="16"/>
              </w:rPr>
              <w:t>Saldanha et al. [11]</w:t>
            </w:r>
          </w:p>
        </w:tc>
        <w:tc>
          <w:tcPr>
            <w:tcW w:type="dxa" w:w="2268"/>
            <w:vAlign w:val="center"/>
          </w:tcPr>
          <w:p>
            <w:r>
              <w:rPr>
                <w:sz w:val="16"/>
              </w:rPr>
              <w:t>3,743 TCGA; 776 CPTAC; 7 cancers</w:t>
            </w:r>
          </w:p>
        </w:tc>
        <w:tc>
          <w:tcPr>
            <w:tcW w:type="dxa" w:w="1701"/>
            <w:vAlign w:val="center"/>
          </w:tcPr>
          <w:p>
            <w:r>
              <w:rPr>
                <w:sz w:val="16"/>
              </w:rPr>
              <w:t>Not reported as one total in the main article</w:t>
            </w:r>
          </w:p>
        </w:tc>
        <w:tc>
          <w:tcPr>
            <w:tcW w:type="dxa" w:w="4252"/>
            <w:vAlign w:val="center"/>
          </w:tcPr>
          <w:p>
            <w:r>
              <w:rPr>
                <w:sz w:val="16"/>
              </w:rPr>
              <w:t>Somatic alterations in eligible OncoKB oncogenes and tumour-suppressor genes</w:t>
            </w:r>
          </w:p>
        </w:tc>
        <w:tc>
          <w:tcPr>
            <w:tcW w:type="dxa" w:w="5102"/>
            <w:vAlign w:val="center"/>
          </w:tcPr>
          <w:p>
            <w:r>
              <w:rPr>
                <w:sz w:val="16"/>
              </w:rPr>
              <w:t>RetCCL self-supervised tile features plus attention-based multiple-instance learning. Attention aggregation yielded patient-level predictions; a deterministic multi-slide pooling rule was not specified in the main report</w:t>
            </w:r>
          </w:p>
        </w:tc>
      </w:tr>
      <w:tr>
        <w:trPr>
          <w:cantSplit/>
        </w:trPr>
        <w:tc>
          <w:tcPr>
            <w:tcW w:type="dxa" w:w="1701"/>
            <w:vAlign w:val="center"/>
          </w:tcPr>
          <w:p>
            <w:r>
              <w:rPr>
                <w:sz w:val="16"/>
              </w:rPr>
              <w:t>Arslan et al. [13]</w:t>
            </w:r>
          </w:p>
        </w:tc>
        <w:tc>
          <w:tcPr>
            <w:tcW w:type="dxa" w:w="2268"/>
            <w:vAlign w:val="center"/>
          </w:tcPr>
          <w:p>
            <w:r>
              <w:rPr>
                <w:sz w:val="16"/>
              </w:rPr>
              <w:t>8,890 TCGA; 1,329 CPTAC; 32 TCGA; 7 CPTAC cancers</w:t>
            </w:r>
          </w:p>
        </w:tc>
        <w:tc>
          <w:tcPr>
            <w:tcW w:type="dxa" w:w="1701"/>
            <w:vAlign w:val="center"/>
          </w:tcPr>
          <w:p>
            <w:r>
              <w:rPr>
                <w:sz w:val="16"/>
              </w:rPr>
              <w:t>10,954 TCGA; 3,481 CPTAC</w:t>
            </w:r>
          </w:p>
        </w:tc>
        <w:tc>
          <w:tcPr>
            <w:tcW w:type="dxa" w:w="4252"/>
            <w:vAlign w:val="center"/>
          </w:tcPr>
          <w:p>
            <w:r>
              <w:rPr>
                <w:sz w:val="16"/>
              </w:rPr>
              <w:t>4,031 genomic, transcriptomic, proteomic, standard-of-care, subtype, signature, clinical-outcome and treatment-response biomarkers; 12,093 TCGA models</w:t>
            </w:r>
          </w:p>
        </w:tc>
        <w:tc>
          <w:tcPr>
            <w:tcW w:type="dxa" w:w="5102"/>
            <w:vAlign w:val="center"/>
          </w:tcPr>
          <w:p>
            <w:r>
              <w:rPr>
                <w:sz w:val="16"/>
              </w:rPr>
              <w:t>Target-specific ResNet34 encoder-decoder CNNs trained from scratch. Tile scores averaged to slides and slide scores averaged within patient for patient-level AUROC; patient-level folds</w:t>
            </w:r>
          </w:p>
        </w:tc>
      </w:tr>
      <w:tr>
        <w:trPr>
          <w:cantSplit/>
        </w:trPr>
        <w:tc>
          <w:tcPr>
            <w:tcW w:type="dxa" w:w="1701"/>
            <w:vAlign w:val="center"/>
          </w:tcPr>
          <w:p>
            <w:r>
              <w:rPr>
                <w:sz w:val="16"/>
              </w:rPr>
              <w:t>Present study</w:t>
            </w:r>
          </w:p>
        </w:tc>
        <w:tc>
          <w:tcPr>
            <w:tcW w:type="dxa" w:w="2268"/>
            <w:vAlign w:val="center"/>
          </w:tcPr>
          <w:p>
            <w:r>
              <w:rPr>
                <w:sz w:val="16"/>
              </w:rPr>
              <w:t>9,404; 32 cancers</w:t>
            </w:r>
          </w:p>
        </w:tc>
        <w:tc>
          <w:tcPr>
            <w:tcW w:type="dxa" w:w="1701"/>
            <w:vAlign w:val="center"/>
          </w:tcPr>
          <w:p>
            <w:r>
              <w:rPr>
                <w:sz w:val="16"/>
              </w:rPr>
              <w:t>11,449</w:t>
            </w:r>
          </w:p>
        </w:tc>
        <w:tc>
          <w:tcPr>
            <w:tcW w:type="dxa" w:w="4252"/>
            <w:vAlign w:val="center"/>
          </w:tcPr>
          <w:p>
            <w:r>
              <w:rPr>
                <w:sz w:val="16"/>
              </w:rPr>
              <w:t>1,614 continuous and 459 binary cancer-endpoint pairs: immune and genomic-context scores; mutations; pathways; MSI; aneuploidy; fusions</w:t>
            </w:r>
          </w:p>
        </w:tc>
        <w:tc>
          <w:tcPr>
            <w:tcW w:type="dxa" w:w="5102"/>
            <w:vAlign w:val="center"/>
          </w:tcPr>
          <w:p>
            <w:r>
              <w:rPr>
                <w:sz w:val="16"/>
              </w:rPr>
              <w:t>One fixed pretrained 768-dimensional TITAN whole-slide representation with PLS1 or PLS-LDA. All eligible diagnostic slides deterministically mean-pooled before outcome matching; one vector and one fold assignment per patient</w:t>
            </w:r>
          </w:p>
        </w:tc>
      </w:tr>
    </w:tbl>
    <w:p/>
    <w:p>
      <w:pPr>
        <w:pStyle w:val="Caption"/>
      </w:pPr>
      <w:r>
        <w:t>Panel B. Validation, site sensitivity, negative-result reporting and predictor availability.</w:t>
      </w:r>
    </w:p>
    <w:tbl>
      <w:tblPr>
        <w:tblStyle w:val="TableGrid"/>
        <w:tblW w:type="auto" w:w="0"/>
        <w:jc w:val="center"/>
        <w:tblLook w:firstColumn="1" w:firstRow="1" w:lastColumn="0" w:lastRow="0" w:noHBand="0" w:noVBand="1" w:val="04A0"/>
      </w:tblPr>
      <w:tblGrid>
        <w:gridCol w:w="2523"/>
        <w:gridCol w:w="2523"/>
        <w:gridCol w:w="2523"/>
        <w:gridCol w:w="2523"/>
        <w:gridCol w:w="2523"/>
        <w:gridCol w:w="2523"/>
      </w:tblGrid>
      <w:tr>
        <w:trPr>
          <w:tblHeader w:val="true"/>
          <w:cantSplit/>
        </w:trPr>
        <w:tc>
          <w:tcPr>
            <w:tcW w:type="dxa" w:w="1701"/>
          </w:tcPr>
          <w:p>
            <w:r>
              <w:rPr>
                <w:b/>
                <w:sz w:val="17"/>
              </w:rPr>
              <w:t>Study</w:t>
            </w:r>
          </w:p>
        </w:tc>
        <w:tc>
          <w:tcPr>
            <w:tcW w:type="dxa" w:w="2665"/>
          </w:tcPr>
          <w:p>
            <w:r>
              <w:rPr>
                <w:b/>
                <w:sz w:val="17"/>
              </w:rPr>
              <w:t>Validation design</w:t>
            </w:r>
          </w:p>
        </w:tc>
        <w:tc>
          <w:tcPr>
            <w:tcW w:type="dxa" w:w="2154"/>
          </w:tcPr>
          <w:p>
            <w:r>
              <w:rPr>
                <w:b/>
                <w:sz w:val="17"/>
              </w:rPr>
              <w:t>Site sensitivity</w:t>
            </w:r>
          </w:p>
        </w:tc>
        <w:tc>
          <w:tcPr>
            <w:tcW w:type="dxa" w:w="2835"/>
          </w:tcPr>
          <w:p>
            <w:r>
              <w:rPr>
                <w:b/>
                <w:sz w:val="17"/>
              </w:rPr>
              <w:t>External validation</w:t>
            </w:r>
          </w:p>
        </w:tc>
        <w:tc>
          <w:tcPr>
            <w:tcW w:type="dxa" w:w="3118"/>
          </w:tcPr>
          <w:p>
            <w:r>
              <w:rPr>
                <w:b/>
                <w:sz w:val="17"/>
              </w:rPr>
              <w:t>Negative/ineligible reporting</w:t>
            </w:r>
          </w:p>
        </w:tc>
        <w:tc>
          <w:tcPr>
            <w:tcW w:type="dxa" w:w="2551"/>
          </w:tcPr>
          <w:p>
            <w:r>
              <w:rPr>
                <w:b/>
                <w:sz w:val="17"/>
              </w:rPr>
              <w:t>Fitted predictors</w:t>
            </w:r>
          </w:p>
        </w:tc>
      </w:tr>
      <w:tr>
        <w:trPr>
          <w:cantSplit/>
        </w:trPr>
        <w:tc>
          <w:tcPr>
            <w:tcW w:type="dxa" w:w="1701"/>
            <w:vAlign w:val="center"/>
          </w:tcPr>
          <w:p>
            <w:r>
              <w:rPr>
                <w:sz w:val="16"/>
              </w:rPr>
              <w:t>Fu et al. [4]</w:t>
            </w:r>
          </w:p>
        </w:tc>
        <w:tc>
          <w:tcPr>
            <w:tcW w:type="dxa" w:w="2665"/>
            <w:vAlign w:val="center"/>
          </w:tcPr>
          <w:p>
            <w:r>
              <w:rPr>
                <w:sz w:val="16"/>
              </w:rPr>
              <w:t>Internal TCGA analyses; not nested patient-level cross-validation</w:t>
            </w:r>
          </w:p>
        </w:tc>
        <w:tc>
          <w:tcPr>
            <w:tcW w:type="dxa" w:w="2154"/>
            <w:vAlign w:val="center"/>
          </w:tcPr>
          <w:p>
            <w:r>
              <w:rPr>
                <w:sz w:val="16"/>
              </w:rPr>
              <w:t>No target-level tissue-source-site analysis</w:t>
            </w:r>
          </w:p>
        </w:tc>
        <w:tc>
          <w:tcPr>
            <w:tcW w:type="dxa" w:w="2835"/>
            <w:vAlign w:val="center"/>
          </w:tcPr>
          <w:p>
            <w:r>
              <w:rPr>
                <w:sz w:val="16"/>
              </w:rPr>
              <w:t>No independent cohort for the pan-cancer molecular screen; selected breast prognostic analyses used METABRIC</w:t>
            </w:r>
          </w:p>
        </w:tc>
        <w:tc>
          <w:tcPr>
            <w:tcW w:type="dxa" w:w="3118"/>
            <w:vAlign w:val="center"/>
          </w:tcPr>
          <w:p>
            <w:r>
              <w:rPr>
                <w:sz w:val="16"/>
              </w:rPr>
              <w:t>Broad association and performance landscape; no explicit tested-negative versus sample-size-ineligible taxonomy</w:t>
            </w:r>
          </w:p>
        </w:tc>
        <w:tc>
          <w:tcPr>
            <w:tcW w:type="dxa" w:w="2551"/>
            <w:vAlign w:val="center"/>
          </w:tcPr>
          <w:p>
            <w:r>
              <w:rPr>
                <w:sz w:val="16"/>
              </w:rPr>
              <w:t>Code, trained feature extractor and extracted image features released; no target-specific fitted predictor library identified</w:t>
            </w:r>
          </w:p>
        </w:tc>
      </w:tr>
      <w:tr>
        <w:trPr>
          <w:cantSplit/>
        </w:trPr>
        <w:tc>
          <w:tcPr>
            <w:tcW w:type="dxa" w:w="1701"/>
            <w:vAlign w:val="center"/>
          </w:tcPr>
          <w:p>
            <w:r>
              <w:rPr>
                <w:sz w:val="16"/>
              </w:rPr>
              <w:t>Kather et al. [5]</w:t>
            </w:r>
          </w:p>
        </w:tc>
        <w:tc>
          <w:tcPr>
            <w:tcW w:type="dxa" w:w="2665"/>
            <w:vAlign w:val="center"/>
          </w:tcPr>
          <w:p>
            <w:r>
              <w:rPr>
                <w:sz w:val="16"/>
              </w:rPr>
              <w:t>Three-fold patient-level cross-validation</w:t>
            </w:r>
          </w:p>
        </w:tc>
        <w:tc>
          <w:tcPr>
            <w:tcW w:type="dxa" w:w="2154"/>
            <w:vAlign w:val="center"/>
          </w:tcPr>
          <w:p>
            <w:r>
              <w:rPr>
                <w:sz w:val="16"/>
              </w:rPr>
              <w:t>No target-level tissue-source-site analysis</w:t>
            </w:r>
          </w:p>
        </w:tc>
        <w:tc>
          <w:tcPr>
            <w:tcW w:type="dxa" w:w="2835"/>
            <w:vAlign w:val="center"/>
          </w:tcPr>
          <w:p>
            <w:r>
              <w:rPr>
                <w:sz w:val="16"/>
              </w:rPr>
              <w:t>Selected targets externally tested, including BRAF and CIMP in 408 DACHS colorectal cases</w:t>
            </w:r>
          </w:p>
        </w:tc>
        <w:tc>
          <w:tcPr>
            <w:tcW w:type="dxa" w:w="3118"/>
            <w:vAlign w:val="center"/>
          </w:tcPr>
          <w:p>
            <w:r>
              <w:rPr>
                <w:sz w:val="16"/>
              </w:rPr>
              <w:t>Tested-target results and FDR reported; no explicit sample-size-ineligible taxonomy comparable with the present study</w:t>
            </w:r>
          </w:p>
        </w:tc>
        <w:tc>
          <w:tcPr>
            <w:tcW w:type="dxa" w:w="2551"/>
            <w:vAlign w:val="center"/>
          </w:tcPr>
          <w:p>
            <w:r>
              <w:rPr>
                <w:sz w:val="16"/>
              </w:rPr>
              <w:t>Workflow and source code released; no pan-cancer fitted predictor library identified</w:t>
            </w:r>
          </w:p>
        </w:tc>
      </w:tr>
      <w:tr>
        <w:trPr>
          <w:cantSplit/>
        </w:trPr>
        <w:tc>
          <w:tcPr>
            <w:tcW w:type="dxa" w:w="1701"/>
            <w:vAlign w:val="center"/>
          </w:tcPr>
          <w:p>
            <w:r>
              <w:rPr>
                <w:sz w:val="16"/>
              </w:rPr>
              <w:t>Saldanha et al. [11]</w:t>
            </w:r>
          </w:p>
        </w:tc>
        <w:tc>
          <w:tcPr>
            <w:tcW w:type="dxa" w:w="2665"/>
            <w:vAlign w:val="center"/>
          </w:tcPr>
          <w:p>
            <w:r>
              <w:rPr>
                <w:sz w:val="16"/>
              </w:rPr>
              <w:t>Five replicate experiments in TCGA with locked evaluation in CPTAC</w:t>
            </w:r>
          </w:p>
        </w:tc>
        <w:tc>
          <w:tcPr>
            <w:tcW w:type="dxa" w:w="2154"/>
            <w:vAlign w:val="center"/>
          </w:tcPr>
          <w:p>
            <w:r>
              <w:rPr>
                <w:sz w:val="16"/>
              </w:rPr>
              <w:t>No target-level tissue-source-site analysis</w:t>
            </w:r>
          </w:p>
        </w:tc>
        <w:tc>
          <w:tcPr>
            <w:tcW w:type="dxa" w:w="2835"/>
            <w:vAlign w:val="center"/>
          </w:tcPr>
          <w:p>
            <w:r>
              <w:rPr>
                <w:sz w:val="16"/>
              </w:rPr>
              <w:t>Direct TCGA-to-CPTAC testing across seven matched cancers</w:t>
            </w:r>
          </w:p>
        </w:tc>
        <w:tc>
          <w:tcPr>
            <w:tcW w:type="dxa" w:w="3118"/>
            <w:vAlign w:val="center"/>
          </w:tcPr>
          <w:p>
            <w:r>
              <w:rPr>
                <w:sz w:val="16"/>
              </w:rPr>
              <w:t>Analysed-gene outputs reported after a minimum-25-mutant rule; no explicit tested-negative versus ineligible taxonomy</w:t>
            </w:r>
          </w:p>
        </w:tc>
        <w:tc>
          <w:tcPr>
            <w:tcW w:type="dxa" w:w="2551"/>
            <w:vAlign w:val="center"/>
          </w:tcPr>
          <w:p>
            <w:r>
              <w:rPr>
                <w:sz w:val="16"/>
              </w:rPr>
              <w:t>Open-source pipeline released; no fitted pan-cancer predictor library identified</w:t>
            </w:r>
          </w:p>
        </w:tc>
      </w:tr>
      <w:tr>
        <w:trPr>
          <w:cantSplit/>
        </w:trPr>
        <w:tc>
          <w:tcPr>
            <w:tcW w:type="dxa" w:w="1701"/>
            <w:vAlign w:val="center"/>
          </w:tcPr>
          <w:p>
            <w:r>
              <w:rPr>
                <w:sz w:val="16"/>
              </w:rPr>
              <w:t>Arslan et al. [13]</w:t>
            </w:r>
          </w:p>
        </w:tc>
        <w:tc>
          <w:tcPr>
            <w:tcW w:type="dxa" w:w="2665"/>
            <w:vAlign w:val="center"/>
          </w:tcPr>
          <w:p>
            <w:r>
              <w:rPr>
                <w:sz w:val="16"/>
              </w:rPr>
              <w:t>Three-fold patient-level cross-validation; not nested</w:t>
            </w:r>
          </w:p>
        </w:tc>
        <w:tc>
          <w:tcPr>
            <w:tcW w:type="dxa" w:w="2154"/>
            <w:vAlign w:val="center"/>
          </w:tcPr>
          <w:p>
            <w:r>
              <w:rPr>
                <w:sz w:val="16"/>
              </w:rPr>
              <w:t>No target-level tissue-source-site analysis</w:t>
            </w:r>
          </w:p>
        </w:tc>
        <w:tc>
          <w:tcPr>
            <w:tcW w:type="dxa" w:w="2835"/>
            <w:vAlign w:val="center"/>
          </w:tcPr>
          <w:p>
            <w:r>
              <w:rPr>
                <w:sz w:val="16"/>
              </w:rPr>
              <w:t>CPTAC replication for matched subsets; not reported as locked transfer of every TCGA model</w:t>
            </w:r>
          </w:p>
        </w:tc>
        <w:tc>
          <w:tcPr>
            <w:tcW w:type="dxa" w:w="3118"/>
            <w:vAlign w:val="center"/>
          </w:tcPr>
          <w:p>
            <w:r>
              <w:rPr>
                <w:sz w:val="16"/>
              </w:rPr>
              <w:t>Endpoint-level outputs and significance reported; targets with fewer than 10 positives excluded, without a separate tested-negative/ineligible taxonomy</w:t>
            </w:r>
          </w:p>
        </w:tc>
        <w:tc>
          <w:tcPr>
            <w:tcW w:type="dxa" w:w="2551"/>
            <w:vAlign w:val="center"/>
          </w:tcPr>
          <w:p>
            <w:r>
              <w:rPr>
                <w:sz w:val="16"/>
              </w:rPr>
              <w:t>Code and result outputs released; no reusable target-specific fitted model library identified</w:t>
            </w:r>
          </w:p>
        </w:tc>
      </w:tr>
      <w:tr>
        <w:trPr>
          <w:cantSplit/>
        </w:trPr>
        <w:tc>
          <w:tcPr>
            <w:tcW w:type="dxa" w:w="1701"/>
            <w:vAlign w:val="center"/>
          </w:tcPr>
          <w:p>
            <w:r>
              <w:rPr>
                <w:sz w:val="16"/>
              </w:rPr>
              <w:t>Present study</w:t>
            </w:r>
          </w:p>
        </w:tc>
        <w:tc>
          <w:tcPr>
            <w:tcW w:type="dxa" w:w="2665"/>
            <w:vAlign w:val="center"/>
          </w:tcPr>
          <w:p>
            <w:r>
              <w:rPr>
                <w:sz w:val="16"/>
              </w:rPr>
              <w:t>Nested patient-level 5x5 cross-validation; permutations; five independently seeded repeats</w:t>
            </w:r>
          </w:p>
        </w:tc>
        <w:tc>
          <w:tcPr>
            <w:tcW w:type="dxa" w:w="2154"/>
            <w:vAlign w:val="center"/>
          </w:tcPr>
          <w:p>
            <w:r>
              <w:rPr>
                <w:sz w:val="16"/>
              </w:rPr>
              <w:t>Target-level tissue-source-site-grouped sensitivity for every screen-positive model</w:t>
            </w:r>
          </w:p>
        </w:tc>
        <w:tc>
          <w:tcPr>
            <w:tcW w:type="dxa" w:w="2835"/>
            <w:vAlign w:val="center"/>
          </w:tcPr>
          <w:p>
            <w:r>
              <w:rPr>
                <w:sz w:val="16"/>
              </w:rPr>
              <w:t>None; TCGA-only internal validation</w:t>
            </w:r>
          </w:p>
        </w:tc>
        <w:tc>
          <w:tcPr>
            <w:tcW w:type="dxa" w:w="3118"/>
            <w:vAlign w:val="center"/>
          </w:tcPr>
          <w:p>
            <w:r>
              <w:rPr>
                <w:sz w:val="16"/>
              </w:rPr>
              <w:t>Complete machine-readable tested-negative and sample-size-ineligible results with outcome-specific denominators</w:t>
            </w:r>
          </w:p>
        </w:tc>
        <w:tc>
          <w:tcPr>
            <w:tcW w:type="dxa" w:w="2551"/>
            <w:vAlign w:val="center"/>
          </w:tcPr>
          <w:p>
            <w:r>
              <w:rPr>
                <w:sz w:val="16"/>
              </w:rPr>
              <w:t>323 compact research-only fitted PLS and PLS-LDA predictors with feature order, checksums, metadata and inference code; artifacts currently access-controlled and not claimed as publicly released</w:t>
            </w:r>
          </w:p>
        </w:tc>
      </w:tr>
    </w:tbl>
    <w:p/>
    <w:p>
      <w:r>
        <w:t>NR, not reported as a single total in the main article. 'No fitted predictor library identified' means that code or outputs may be public, but the primary report did not describe a reusable target-specific fitted-model collection comparable with TITANPred.</w:t>
      </w:r>
    </w:p>
    <w:p>
      <w:pPr>
        <w:sectPr>
          <w:pgSz w:w="16838" w:h="11906" w:orient="landscape"/>
          <w:pgMar w:top="850" w:right="850" w:bottom="850" w:left="850" w:header="720" w:footer="720" w:gutter="0"/>
          <w:cols w:space="720"/>
          <w:docGrid w:linePitch="360"/>
          <w:lnNumType w:countBy="1" w:restart="continuous"/>
          <w:lnNumType w:countBy="1" w:restart="continuous"/>
        </w:sectPr>
      </w:pP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immune measurements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The official gated artifact, TCGA_TITAN_features.pkl, was downloaded from https://huggingface.co/MahmoodLab/TITAN/blob/main/TCGA_TITAN_features.pkl after accepting the upstream terms and converted with the repository script to filename,titan_000,…,titan_767 CSV format; its source and converted-file SHA-256 hashes are retained in the provenance record.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pairs required at least 20 positive and 20 negative patients. Eligibility was decided before modelling and every eligible test remained in its endpoint-family multiplicity denominator.</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and AUROC from continuous LDA scores was secondary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Spearman correlation used observed and held-out continuous predictions.</w:t>
      </w:r>
    </w:p>
    <w:p>
      <w:r>
        <w:t>As a secondary algorithmic benchmark, the 24 manuscript-highlighted models were refitted on the same five repeated outer partitions using ridge-penalised Gaussian regression for continuous endpoints and ridge logistic regression for binary endpoints. Ridge hyperparameters were selected inside each outer training set; binary operating thresholds maximised balanced accuracy using inner out-of-fold probabilities. The primary paired differences were ridge-minus-PLS Q² and balanced accuracy, with AUROC or Spearman correlation retained as secondary metrics. We report the magnitude, interquartile range and 95% paired-repeat interval rather than declaring a winner from counts alone. Because models were selected for this benchmark after the PLS screen, it is a conditional sensitivity analysis and cannot establish screen-wide algorithmic superiority. Ridge was chosen as a simple linear baseline whose fitted coefficients can be exported without retaining training embeddings; nonlinear kernel predictors that require training observations or landmarks at inference did not satisfy that portability constraint.</w:t>
      </w:r>
    </w:p>
    <w:p>
      <w:r>
        <w:t>No class under-sampling, over-sampling or synthetic augmentation was used. LDA used the observed training-fold class priors and returned a class plus an uncalibrated discriminant score, not a probability or clinical-risk threshold. Outcome tables were constructed independently of TITAN feature processing and joined only after patient-level aggregation.</w:t>
      </w:r>
    </w:p>
    <w:p>
      <w:r>
        <w:t>Nested performance was first checkpointed for the complete screen. Only models with Q²≥0.20 or chance-corrected balanced accuracy≥0.20 entered permutation testing. A 99-permutation checkpoint was followed by refinement toward 999 patient-label permutations. During final refinement, evaluation stopped conservatively after 49 exceedances because raw p&lt;0.05 was then impossible even if every remaining null statistic were less extreme; stopped endpoints were assigned p=1. Early-stopped checkpoint jobs resumed from the exact number attempted, so no permutation indices were skipped. Regression extremeness used lower RMSE, whereas classification used higher balanced accuracy. Completed finite p values were (b+1)/(B+1), giving minimum resolution 0.001. Because each disease defines a separate prediction and intended-use population, Benjamini–Hochberg FDR was controlled separately for continuous and binary screens within cancer and prespecified endpoint family [27]; a q-value across cancers within the same outcome type and family was retained as a stricter multiplicity sensitivity. Effect denotes Q² for continuous outcomes and 2×balanced accuracy−1 for binary outcomes. Screen-positive candidates were described as higher effect (primary q&lt;0.05 and effect≥0.40) or moderate effect (primary q&lt;0.05 and effect 0.20–0.39). Screen-negative tested pairs and pairs ineligible by sample-size rules were reported separately. These categories prioritise candidates for further testing and are not clinical grades.</w:t>
      </w:r>
    </w:p>
    <w:p>
      <w:pPr>
        <w:pStyle w:val="Heading2"/>
      </w:pPr>
      <w:r>
        <w:t>Robustness and saved models</w:t>
      </w:r>
    </w:p>
    <w:p>
      <w:r>
        <w:t>Screen-positive models were repeated under five independently seeded nested-CV partitions; each repeat seed governed both fold construction and rSVD. Sensitivity, specificity, balanced accuracy and AUROC were calculated within each repeat for binary endpoints; Q², RMSE and Spearman correlation were calculated within each repeat for continuous endpoints. Reported repeated-CV point estimates were the arithmetic mean of the five repeat-specific metrics, so LDA scores from independently fitted repeats were never pooled onto an assumed common scale. For highlighted models, 1,000 patient-cluster bootstrap resamples retained all five held-out predictions for each sampled patient, recalculated metrics within repeat and then averaged them; percentile 2.5th and 97.5th quantiles formed the 95% intervals. Site-grouped validation assigned all patients sharing a two-character TCGA tissue-source-site code to the same outer fold, preventing a site from appearing in both training and test partitions for that fold.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TITANPred retains the binary LDA score but does not convert it to a probability. In the research-software demonstration, its position is labelled 'TCGA out-of-fold score rank (not probability)' rather than percentile or risk, and is displayed beside total training n, positive and negative counts, prevalence, repeated-CV balanced accuracy and AUROC. Models with fewer than 50 patients in either class receive an explicit limited-class-size warning; this reporting flag does not change the prespecified 20-per-class eligibility rule. Probability calibration was not added post hoc because it would require an independently evaluated or fully nested calibration procedure, which is not available in this TCGA benchmark.</w:t>
      </w:r>
    </w:p>
    <w:p>
      <w:r>
        <w:t>The fitted PLS and PLS–LDA objects contain the learned transformations and coefficients needed for research inference but no patient-level training rows. The access-controlled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target catalogues, out-of-fold prediction summaries, figures and the model registry are organized in the public companion analysis repository [30]. A separate access-controlled GPL-3 R package contains the fitted models, their SHA-256 registry, reference distributions, inference interface and research-software output template [32]. That repository is private and the manuscript does not claim public availability of the fitted artifacts. The artifacts contain learned parameters and training-range summaries but no patient-level training rows. No independent cohort with compatible TITAN features and the required labels was included; every performance estimate is an internally derived TCGA estimate.</w:t>
      </w:r>
    </w:p>
    <w:p>
      <w:pPr>
        <w:pStyle w:val="Heading2"/>
      </w:pPr>
      <w:r>
        <w:t>Prospectively locked protocol for future independent evaluation</w:t>
      </w:r>
    </w:p>
    <w:p>
      <w:r>
        <w:t>After the internal TCGA screen, but before accessing any external features, outcomes or predictions, we fixed a three-model UCEC subset for future independent evaluation: TP53 mutation, genome doubling and continuous aneuploidy score. The exact fitted-object SHA-256 hashes are c39ba2caeefc148e67412647f3e1835dbcd719088a4d379b53068482ebb2ede0, 8f9fd73578189bab5d5c88bb8005415a07b93a662f2b0adb893f0b04e1cc3604 and 0c520d8a9d57dd5af109416c5b82ffb0f0862e3505cd9888965fdeee4aa60f3b, respectively. Their internal performance is selection-conditioned; locking them now does not convert TCGA estimates into external evidence.</w:t>
      </w:r>
    </w:p>
    <w:p>
      <w:r>
        <w:t>A future evaluation must extract every eligible primary-tumour diagnostic slide with the documented CONCH v1.5–TITAN pipeline, apply the same deterministic patient mean pooling, preserve the 768-feature order and use the hashed artifacts without refitting, recalibration, class-prior changes or threshold adjustment. Outcomes must be constructed independently of image predictions using definitions compatible with the TCGA targets; an irreproducible endpoint must be reported as non-evaluable rather than replaced with an externally optimised surrogate. Binary primary performance is balanced accuracy, with AUROC, sensitivity and specificity secondary; continuous primary performance is Q², with RMSE, Spearman correlation, calibration intercept and calibration slope secondary. Patient/slide flow, molecular missingness, exclusions, denominators, uncertainty and all three outcomes—including failures—must be reported. The executable specification and machine-readable lock file are provided in the companion repository.</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S1–S12, Figures S1–S2 and the machine-readable-file inventory are provided in Additional file 1. The two illustrative single-sample TITANPred reports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benchmark evaluated 1,614 continuous and 459 binary cancer–endpoint pairs (Table 2).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2. Eligible cancer–endpoint models and within-cancer screening categories.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Higher effect</w:t>
            </w:r>
          </w:p>
        </w:tc>
        <w:tc>
          <w:tcPr>
            <w:tcW w:type="dxa" w:w="850"/>
          </w:tcPr>
          <w:p>
            <w:r>
              <w:rPr>
                <w:b/>
                <w:sz w:val="17"/>
              </w:rPr>
              <w:t>Moderate effect</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Continuous immune, genomic-context and instability phenotypes</w:t>
      </w:r>
    </w:p>
    <w:p>
      <w:r>
        <w:t>Among continuous targets, 37 were within-cancer screen-positive with higher effects and 182 with moderate effects. The strongest effects were TGCT–TGF-beta Response (0.670); THYM–Th17 Cells (0.638); THCA–Lymphocyte Infiltration Signature Score (0.580); BRCA–Wound Healing (0.527); THCA–TGF-beta Response (0.522); SARC–Macrophage Regulation (0.520); KIRP–Proliferation (0.515); LUAD–Proliferation (0.512); BRCA–Proliferation (0.510); THCA–Th1 Cells (0.503). These results were cancer specific: the same endpoint could be strongly predictable in one tumour type and screen-negative in another.</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4952551"/>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4952551"/>
                    </a:xfrm>
                    <a:prstGeom prst="rect"/>
                  </pic:spPr>
                </pic:pic>
              </a:graphicData>
            </a:graphic>
          </wp:inline>
        </w:drawing>
      </w:r>
    </w:p>
    <w:p>
      <w:pPr>
        <w:pStyle w:val="Caption"/>
        <w:jc w:val="center"/>
      </w:pPr>
      <w:r>
        <w:t>Figure 2. Strongest within-cancer screen-positive continuous cancer–endpoint results. Q² is calculated from genuine patient-level outer-fold predictions; all tests remain available in the machine-readable benchmark results.</w:t>
      </w:r>
    </w:p>
    <w:p>
      <w:pPr>
        <w:pStyle w:val="Heading2"/>
      </w:pPr>
      <w:r>
        <w:t>Binary molecular phenotypes</w:t>
      </w:r>
    </w:p>
    <w:p>
      <w:r>
        <w:t>The binary screen yielded 29 within-cancer higher-effect and 75 moderate-effect candidates. Leading results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jc w:val="center"/>
      </w:pPr>
      <w:r>
        <w:drawing>
          <wp:inline xmlns:a="http://schemas.openxmlformats.org/drawingml/2006/main" xmlns:pic="http://schemas.openxmlformats.org/drawingml/2006/picture">
            <wp:extent cx="5806440" cy="4873262"/>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4873262"/>
                    </a:xfrm>
                    <a:prstGeom prst="rect"/>
                  </pic:spPr>
                </pic:pic>
              </a:graphicData>
            </a:graphic>
          </wp:inline>
        </w:drawing>
      </w:r>
    </w:p>
    <w:p>
      <w:pPr>
        <w:pStyle w:val="Caption"/>
        <w:jc w:val="center"/>
      </w:pPr>
      <w:r>
        <w:t>Figure 3. Strongest within-cancer screen-positive binary molecular predictions using PLS latent scores and LDA. Point size represents the number of positive patients; colour indicates endpoint family and symbols report across-cancer correction status.</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patient-level nested-CV continuous result (TGCT TGF-beta Response); each point is one patient's observed value and genuine held-out prediction. Panel B shows the binary model with the largest mean repeated-CV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pPr>
        <w:pStyle w:val="Caption"/>
      </w:pPr>
      <w:r>
        <w:t>Table 3. Highlighted repeated nested-cross-validation performance with 95% patient-cluster bootstrap intervals.</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val="true"/>
          <w:cantSplit/>
        </w:trPr>
        <w:tc>
          <w:tcPr>
            <w:tcW w:type="dxa" w:w="1882"/>
          </w:tcPr>
          <w:p>
            <w:r>
              <w:rPr>
                <w:b/>
                <w:sz w:val="17"/>
              </w:rPr>
              <w:t>Cancer–endpoint</w:t>
            </w:r>
          </w:p>
        </w:tc>
        <w:tc>
          <w:tcPr>
            <w:tcW w:type="dxa" w:w="1882"/>
          </w:tcPr>
          <w:p>
            <w:r>
              <w:rPr>
                <w:b/>
                <w:sz w:val="17"/>
              </w:rPr>
              <w:t>Type</w:t>
            </w:r>
          </w:p>
        </w:tc>
        <w:tc>
          <w:tcPr>
            <w:tcW w:type="dxa" w:w="1882"/>
          </w:tcPr>
          <w:p>
            <w:r>
              <w:rPr>
                <w:b/>
                <w:sz w:val="17"/>
              </w:rPr>
              <w:t>Q² or Se/Sp (95% CI)</w:t>
            </w:r>
          </w:p>
        </w:tc>
        <w:tc>
          <w:tcPr>
            <w:tcW w:type="dxa" w:w="1882"/>
          </w:tcPr>
          <w:p>
            <w:r>
              <w:rPr>
                <w:b/>
                <w:sz w:val="17"/>
              </w:rPr>
              <w:t>RMSE or BA (95% CI)</w:t>
            </w:r>
          </w:p>
        </w:tc>
        <w:tc>
          <w:tcPr>
            <w:tcW w:type="dxa" w:w="1882"/>
          </w:tcPr>
          <w:p>
            <w:r>
              <w:rPr>
                <w:b/>
                <w:sz w:val="17"/>
              </w:rPr>
              <w:t>Spearman or AUROC (95% CI)</w:t>
            </w:r>
          </w:p>
        </w:tc>
      </w:tr>
      <w:tr>
        <w:trPr>
          <w:cantSplit/>
        </w:trPr>
        <w:tc>
          <w:tcPr>
            <w:tcW w:type="dxa" w:w="1882"/>
            <w:vAlign w:val="center"/>
          </w:tcPr>
          <w:p>
            <w:r>
              <w:rPr>
                <w:sz w:val="16"/>
              </w:rPr>
              <w:t>TGCT–TGF-beta Response</w:t>
            </w:r>
          </w:p>
        </w:tc>
        <w:tc>
          <w:tcPr>
            <w:tcW w:type="dxa" w:w="1882"/>
            <w:vAlign w:val="center"/>
          </w:tcPr>
          <w:p>
            <w:r>
              <w:rPr>
                <w:sz w:val="16"/>
              </w:rPr>
              <w:t>continuous</w:t>
            </w:r>
          </w:p>
        </w:tc>
        <w:tc>
          <w:tcPr>
            <w:tcW w:type="dxa" w:w="1882"/>
            <w:vAlign w:val="center"/>
          </w:tcPr>
          <w:p>
            <w:r>
              <w:rPr>
                <w:sz w:val="16"/>
              </w:rPr>
              <w:t>0.670 (0.573–0.741)</w:t>
            </w:r>
          </w:p>
        </w:tc>
        <w:tc>
          <w:tcPr>
            <w:tcW w:type="dxa" w:w="1882"/>
            <w:vAlign w:val="center"/>
          </w:tcPr>
          <w:p>
            <w:r>
              <w:rPr>
                <w:sz w:val="16"/>
              </w:rPr>
              <w:t>0.303 (0.269–0.337)</w:t>
            </w:r>
          </w:p>
        </w:tc>
        <w:tc>
          <w:tcPr>
            <w:tcW w:type="dxa" w:w="1882"/>
            <w:vAlign w:val="center"/>
          </w:tcPr>
          <w:p>
            <w:r>
              <w:rPr>
                <w:sz w:val="16"/>
              </w:rPr>
              <w:t>0.791 (0.713–0.842)</w:t>
            </w:r>
          </w:p>
        </w:tc>
      </w:tr>
      <w:tr>
        <w:trPr>
          <w:cantSplit/>
        </w:trPr>
        <w:tc>
          <w:tcPr>
            <w:tcW w:type="dxa" w:w="1882"/>
            <w:vAlign w:val="center"/>
          </w:tcPr>
          <w:p>
            <w:r>
              <w:rPr>
                <w:sz w:val="16"/>
              </w:rPr>
              <w:t>THYM–Th17 Cells</w:t>
            </w:r>
          </w:p>
        </w:tc>
        <w:tc>
          <w:tcPr>
            <w:tcW w:type="dxa" w:w="1882"/>
            <w:vAlign w:val="center"/>
          </w:tcPr>
          <w:p>
            <w:r>
              <w:rPr>
                <w:sz w:val="16"/>
              </w:rPr>
              <w:t>continuous</w:t>
            </w:r>
          </w:p>
        </w:tc>
        <w:tc>
          <w:tcPr>
            <w:tcW w:type="dxa" w:w="1882"/>
            <w:vAlign w:val="center"/>
          </w:tcPr>
          <w:p>
            <w:r>
              <w:rPr>
                <w:sz w:val="16"/>
              </w:rPr>
              <w:t>0.594 (0.455–0.698)</w:t>
            </w:r>
          </w:p>
        </w:tc>
        <w:tc>
          <w:tcPr>
            <w:tcW w:type="dxa" w:w="1882"/>
            <w:vAlign w:val="center"/>
          </w:tcPr>
          <w:p>
            <w:r>
              <w:rPr>
                <w:sz w:val="16"/>
              </w:rPr>
              <w:t>1743.443 (1514.535–1979.481)</w:t>
            </w:r>
          </w:p>
        </w:tc>
        <w:tc>
          <w:tcPr>
            <w:tcW w:type="dxa" w:w="1882"/>
            <w:vAlign w:val="center"/>
          </w:tcPr>
          <w:p>
            <w:r>
              <w:rPr>
                <w:sz w:val="16"/>
              </w:rPr>
              <w:t>0.738 (0.636–0.811)</w:t>
            </w:r>
          </w:p>
        </w:tc>
      </w:tr>
      <w:tr>
        <w:trPr>
          <w:cantSplit/>
        </w:trPr>
        <w:tc>
          <w:tcPr>
            <w:tcW w:type="dxa" w:w="1882"/>
            <w:vAlign w:val="center"/>
          </w:tcPr>
          <w:p>
            <w:r>
              <w:rPr>
                <w:sz w:val="16"/>
              </w:rPr>
              <w:t>THCA–Lymphocyte Infiltration Signature Score</w:t>
            </w:r>
          </w:p>
        </w:tc>
        <w:tc>
          <w:tcPr>
            <w:tcW w:type="dxa" w:w="1882"/>
            <w:vAlign w:val="center"/>
          </w:tcPr>
          <w:p>
            <w:r>
              <w:rPr>
                <w:sz w:val="16"/>
              </w:rPr>
              <w:t>continuous</w:t>
            </w:r>
          </w:p>
        </w:tc>
        <w:tc>
          <w:tcPr>
            <w:tcW w:type="dxa" w:w="1882"/>
            <w:vAlign w:val="center"/>
          </w:tcPr>
          <w:p>
            <w:r>
              <w:rPr>
                <w:sz w:val="16"/>
              </w:rPr>
              <w:t>0.577 (0.511–0.636)</w:t>
            </w:r>
          </w:p>
        </w:tc>
        <w:tc>
          <w:tcPr>
            <w:tcW w:type="dxa" w:w="1882"/>
            <w:vAlign w:val="center"/>
          </w:tcPr>
          <w:p>
            <w:r>
              <w:rPr>
                <w:sz w:val="16"/>
              </w:rPr>
              <w:t>0.781 (0.722–0.844)</w:t>
            </w:r>
          </w:p>
        </w:tc>
        <w:tc>
          <w:tcPr>
            <w:tcW w:type="dxa" w:w="1882"/>
            <w:vAlign w:val="center"/>
          </w:tcPr>
          <w:p>
            <w:r>
              <w:rPr>
                <w:sz w:val="16"/>
              </w:rPr>
              <w:t>0.742 (0.693–0.786)</w:t>
            </w:r>
          </w:p>
        </w:tc>
      </w:tr>
      <w:tr>
        <w:trPr>
          <w:cantSplit/>
        </w:trPr>
        <w:tc>
          <w:tcPr>
            <w:tcW w:type="dxa" w:w="1882"/>
            <w:vAlign w:val="center"/>
          </w:tcPr>
          <w:p>
            <w:r>
              <w:rPr>
                <w:sz w:val="16"/>
              </w:rPr>
              <w:t>BRCA–Wound Healing</w:t>
            </w:r>
          </w:p>
        </w:tc>
        <w:tc>
          <w:tcPr>
            <w:tcW w:type="dxa" w:w="1882"/>
            <w:vAlign w:val="center"/>
          </w:tcPr>
          <w:p>
            <w:r>
              <w:rPr>
                <w:sz w:val="16"/>
              </w:rPr>
              <w:t>continuous</w:t>
            </w:r>
          </w:p>
        </w:tc>
        <w:tc>
          <w:tcPr>
            <w:tcW w:type="dxa" w:w="1882"/>
            <w:vAlign w:val="center"/>
          </w:tcPr>
          <w:p>
            <w:r>
              <w:rPr>
                <w:sz w:val="16"/>
              </w:rPr>
              <w:t>0.528 (0.483–0.569)</w:t>
            </w:r>
          </w:p>
        </w:tc>
        <w:tc>
          <w:tcPr>
            <w:tcW w:type="dxa" w:w="1882"/>
            <w:vAlign w:val="center"/>
          </w:tcPr>
          <w:p>
            <w:r>
              <w:rPr>
                <w:sz w:val="16"/>
              </w:rPr>
              <w:t>0.111 (0.106–0.116)</w:t>
            </w:r>
          </w:p>
        </w:tc>
        <w:tc>
          <w:tcPr>
            <w:tcW w:type="dxa" w:w="1882"/>
            <w:vAlign w:val="center"/>
          </w:tcPr>
          <w:p>
            <w:r>
              <w:rPr>
                <w:sz w:val="16"/>
              </w:rPr>
              <w:t>0.724 (0.694–0.753)</w:t>
            </w:r>
          </w:p>
        </w:tc>
      </w:tr>
      <w:tr>
        <w:trPr>
          <w:cantSplit/>
        </w:trPr>
        <w:tc>
          <w:tcPr>
            <w:tcW w:type="dxa" w:w="1882"/>
            <w:vAlign w:val="center"/>
          </w:tcPr>
          <w:p>
            <w:r>
              <w:rPr>
                <w:sz w:val="16"/>
              </w:rPr>
              <w:t>LGG–TP53</w:t>
            </w:r>
          </w:p>
        </w:tc>
        <w:tc>
          <w:tcPr>
            <w:tcW w:type="dxa" w:w="1882"/>
            <w:vAlign w:val="center"/>
          </w:tcPr>
          <w:p>
            <w:r>
              <w:rPr>
                <w:sz w:val="16"/>
              </w:rPr>
              <w:t>binary</w:t>
            </w:r>
          </w:p>
        </w:tc>
        <w:tc>
          <w:tcPr>
            <w:tcW w:type="dxa" w:w="1882"/>
            <w:vAlign w:val="center"/>
          </w:tcPr>
          <w:p>
            <w:r>
              <w:rPr>
                <w:sz w:val="16"/>
              </w:rPr>
              <w:t>Se 0.839 (0.795–0.877); Sp 0.885 (0.848–0.920)</w:t>
            </w:r>
          </w:p>
        </w:tc>
        <w:tc>
          <w:tcPr>
            <w:tcW w:type="dxa" w:w="1882"/>
            <w:vAlign w:val="center"/>
          </w:tcPr>
          <w:p>
            <w:r>
              <w:rPr>
                <w:sz w:val="16"/>
              </w:rPr>
              <w:t>BA 0.862 (0.833–0.888)</w:t>
            </w:r>
          </w:p>
        </w:tc>
        <w:tc>
          <w:tcPr>
            <w:tcW w:type="dxa" w:w="1882"/>
            <w:vAlign w:val="center"/>
          </w:tcPr>
          <w:p>
            <w:r>
              <w:rPr>
                <w:sz w:val="16"/>
              </w:rPr>
              <w:t>AUROC 0.908 (0.880–0.932)</w:t>
            </w:r>
          </w:p>
        </w:tc>
      </w:tr>
      <w:tr>
        <w:trPr>
          <w:cantSplit/>
        </w:trPr>
        <w:tc>
          <w:tcPr>
            <w:tcW w:type="dxa" w:w="1882"/>
            <w:vAlign w:val="center"/>
          </w:tcPr>
          <w:p>
            <w:r>
              <w:rPr>
                <w:sz w:val="16"/>
              </w:rPr>
              <w:t>THYM–GTF2I</w:t>
            </w:r>
          </w:p>
        </w:tc>
        <w:tc>
          <w:tcPr>
            <w:tcW w:type="dxa" w:w="1882"/>
            <w:vAlign w:val="center"/>
          </w:tcPr>
          <w:p>
            <w:r>
              <w:rPr>
                <w:sz w:val="16"/>
              </w:rPr>
              <w:t>binary</w:t>
            </w:r>
          </w:p>
        </w:tc>
        <w:tc>
          <w:tcPr>
            <w:tcW w:type="dxa" w:w="1882"/>
            <w:vAlign w:val="center"/>
          </w:tcPr>
          <w:p>
            <w:r>
              <w:rPr>
                <w:sz w:val="16"/>
              </w:rPr>
              <w:t>Se 0.878 (0.804–0.940); Sp 0.839 (0.748–0.916)</w:t>
            </w:r>
          </w:p>
        </w:tc>
        <w:tc>
          <w:tcPr>
            <w:tcW w:type="dxa" w:w="1882"/>
            <w:vAlign w:val="center"/>
          </w:tcPr>
          <w:p>
            <w:r>
              <w:rPr>
                <w:sz w:val="16"/>
              </w:rPr>
              <w:t>BA 0.859 (0.803–0.905)</w:t>
            </w:r>
          </w:p>
        </w:tc>
        <w:tc>
          <w:tcPr>
            <w:tcW w:type="dxa" w:w="1882"/>
            <w:vAlign w:val="center"/>
          </w:tcPr>
          <w:p>
            <w:r>
              <w:rPr>
                <w:sz w:val="16"/>
              </w:rPr>
              <w:t>AUROC 0.907 (0.852–0.955)</w:t>
            </w:r>
          </w:p>
        </w:tc>
      </w:tr>
      <w:tr>
        <w:trPr>
          <w:cantSplit/>
        </w:trPr>
        <w:tc>
          <w:tcPr>
            <w:tcW w:type="dxa" w:w="1882"/>
            <w:vAlign w:val="center"/>
          </w:tcPr>
          <w:p>
            <w:r>
              <w:rPr>
                <w:sz w:val="16"/>
              </w:rPr>
              <w:t>READ–TP53</w:t>
            </w:r>
          </w:p>
        </w:tc>
        <w:tc>
          <w:tcPr>
            <w:tcW w:type="dxa" w:w="1882"/>
            <w:vAlign w:val="center"/>
          </w:tcPr>
          <w:p>
            <w:r>
              <w:rPr>
                <w:sz w:val="16"/>
              </w:rPr>
              <w:t>binary</w:t>
            </w:r>
          </w:p>
        </w:tc>
        <w:tc>
          <w:tcPr>
            <w:tcW w:type="dxa" w:w="1882"/>
            <w:vAlign w:val="center"/>
          </w:tcPr>
          <w:p>
            <w:r>
              <w:rPr>
                <w:sz w:val="16"/>
              </w:rPr>
              <w:t>Se 0.912 (0.855–0.966); Sp 0.803 (0.704–0.890)</w:t>
            </w:r>
          </w:p>
        </w:tc>
        <w:tc>
          <w:tcPr>
            <w:tcW w:type="dxa" w:w="1882"/>
            <w:vAlign w:val="center"/>
          </w:tcPr>
          <w:p>
            <w:r>
              <w:rPr>
                <w:sz w:val="16"/>
              </w:rPr>
              <w:t>BA 0.858 (0.801–0.910)</w:t>
            </w:r>
          </w:p>
        </w:tc>
        <w:tc>
          <w:tcPr>
            <w:tcW w:type="dxa" w:w="1882"/>
            <w:vAlign w:val="center"/>
          </w:tcPr>
          <w:p>
            <w:r>
              <w:rPr>
                <w:sz w:val="16"/>
              </w:rPr>
              <w:t>AUROC 0.912 (0.860–0.956)</w:t>
            </w:r>
          </w:p>
        </w:tc>
      </w:tr>
      <w:tr>
        <w:trPr>
          <w:cantSplit/>
        </w:trPr>
        <w:tc>
          <w:tcPr>
            <w:tcW w:type="dxa" w:w="1882"/>
            <w:vAlign w:val="center"/>
          </w:tcPr>
          <w:p>
            <w:r>
              <w:rPr>
                <w:sz w:val="16"/>
              </w:rPr>
              <w:t>THCA–BRAF</w:t>
            </w:r>
          </w:p>
        </w:tc>
        <w:tc>
          <w:tcPr>
            <w:tcW w:type="dxa" w:w="1882"/>
            <w:vAlign w:val="center"/>
          </w:tcPr>
          <w:p>
            <w:r>
              <w:rPr>
                <w:sz w:val="16"/>
              </w:rPr>
              <w:t>binary</w:t>
            </w:r>
          </w:p>
        </w:tc>
        <w:tc>
          <w:tcPr>
            <w:tcW w:type="dxa" w:w="1882"/>
            <w:vAlign w:val="center"/>
          </w:tcPr>
          <w:p>
            <w:r>
              <w:rPr>
                <w:sz w:val="16"/>
              </w:rPr>
              <w:t>Se 0.926 (0.897–0.952); Sp 0.747 (0.688–0.801)</w:t>
            </w:r>
          </w:p>
        </w:tc>
        <w:tc>
          <w:tcPr>
            <w:tcW w:type="dxa" w:w="1882"/>
            <w:vAlign w:val="center"/>
          </w:tcPr>
          <w:p>
            <w:r>
              <w:rPr>
                <w:sz w:val="16"/>
              </w:rPr>
              <w:t>BA 0.837 (0.805–0.866)</w:t>
            </w:r>
          </w:p>
        </w:tc>
        <w:tc>
          <w:tcPr>
            <w:tcW w:type="dxa" w:w="1882"/>
            <w:vAlign w:val="center"/>
          </w:tcPr>
          <w:p>
            <w:r>
              <w:rPr>
                <w:sz w:val="16"/>
              </w:rPr>
              <w:t>AUROC 0.894 (0.862–0.924)</w:t>
            </w:r>
          </w:p>
        </w:tc>
      </w:tr>
    </w:tbl>
    <w:p/>
    <w:p>
      <w:pPr>
        <w:jc w:val="center"/>
      </w:pPr>
      <w:r>
        <w:drawing>
          <wp:inline xmlns:a="http://schemas.openxmlformats.org/drawingml/2006/main" xmlns:pic="http://schemas.openxmlformats.org/drawingml/2006/picture">
            <wp:extent cx="5806440" cy="4125628"/>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4125628"/>
                    </a:xfrm>
                    <a:prstGeom prst="rect"/>
                  </pic:spPr>
                </pic:pic>
              </a:graphicData>
            </a:graphic>
          </wp:inline>
        </w:drawing>
      </w:r>
    </w:p>
    <w:p>
      <w:pPr>
        <w:pStyle w:val="Caption"/>
        <w:jc w:val="center"/>
      </w:pPr>
      <w:r>
        <w:t>Figure 5. Breadth and family of within-cancer screen-positive prediction targets. Absence of an eligible target is distinct from a tested screen-negative result.</w:t>
      </w:r>
    </w:p>
    <w:p>
      <w:pPr>
        <w:pStyle w:val="Heading2"/>
      </w:pPr>
      <w:r>
        <w:t>Exportable linear baseline comparison</w:t>
      </w:r>
    </w:p>
    <w:p>
      <w:r>
        <w:t>Among the 12 highlighted binary models, the median ridge-minus-PLS balanced-accuracy difference was 0.007 (IQR -0.004 to 0.014); ridge had a paired-repeat interval above zero for 2 models, PLS for 1, and 9 differences were uncertain. For the 12 continuous models, the median ridge-minus-PLS Q² difference was 0.014 (IQR 0.007 to 0.017); ridge was favoured for 7, PLS for 2, and 3 were uncertain. Thus PLS was competitive but not uniformly superior to a simpler exportable linear model. Because the benchmark was restricted to PLS-highlighted results, the prespecified PLS workflow was retained and the comparison is reported as selection-conditioned sensitivity evidence rather than a basis for post-screen method switching.</w:t>
      </w:r>
    </w:p>
    <w:p>
      <w:pPr>
        <w:pStyle w:val="Heading2"/>
      </w:pPr>
      <w:r>
        <w:t>Site and multiple-slide sensitivity</w:t>
      </w:r>
    </w:p>
    <w:p>
      <w:r>
        <w:t>Site-grouped validation was feasible for 323 screen-positive models. Although the median grouped-minus-random performance change was only -0.026, 83/323 models (25.7%) fell below the original effect threshold: 58/219 continuous models and 25/104 binary models. Prominent attenuations were READ–APC (balanced accuracy 0.862 to 0.495); COAD–APC (balanced accuracy 0.793 to 0.543); PCPG–Cell Cycle (balanced accuracy 0.686 to 0.476); LIHC–CTNNB1 (balanced accuracy 0.668 to 0.565); OV–TCR Shannon (Q² 0.206 to -0.551); COAD–SNV Neoantigens (Q² 0.239 to -0.013). The site-grouped folds contain fewer and less evenly distributed training patients, so the decline cannot be attributed solely to site artefact; nevertheless, the near-chance colorectal APC results are not adequately summarised by the median and are treated as site-sensitive. The first-slide-minus-mean-pool median change across screen-positive models was -0.001.</w:t>
      </w:r>
    </w:p>
    <w:p>
      <w:pPr>
        <w:jc w:val="center"/>
      </w:pPr>
      <w:r>
        <w:drawing>
          <wp:inline xmlns:a="http://schemas.openxmlformats.org/drawingml/2006/main" xmlns:pic="http://schemas.openxmlformats.org/drawingml/2006/picture">
            <wp:extent cx="5806440" cy="3182376"/>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3182376"/>
                    </a:xfrm>
                    <a:prstGeom prst="rect"/>
                  </pic:spPr>
                </pic:pic>
              </a:graphicData>
            </a:graphic>
          </wp:inline>
        </w:drawing>
      </w:r>
    </w:p>
    <w:p>
      <w:pPr>
        <w:pStyle w:val="Caption"/>
        <w:jc w:val="center"/>
      </w:pPr>
      <w:r>
        <w:t>Figure 6. Random-fold versus tissue-source-site-grouped internal validation. Values below the diagonal indicate attenuation when submitting tissue-source sites are separated.</w:t>
      </w:r>
    </w:p>
    <w:p>
      <w:pPr>
        <w:pStyle w:val="Heading2"/>
      </w:pPr>
      <w:r>
        <w:t>External-validation readiness audit</w:t>
      </w:r>
    </w:p>
    <w:p>
      <w:r>
        <w:t>No non-TCGA patient entered model evaluation, and no external performance result is reported. The official TITAN release provided the precomputed TCGA representation used here, but the audit did not identify a compatible non-TCGA TITAN embedding set carrying the required outcomes. CPTAC-UCEC is a plausible future cohort: its official TCIA collection reports 250 subjects, 887 pathology whole-slide images (approximately 154 GB) and links to genomic, proteomic and clinical resources [36]. Those slides were not downloaded or processed in this study, and the availability of linked data does not by itself guarantee exact reconstruction of each endpoint.</w:t>
      </w:r>
    </w:p>
    <w:p>
      <w:r>
        <w:t>Table 4 records the three fitted UCEC artifacts locked for any future untouched evaluation. The displayed performance values are internally derived TCGA estimates included only to document why the targets were selected; they are not external benchmarks. All three must be reported under the protocol, including chance-level performance, extraction failure or endpoint non-evaluability.</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474"/>
          </w:tcPr>
          <w:p>
            <w:r>
              <w:rPr>
                <w:b/>
                <w:sz w:val="17"/>
              </w:rPr>
              <w:t>Locked target</w:t>
            </w:r>
          </w:p>
        </w:tc>
        <w:tc>
          <w:tcPr>
            <w:tcW w:type="dxa" w:w="1587"/>
          </w:tcPr>
          <w:p>
            <w:r>
              <w:rPr>
                <w:b/>
                <w:sz w:val="17"/>
              </w:rPr>
              <w:t>Artifact SHA-256 (prefix)</w:t>
            </w:r>
          </w:p>
        </w:tc>
        <w:tc>
          <w:tcPr>
            <w:tcW w:type="dxa" w:w="1928"/>
          </w:tcPr>
          <w:p>
            <w:r>
              <w:rPr>
                <w:b/>
                <w:sz w:val="17"/>
              </w:rPr>
              <w:t>Internal repeated-CV estimate</w:t>
            </w:r>
          </w:p>
        </w:tc>
        <w:tc>
          <w:tcPr>
            <w:tcW w:type="dxa" w:w="1814"/>
          </w:tcPr>
          <w:p>
            <w:r>
              <w:rPr>
                <w:b/>
                <w:sz w:val="17"/>
              </w:rPr>
              <w:t>Site-grouped estimate</w:t>
            </w:r>
          </w:p>
        </w:tc>
        <w:tc>
          <w:tcPr>
            <w:tcW w:type="dxa" w:w="1474"/>
          </w:tcPr>
          <w:p>
            <w:r>
              <w:rPr>
                <w:b/>
                <w:sz w:val="17"/>
              </w:rPr>
              <w:t>Future primary metric</w:t>
            </w:r>
          </w:p>
        </w:tc>
        <w:tc>
          <w:tcPr>
            <w:tcW w:type="dxa" w:w="1134"/>
          </w:tcPr>
          <w:p>
            <w:r>
              <w:rPr>
                <w:b/>
                <w:sz w:val="17"/>
              </w:rPr>
              <w:t>Status</w:t>
            </w:r>
          </w:p>
        </w:tc>
      </w:tr>
      <w:tr>
        <w:trPr>
          <w:cantSplit/>
        </w:trPr>
        <w:tc>
          <w:tcPr>
            <w:tcW w:type="dxa" w:w="1474"/>
            <w:vAlign w:val="center"/>
          </w:tcPr>
          <w:p>
            <w:r>
              <w:rPr>
                <w:sz w:val="16"/>
              </w:rPr>
              <w:t>UCEC–TP53</w:t>
            </w:r>
          </w:p>
        </w:tc>
        <w:tc>
          <w:tcPr>
            <w:tcW w:type="dxa" w:w="1587"/>
            <w:vAlign w:val="center"/>
          </w:tcPr>
          <w:p>
            <w:r>
              <w:rPr>
                <w:sz w:val="16"/>
              </w:rPr>
              <w:t>c39ba2caeefc</w:t>
            </w:r>
          </w:p>
        </w:tc>
        <w:tc>
          <w:tcPr>
            <w:tcW w:type="dxa" w:w="1928"/>
            <w:vAlign w:val="center"/>
          </w:tcPr>
          <w:p>
            <w:r>
              <w:rPr>
                <w:sz w:val="16"/>
              </w:rPr>
              <w:t>balanced accuracy 0.744</w:t>
            </w:r>
          </w:p>
        </w:tc>
        <w:tc>
          <w:tcPr>
            <w:tcW w:type="dxa" w:w="1814"/>
            <w:vAlign w:val="center"/>
          </w:tcPr>
          <w:p>
            <w:r>
              <w:rPr>
                <w:sz w:val="16"/>
              </w:rPr>
              <w:t>site-grouped balanced accuracy 0.740</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UCEC–Genome doubling</w:t>
            </w:r>
          </w:p>
        </w:tc>
        <w:tc>
          <w:tcPr>
            <w:tcW w:type="dxa" w:w="1587"/>
            <w:vAlign w:val="center"/>
          </w:tcPr>
          <w:p>
            <w:r>
              <w:rPr>
                <w:sz w:val="16"/>
              </w:rPr>
              <w:t>8f9fd7357818</w:t>
            </w:r>
          </w:p>
        </w:tc>
        <w:tc>
          <w:tcPr>
            <w:tcW w:type="dxa" w:w="1928"/>
            <w:vAlign w:val="center"/>
          </w:tcPr>
          <w:p>
            <w:r>
              <w:rPr>
                <w:sz w:val="16"/>
              </w:rPr>
              <w:t>balanced accuracy 0.722</w:t>
            </w:r>
          </w:p>
        </w:tc>
        <w:tc>
          <w:tcPr>
            <w:tcW w:type="dxa" w:w="1814"/>
            <w:vAlign w:val="center"/>
          </w:tcPr>
          <w:p>
            <w:r>
              <w:rPr>
                <w:sz w:val="16"/>
              </w:rPr>
              <w:t>site-grouped balanced accuracy 0.722</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UCEC–Aneuploidy score</w:t>
            </w:r>
          </w:p>
        </w:tc>
        <w:tc>
          <w:tcPr>
            <w:tcW w:type="dxa" w:w="1587"/>
            <w:vAlign w:val="center"/>
          </w:tcPr>
          <w:p>
            <w:r>
              <w:rPr>
                <w:sz w:val="16"/>
              </w:rPr>
              <w:t>0c520d8a9d57</w:t>
            </w:r>
          </w:p>
        </w:tc>
        <w:tc>
          <w:tcPr>
            <w:tcW w:type="dxa" w:w="1928"/>
            <w:vAlign w:val="center"/>
          </w:tcPr>
          <w:p>
            <w:r>
              <w:rPr>
                <w:sz w:val="16"/>
              </w:rPr>
              <w:t>Q2 0.347</w:t>
            </w:r>
          </w:p>
        </w:tc>
        <w:tc>
          <w:tcPr>
            <w:tcW w:type="dxa" w:w="1814"/>
            <w:vAlign w:val="center"/>
          </w:tcPr>
          <w:p>
            <w:r>
              <w:rPr>
                <w:sz w:val="16"/>
              </w:rPr>
              <w:t>site-grouped Q2 0.328</w:t>
            </w:r>
          </w:p>
        </w:tc>
        <w:tc>
          <w:tcPr>
            <w:tcW w:type="dxa" w:w="1474"/>
            <w:vAlign w:val="center"/>
          </w:tcPr>
          <w:p>
            <w:r>
              <w:rPr>
                <w:sz w:val="16"/>
              </w:rPr>
              <w:t>Q2</w:t>
            </w:r>
          </w:p>
        </w:tc>
        <w:tc>
          <w:tcPr>
            <w:tcW w:type="dxa" w:w="1134"/>
            <w:vAlign w:val="center"/>
          </w:tcPr>
          <w:p>
            <w:r>
              <w:rPr>
                <w:sz w:val="16"/>
              </w:rPr>
              <w:t>Not performed</w:t>
            </w:r>
          </w:p>
        </w:tc>
      </w:tr>
    </w:tbl>
    <w:p/>
    <w:p>
      <w:pPr>
        <w:pStyle w:val="Caption"/>
      </w:pPr>
      <w:r>
        <w:t>Table 4. Prospectively locked subset for future independent evaluation. Model selection occurred after the TCGA screen but before any external feature, outcome or prediction was inspected. Full hashes, secondary metrics, endpoint-compatibility rules and mandatory failure reporting are provided in Supplementary Table S6c and the machine-readable lock file.</w:t>
      </w:r>
    </w:p>
    <w:p>
      <w:pPr>
        <w:pStyle w:val="Heading2"/>
      </w:pPr>
      <w:r>
        <w:t>Research-software demonstration and COAD illustration</w:t>
      </w:r>
    </w:p>
    <w:p>
      <w:r>
        <w:t>The access-controlled TITANPred R package contains 323 fitted models (219 continuous and 104 binary) across 27 cancers [32]. An authorised research user supplies a cancer vector and correctly named 768-dimensional TITAN features; the interface applies every bundled model available for that cancer. Repeated patient identifiers are mean-pooled before inference. Continuous outputs retain source endpoint units and are positioned against repeated out-of-fold reference distributions; binary outputs comprise the fitted PLS-LDA class and uncalibrated LDA score. The binary display labels its TCGA out-of-fold score rank explicitly as a rank rather than a probability and places training positive/negative counts, prevalence, repeated-CV performance and any limited-class-size warning beside the call. A single-sample research-software output renders all available continuous endpoints as a radar, with the exact reference percentile and original prediction printed at every corner, and displays binary calls with provenance and out-of-distribution diagnostics. The demonstration ends with definitions of every displayed endpoint and citations for the data source used to construct each TCGA model target.</w:t>
      </w:r>
    </w:p>
    <w:p>
      <w:r>
        <w:t>COAD was chosen for a research-software demonstration because colorectal cancer, of which colon adenocarcinoma is a major component, accounted for 1,926,425 new cases worldwide in 2022 [31], and COAD contributed 20 supported models (10 continuous and 10 binary). APC, TP53, KRAS and BRAF prediction from colorectal histology had already been evaluated in pooled colorectal and/or exact-COAD studies; these models are therefore replications or extensions under a different representation and validation framework, not bibliographically novel mutation targets. For visualization, we first restricted candidates to cases with a non-empty slide report that described a sigmoid-colon, moderately differentiated, pT3 adenocarcinoma with clear margins, and then required that no case had more than two of ten continuous predictions outside the first to 99th percentile. Among pairs sharing recorded sex and site, TCGA-AA-A01F and TCGA-AA-3972 had the largest Euclidean separation across the complete continuous prediction-percentile profile. This produced clinically comparable examples with predominantly intermediate rather than saturated values. Example A had higher MSI, mutation-rate and TIL predictions and lower aneuploidy predictions, whereas example B showed the converse pattern (Figure 7). The selection is a research-software demonstration of internally derived TCGA estimates, not a validation analysis or an estimate of clinical prevalence.</w:t>
      </w:r>
    </w:p>
    <w:p>
      <w:r>
        <w:t>The accompanying pathology text is paraphrased from TCGA-Slide-Reports.csv rather than reproduced verbatim. For TCGA-AA-A01F, the report describes an ulcerated grade-2 sigmoid adenocarcinoma extending through the muscular wall into pericolic fat (pT3), with uninvolved resection ends, lymphatic invasion and two involved nodes among 30 examined (pN1). For TCGA-AA-3972, it describes an ulcerated grade-2 sigmoid colorectal adenocarcinoma extending through the bowel wall into mesocolic fat (pT3), with uninvolved proximal and distal margins; a nodal category was not stated in the supplied slide summary.</w:t>
      </w:r>
    </w:p>
    <w:p>
      <w:r>
        <w:t>Public NCI Genomic Data Commons case records provide treatment context [33]. TCGA-AA-A01F received fluorouracil, leucovorin and oxaliplatin, for which the recorded treatment outcome was complete response. TCGA-AA-3972 received capecitabine plus oxaliplatin and, later, fluorouracil, leucovorin, oxaliplatin and bevacizumab; progressive disease was recorded for both treatment records, with recurrence documented later in follow-up. These fields are descriptive public metadata and were not predictors, training targets or validation outcomes. The examples therefore do not evaluate response prediction or treatment effect.</w:t>
      </w:r>
    </w:p>
    <w:p>
      <w:pPr>
        <w:jc w:val="center"/>
      </w:pPr>
      <w:r>
        <w:drawing>
          <wp:inline xmlns:a="http://schemas.openxmlformats.org/drawingml/2006/main" xmlns:pic="http://schemas.openxmlformats.org/drawingml/2006/picture">
            <wp:extent cx="6126480" cy="5198225"/>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5198225"/>
                    </a:xfrm>
                    <a:prstGeom prst="rect"/>
                  </pic:spPr>
                </pic:pic>
              </a:graphicData>
            </a:graphic>
          </wp:inline>
        </w:drawing>
      </w:r>
    </w:p>
    <w:p>
      <w:pPr>
        <w:pStyle w:val="Caption"/>
        <w:jc w:val="center"/>
      </w:pPr>
      <w:r>
        <w:t>Figure 7. TITANPred research-software demonstration in two clinically comparable COAD cases. Panels A and B show all ten internally derived TCGA continuous estimates for TCGA-AA-A01F and TCGA-AA-3972, respectively. Silent mutation rate and SNV neoantigens flank nonsilent mutation rate in the semantic axis order. Every radar corner reports the exact percentile relative to corrected repeated out-of-fold TCGA predictions and the original model estimate in the analysed endpoint units; the percentiles are not clinical reference ranges. Panel C shows binary PLS-LDA calls and explicitly labelled TCGA out-of-fold LDA-score ranks; filled points denote positive calls, and ranks are not probabilities. Training n and class counts accompany each binary endpoint. The cases share sex, sigmoid site, grade, pT3 category and clear margins and were selected after limiting saturated continuous profiles. They are full-cohort research-software examples and do not provide external validation.</w:t>
      </w:r>
    </w:p>
    <w:p>
      <w:pPr>
        <w:pStyle w:val="Heading1"/>
      </w:pPr>
      <w:r>
        <w:t>Discussion</w:t>
      </w:r>
    </w:p>
    <w:p>
      <w:r>
        <w:t>This study is best interpreted as a systematic patient-level benchmark and reusable fitted-model resource, not as the first pan-cancer molecular-prediction study or a catalogue of unprecedented mutation targets. It answers a target-by-target, cancer-specific question using one fixed pretrained TITAN representation. Selected immune programmes, mutations and higher-level genomic phenotypes were predictable, but most eligible pairs did not satisfy both multiplicity and effect thresholds. That heterogeneity—and transparent negative and ineligible reporting—is the primary empirical result. Under the stricter across-cancer family correction, 219 continuous and 39 mutation pairs passed; the remaining within-cancer candidates should not be interpreted as pan-cancer biomarkers. Conversely, global non-passage cannot be interpreted as evidence of no signal because the 0.001 empirical-p resolution restricts attainable q-values in large families.</w:t>
      </w:r>
    </w:p>
    <w:p>
      <w:r>
        <w:t>The closest breadth comparator is Arslan et al., who already trained 12,093 target-specific models for 4,031 multi-omic biomarkers in 8,890 TCGA patients across the same 32 cancers [13]. The present study is smaller in endpoint breadth and lacks external validation. Its differentiating elements are instead the fixed pretrained representation, deterministic pre-outcome patient aggregation, nested patient-level validation, complete tested-negative and ineligible outputs, target-level site-grouped sensitivity, continuous modelling of selected immune and genomic-context measures, and distribution of compact fitted linear predictors. Table 1 makes these distinctions explicit and prevents breadth or endpoint novelty from being inferred from the study framing.</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expanded primary-study audit substantially changes the novelty interpretation. 38/41 screen-positive cancer–gene pairs had already received statistical support in reviewed histology-prediction studies, including pooled colorectal evidence mapped to both COAD and READ where appropriate. Examples include LGG–CIC (prior mean AUROC 0.836, current balanced accuracy 0.779), LGG–ATRX (prior mean AUROC 0.816), THCA–NRAS (0.809), LIHC–BAP1 (0.825), PAAD–TP53 (0.672) and KIRC–VHL (0.631) [13]. Prior studies generally reported AUROC, whereas the present primary metric is balanced accuracy; these values are contextual and are not estimates of improvement or inferiority.</w:t>
      </w:r>
    </w:p>
    <w:p>
      <w:r>
        <w:t>Two current screen-positive pairs had been evaluated but were not statistically supported in the reviewed 2024 study: BLCA–PIK3CA (prior mean AUROC 0.588, corrected p=0.058; current balanced accuracy 0.601) and SKCM–BRAF (prior mean AUROC 0.579, corrected p=0.286; current balanced accuracy 0.626). Only THYM–GTF2I was not identified in the reviewed predictive-model literature; a strong direct GTF2I–thymoma morphology association is already established, so this result is presented as a prediction candidate requiring independent validation rather than a claim of biological novelty. The OV–TP53 entry is supported by a 2025 preprint reporting AUROC 0.82±0.02 and is labelled as preliminary evidence rather than peer-reviewed external validation [34]. The GTF2I morphology association itself was reported by Wells et al. [35]. Supplementary Table S10a and the machine-readable audit give the evidence scope, prior metric, source and note for every screen-positive pair.</w:t>
      </w:r>
    </w:p>
    <w:p>
      <w:r>
        <w:t>External results also caution against equating internal discrimination with transportability. For PAAD–TP53, the current TCGA balanced accuracy was 0.619 and Arslan et al. reported mean internal AUROC 0.672, whereas Saldanha et al. reported internal AUROC 0.554 and external CPTAC AUROC 0.443±0.064 [11,13]. Differences can arise from cohort composition, slide preparation, mutation definition, model class and validation design. The present result therefore supports further locked external testing, not clinical application.</w:t>
      </w:r>
    </w:p>
    <w:p>
      <w:r>
        <w:t>The immune measurements, oncogenic pathways, MSI, aneuploidy and fusion endpoints extend the analysis beyond the exact cancer–gene mutation pairs used for the literature crosswalk. They are systematically benchmarked here with the same TITAN–PLS design, but the manuscript does not claim that histological prediction of those broad endpoint classes is unprecedented. Their contribution is the unified patient-level, cancer-specific evaluation and directly reusable linear modelling framework.</w:t>
      </w:r>
    </w:p>
    <w:p>
      <w:r>
        <w:t>For continuous outcomes, prior work predicted RNA expression [6], tumour composition [4], continuous HRD and microenvironment measures [12], and externally evaluated tumour-microenvironment composition in non-small cell lung cancer [15]. The present study instead screens the prespecified Thorsson immune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of TITAN plus PLS is a uniform, auditable screen over many prespecified outcomes using one fixed pretrained representation, with one-at-a-time PLS–LDA retained for the prespecified individual binary endpoints and PLS2 examined secondarily for correlated inflammatory panels.</w:t>
      </w:r>
    </w:p>
    <w:p>
      <w:r>
        <w:t>The ridge benchmark prevents interpreting that design choice as proof of PLS superiority. Median ridge-minus-PLS differences were small (0.007 balanced accuracy for binary and 0.014 Q² for continuous models), although paired intervals favoured ridge for two binary and seven continuous highlighted endpoints and favoured PLS for one binary and two continuous endpoints. The remaining 12 comparisons were uncertain. Both approaches yield compact exportable parameters, so portability is not unique to PLS. PLS remains the prespecified primary method because the benchmark was performed only on PLS-highlighted models and switching methods after that selection would add another optimistic selection layer. Future external validation can compare locked PLS and ridge candidates prospectively.</w:t>
      </w:r>
    </w:p>
    <w:p>
      <w:r>
        <w:t>Site grouping revealed heterogeneity that the median attenuation concealed: 83/323 screen-positive models (25.7%) fell below their original effect threshold. READ–APC and COAD–APC declined from balanced accuracies 0.862 and 0.793 to 0.495 and 0.543, respectively. Smaller and less balanced training folds contribute to grouped-validation loss, but performance close to chance requires these models to be labelled site-sensitive rather than robust biological signals. This reinforces the need for multi-institutional external validation and for publishing target-level, not only median, sensitivity results.</w:t>
      </w:r>
    </w:p>
    <w:p>
      <w:r>
        <w:t>A further practical feature is data-minimising model portability. Preprocessing values, latent weights and coefficients are sufficient for continuous prediction, with compact LDA parameters added for binary classification. The access-controlled TITANPred package applies cancer-matched models to correctly ordered TITAN features without requiring the original patient embeddings or outcomes [32]. Its current private status is stated explicitly; the manuscript makes no public-artifact availability claim. This design reduces the patient-level data that would need to be exchanged in authorised research, although it does not itself confer privacy, satisfy local governance requirements or establish transportability. The matched COAD cases demonstrate software output for internally derived TCGA estimates. Because both examples were chosen within TCGA and were evaluated by full-cohort fits, neither their molecular contrast nor their recorded treatment outcomes constitute new accuracy or response-prediction evidence.</w:t>
      </w:r>
    </w:p>
    <w:p>
      <w:r>
        <w:t>Strengths include primary-tumour matching across every data source, deterministic mean pooling of multiple slides, nested patient-level validation, FDR control within cancer and endpoint family,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 even with site separation, cannot establish transportability to another institution, scanner, stain distribution or patient population.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estimates cannot justify omitting a molecular assay. The three-model UCEC subset is locked only for future independent evaluation. Until that untouched analysis reports every target, the work should be evaluated as a computational pathology benchmark and research-software resource rather than a translational prediction study.</w:t>
      </w:r>
    </w:p>
    <w:p>
      <w:r>
        <w:t>CPTAC-UCEC illustrates both feasibility and the remaining work: the official collection provides pathology images and links to molecular data, but the approximately 154-GB slide archive requires de novo TITAN extraction and exact outcome harmonisation [36]. Neither the slides nor external labels were inspected here. The locked protocol prohibits model refitting, recalibration and threshold changes; mandates the same patient-level pooling; and requires failure or non-evaluability to be reported. This protocol improves readiness and guards against post hoc target selection, but it is not external validation evidence.</w:t>
      </w:r>
    </w:p>
    <w:p>
      <w:r>
        <w:t>The repeated nested-CV estimates and patient-cluster bootstrap intervals are also conditional on selecting endpoints in this same TCGA benchmark. They quantify partition and sampling variability for highlighted candidates but do not correct winner's-curse optimism from highlighting the strongest screen results. Consequently, the intervals should not be read as external-performance intervals; locked-model evaluation in an untouched cohort is required for unbiased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Tissue-source-site grouping probes one form of institutional heterogeneity but cannot establish fairness across ancestry, sex, age or access-to-care groups. Any external evaluation should prespecify representative sampling and subgroup performance, calibration and failure analysis.</w:t>
      </w:r>
    </w:p>
    <w:p>
      <w:pPr>
        <w:pStyle w:val="Heading1"/>
      </w:pPr>
      <w:r>
        <w:t>Conclusions</w:t>
      </w:r>
    </w:p>
    <w:p>
      <w:r>
        <w:t>Using mean-pooled fixed pretrained TITAN representations, this study provides a systematic patient-level TCGA benchmark of selected immune, mutation, pathway, MSI, aneuploidy and fusion phenotypes. The access-controlled TITANPred package demonstrates how fitted PLS and PLS–LDA objects can be applied without distributing patient-level training data. All reported performance and example outputs are internally derived TCGA estimates. The contribution is a transparent computational pathology benchmark and research-software framework—not broad endpoint novelty, external performance evidence or clinical validation—and locked independent testing remains essential.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gated public TITAN TCGA feature artifact TCGA_TITAN_features.pkl, downloaded from https://huggingface.co/MahmoodLab/TITAN/blob/main/TCGA_TITAN_features.pkl and converted to the documented 768-feature CSV schema with tools/convert_tcga_titan_pickle.py in the companion repository [30]. The analysed CSV contained 11,658 slide rows (SHA-256 d3d91fb0f83a6de440eda5ff437a63e3ca13f50095e6841fb8efcc40e58763f0). TCGA molecular data and the cited public supplementary records remain available from their original repositories. Exact source locations, access conditions and checksums are recorded in the companion repository. Controlled-access whole-slide images are not redistributed. The model registry, hashes, inference example and future external-evaluation protocol are in the public analysis repository. The separate TITANPred package and 323 fitted research objects are currently maintained in a private access-controlled repository [32]; this manuscript does not claim that those artifacts are publicly downloadable.</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S1–S12, Figures S1–S2 and an inventory of the companion machine-readable result files.</w:t>
      </w:r>
    </w:p>
    <w:p>
      <w:r>
        <w:t>Additional file 2 (.pdf): COAD example A (TCGA-AA-A01F) TITANPred research-software output. Illustrative internally derived full-cohort TCGA estimates for the COAD example with high MSI, mutation-rate and immune-feature predictions and low aneuploidy prediction.</w:t>
      </w:r>
    </w:p>
    <w:p>
      <w:r>
        <w:t>Additional file 3 (.pdf): COAD example B (TCGA-AA-3972) TITANPred research-software output. Illustrative internally derived full-cohort TCGA estimates for the contrasting COAD example with high aneuploidy prediction and lower MSI and immune-feature predictions.</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patient-level benchmark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p>
      <w:r>
        <w:t>33. National Cancer Institute. Genomic Data Commons Cases API. https://api.gdc.cancer.gov/cases. Accessed 16 Aug 2026.</w:t>
      </w:r>
    </w:p>
    <w:p>
      <w:r>
        <w:t>34. Fernandes G. Morpho-genomic deep learning for ovarian cancer subtype and gene mutation prediction from histopathology. arXiv. 2025;arXiv:2511.03365. doi:10.48550/arXiv.2511.03365.</w:t>
      </w:r>
    </w:p>
    <w:p>
      <w:r>
        <w:t>35. Wells K, Lamrca A, Papaxoinis G, et al. Unique correlation between GTF2I mutation and spindle cell morphology in thymomas (type A and AB thymomas). J Clin Pathol. 2023;76:463–466. doi:10.1136/jclinpath-2021-207837.</w:t>
      </w:r>
    </w:p>
    <w:p>
      <w:r>
        <w:t>36. National Cancer Institute Clinical Proteomic Tumor Analysis Consortium. CPTAC-UCEC: The Clinical Proteomic Tumor Analysis Consortium Uterine Corpus Endometrial Carcinoma Collection. The Cancer Imaging Archive. doi:10.7937/K9/TCIA.2018.3R3JUISW. Accessed 24 Aug 2026.</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TITAN patient-level benchmark and model resource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