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Audit comment: site-grouped validation was underreported</w:t>
      </w:r>
    </w:p>
    <w:p>
      <w:r>
        <w:t>Addressed. We now report both the median change and threshold retention. 83/323 screen-positive models (25.7%) fell below the original effect threshold under hospital-grouped folds: 58/219 continuous and 25/104 binary models. Named examples include READ–APC (balanced accuracy 0.862 to 0.495), COAD–APC (0.793 to 0.543), and COAD–SNV Neoantigens (Q² 0.239 to −0.013). The text acknowledges that smaller and uneven grouped training folds explain part of the decrease but treats near-chance APC results as site-sensitive. Complete target-level results are added as Table S10b and CSV.</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workflow is retained rather than adding post-selection method switching. Ridge was selected as the baseline because its fitted coefficients are portable without retaining training embeddings; the full repeated results and uncertainty are supplied in Table S10c and CSV.</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