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and tissue-source-site sensitivities are appropriate internal robustness checks.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an exploratory benchmark.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benchmark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pStyle w:val="Heading2"/>
        <w:keepNext/>
      </w:pPr>
      <w:r>
        <w:t>5.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6.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