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0.670 (0.573–0.741)</w:t>
            </w:r>
          </w:p>
        </w:tc>
        <w:tc>
          <w:tcPr>
            <w:tcW w:type="dxa" w:w="1624"/>
            <w:vAlign w:val="center"/>
          </w:tcPr>
          <w:p>
            <w:r>
              <w:rPr>
                <w:sz w:val="16"/>
              </w:rPr>
              <w:t>Not applicable</w:t>
            </w:r>
          </w:p>
        </w:tc>
        <w:tc>
          <w:tcPr>
            <w:tcW w:type="dxa" w:w="1624"/>
            <w:vAlign w:val="center"/>
          </w:tcPr>
          <w:p>
            <w:r>
              <w:rPr>
                <w:sz w:val="16"/>
              </w:rPr>
              <w:t>RMSE 0.303 (0.269–0.337); ρ 0.791 (0.713–0.842)</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0.594 (0.455–0.698)</w:t>
            </w:r>
          </w:p>
        </w:tc>
        <w:tc>
          <w:tcPr>
            <w:tcW w:type="dxa" w:w="1624"/>
            <w:vAlign w:val="center"/>
          </w:tcPr>
          <w:p>
            <w:r>
              <w:rPr>
                <w:sz w:val="16"/>
              </w:rPr>
              <w:t>Not applicable</w:t>
            </w:r>
          </w:p>
        </w:tc>
        <w:tc>
          <w:tcPr>
            <w:tcW w:type="dxa" w:w="1624"/>
            <w:vAlign w:val="center"/>
          </w:tcPr>
          <w:p>
            <w:r>
              <w:rPr>
                <w:sz w:val="16"/>
              </w:rPr>
              <w:t>RMSE 1743.443 (1514.535–1979.481); ρ 0.738 (0.636–0.811)</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0.577 (0.511–0.636)</w:t>
            </w:r>
          </w:p>
        </w:tc>
        <w:tc>
          <w:tcPr>
            <w:tcW w:type="dxa" w:w="1624"/>
            <w:vAlign w:val="center"/>
          </w:tcPr>
          <w:p>
            <w:r>
              <w:rPr>
                <w:sz w:val="16"/>
              </w:rPr>
              <w:t>Not applicable</w:t>
            </w:r>
          </w:p>
        </w:tc>
        <w:tc>
          <w:tcPr>
            <w:tcW w:type="dxa" w:w="1624"/>
            <w:vAlign w:val="center"/>
          </w:tcPr>
          <w:p>
            <w:r>
              <w:rPr>
                <w:sz w:val="16"/>
              </w:rPr>
              <w:t>RMSE 0.781 (0.722–0.844); ρ 0.742 (0.693–0.786)</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0.528 (0.483–0.569)</w:t>
            </w:r>
          </w:p>
        </w:tc>
        <w:tc>
          <w:tcPr>
            <w:tcW w:type="dxa" w:w="1624"/>
            <w:vAlign w:val="center"/>
          </w:tcPr>
          <w:p>
            <w:r>
              <w:rPr>
                <w:sz w:val="16"/>
              </w:rPr>
              <w:t>Not applicable</w:t>
            </w:r>
          </w:p>
        </w:tc>
        <w:tc>
          <w:tcPr>
            <w:tcW w:type="dxa" w:w="1624"/>
            <w:vAlign w:val="center"/>
          </w:tcPr>
          <w:p>
            <w:r>
              <w:rPr>
                <w:sz w:val="16"/>
              </w:rPr>
              <w:t>RMSE 0.111 (0.106–0.116); ρ 0.724 (0.694–0.753)</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0.524 (0.458–0.587)</w:t>
            </w:r>
          </w:p>
        </w:tc>
        <w:tc>
          <w:tcPr>
            <w:tcW w:type="dxa" w:w="1624"/>
            <w:vAlign w:val="center"/>
          </w:tcPr>
          <w:p>
            <w:r>
              <w:rPr>
                <w:sz w:val="16"/>
              </w:rPr>
              <w:t>Not applicable</w:t>
            </w:r>
          </w:p>
        </w:tc>
        <w:tc>
          <w:tcPr>
            <w:tcW w:type="dxa" w:w="1624"/>
            <w:vAlign w:val="center"/>
          </w:tcPr>
          <w:p>
            <w:r>
              <w:rPr>
                <w:sz w:val="16"/>
              </w:rPr>
              <w:t>RMSE 0.233 (0.214–0.249); ρ 0.707 (0.658–0.752)</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0.524 (0.443–0.591)</w:t>
            </w:r>
          </w:p>
        </w:tc>
        <w:tc>
          <w:tcPr>
            <w:tcW w:type="dxa" w:w="1624"/>
            <w:vAlign w:val="center"/>
          </w:tcPr>
          <w:p>
            <w:r>
              <w:rPr>
                <w:sz w:val="16"/>
              </w:rPr>
              <w:t>Not applicable</w:t>
            </w:r>
          </w:p>
        </w:tc>
        <w:tc>
          <w:tcPr>
            <w:tcW w:type="dxa" w:w="1624"/>
            <w:vAlign w:val="center"/>
          </w:tcPr>
          <w:p>
            <w:r>
              <w:rPr>
                <w:sz w:val="16"/>
              </w:rPr>
              <w:t>RMSE 0.450 (0.413–0.486); ρ 0.729 (0.674–0.777)</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0.515 (0.467–0.560)</w:t>
            </w:r>
          </w:p>
        </w:tc>
        <w:tc>
          <w:tcPr>
            <w:tcW w:type="dxa" w:w="1624"/>
            <w:vAlign w:val="center"/>
          </w:tcPr>
          <w:p>
            <w:r>
              <w:rPr>
                <w:sz w:val="16"/>
              </w:rPr>
              <w:t>Not applicable</w:t>
            </w:r>
          </w:p>
        </w:tc>
        <w:tc>
          <w:tcPr>
            <w:tcW w:type="dxa" w:w="1624"/>
            <w:vAlign w:val="center"/>
          </w:tcPr>
          <w:p>
            <w:r>
              <w:rPr>
                <w:sz w:val="16"/>
              </w:rPr>
              <w:t>RMSE 0.441 (0.418–0.466); ρ 0.740 (0.710–0.770)</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0.514 (0.444–0.573)</w:t>
            </w:r>
          </w:p>
        </w:tc>
        <w:tc>
          <w:tcPr>
            <w:tcW w:type="dxa" w:w="1624"/>
            <w:vAlign w:val="center"/>
          </w:tcPr>
          <w:p>
            <w:r>
              <w:rPr>
                <w:sz w:val="16"/>
              </w:rPr>
              <w:t>Not applicable</w:t>
            </w:r>
          </w:p>
        </w:tc>
        <w:tc>
          <w:tcPr>
            <w:tcW w:type="dxa" w:w="1624"/>
            <w:vAlign w:val="center"/>
          </w:tcPr>
          <w:p>
            <w:r>
              <w:rPr>
                <w:sz w:val="16"/>
              </w:rPr>
              <w:t>RMSE 508.154 (472.842–543.826); ρ 0.704 (0.653–0.752)</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0.511 (0.360–0.620)</w:t>
            </w:r>
          </w:p>
        </w:tc>
        <w:tc>
          <w:tcPr>
            <w:tcW w:type="dxa" w:w="1624"/>
            <w:vAlign w:val="center"/>
          </w:tcPr>
          <w:p>
            <w:r>
              <w:rPr>
                <w:sz w:val="16"/>
              </w:rPr>
              <w:t>Not applicable</w:t>
            </w:r>
          </w:p>
        </w:tc>
        <w:tc>
          <w:tcPr>
            <w:tcW w:type="dxa" w:w="1624"/>
            <w:vAlign w:val="center"/>
          </w:tcPr>
          <w:p>
            <w:r>
              <w:rPr>
                <w:sz w:val="16"/>
              </w:rPr>
              <w:t>RMSE 0.136 (0.122–0.151); ρ 0.668 (0.549–0.764)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0.509 (0.438–0.580)</w:t>
            </w:r>
          </w:p>
        </w:tc>
        <w:tc>
          <w:tcPr>
            <w:tcW w:type="dxa" w:w="1624"/>
            <w:vAlign w:val="center"/>
          </w:tcPr>
          <w:p>
            <w:r>
              <w:rPr>
                <w:sz w:val="16"/>
              </w:rPr>
              <w:t>Not applicable</w:t>
            </w:r>
          </w:p>
        </w:tc>
        <w:tc>
          <w:tcPr>
            <w:tcW w:type="dxa" w:w="1624"/>
            <w:vAlign w:val="center"/>
          </w:tcPr>
          <w:p>
            <w:r>
              <w:rPr>
                <w:sz w:val="16"/>
              </w:rPr>
              <w:t>RMSE 0.453 (0.418–0.492); ρ 0.704 (0.653–0.754)</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0.502 (0.401–0.584)</w:t>
            </w:r>
          </w:p>
        </w:tc>
        <w:tc>
          <w:tcPr>
            <w:tcW w:type="dxa" w:w="1624"/>
            <w:vAlign w:val="center"/>
          </w:tcPr>
          <w:p>
            <w:r>
              <w:rPr>
                <w:sz w:val="16"/>
              </w:rPr>
              <w:t>Not applicable</w:t>
            </w:r>
          </w:p>
        </w:tc>
        <w:tc>
          <w:tcPr>
            <w:tcW w:type="dxa" w:w="1624"/>
            <w:vAlign w:val="center"/>
          </w:tcPr>
          <w:p>
            <w:r>
              <w:rPr>
                <w:sz w:val="16"/>
              </w:rPr>
              <w:t>RMSE 0.629 (0.577–0.678); ρ 0.697 (0.622–0.759)</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0.499 (0.386–0.585)</w:t>
            </w:r>
          </w:p>
        </w:tc>
        <w:tc>
          <w:tcPr>
            <w:tcW w:type="dxa" w:w="1624"/>
            <w:vAlign w:val="center"/>
          </w:tcPr>
          <w:p>
            <w:r>
              <w:rPr>
                <w:sz w:val="16"/>
              </w:rPr>
              <w:t>Not applicable</w:t>
            </w:r>
          </w:p>
        </w:tc>
        <w:tc>
          <w:tcPr>
            <w:tcW w:type="dxa" w:w="1624"/>
            <w:vAlign w:val="center"/>
          </w:tcPr>
          <w:p>
            <w:r>
              <w:rPr>
                <w:sz w:val="16"/>
              </w:rPr>
              <w:t>RMSE 0.400 (0.364–0.429); ρ 0.605 (0.521–0.688)</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PLS versus exportable ridge benchmark for highlighted models</w:t>
      </w:r>
    </w:p>
    <w:p>
      <w:r>
        <w:t>The benchmark is conditional on selection of PLS screen-positive highlighted models. Positive differences favour ridge; metrics and paired-repeat intervals should be interpreted by magnitude rather than winner counts.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 mean</w:t>
            </w:r>
          </w:p>
        </w:tc>
        <w:tc>
          <w:tcPr>
            <w:tcW w:type="dxa" w:w="975"/>
          </w:tcPr>
          <w:p>
            <w:r>
              <w:rPr>
                <w:b/>
                <w:sz w:val="17"/>
              </w:rPr>
              <w:t>Ridge mean</w:t>
            </w:r>
          </w:p>
        </w:tc>
        <w:tc>
          <w:tcPr>
            <w:tcW w:type="dxa" w:w="975"/>
          </w:tcPr>
          <w:p>
            <w:r>
              <w:rPr>
                <w:b/>
                <w:sz w:val="17"/>
              </w:rPr>
              <w:t>Ridge−PLS</w:t>
            </w:r>
          </w:p>
        </w:tc>
        <w:tc>
          <w:tcPr>
            <w:tcW w:type="dxa" w:w="975"/>
          </w:tcPr>
          <w:p>
            <w:r>
              <w:rPr>
                <w:b/>
                <w:sz w:val="17"/>
              </w:rPr>
              <w:t>95% interval</w:t>
            </w:r>
          </w:p>
        </w:tc>
        <w:tc>
          <w:tcPr>
            <w:tcW w:type="dxa" w:w="975"/>
          </w:tcPr>
          <w:p>
            <w:r>
              <w:rPr>
                <w:b/>
                <w:sz w:val="17"/>
              </w:rPr>
              <w:t>Interpretation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0.862</w:t>
            </w:r>
          </w:p>
        </w:tc>
        <w:tc>
          <w:tcPr>
            <w:tcW w:type="dxa" w:w="975"/>
            <w:vAlign w:val="center"/>
          </w:tcPr>
          <w:p>
            <w:r>
              <w:rPr>
                <w:sz w:val="16"/>
              </w:rPr>
              <w:t>0.858</w:t>
            </w:r>
          </w:p>
        </w:tc>
        <w:tc>
          <w:tcPr>
            <w:tcW w:type="dxa" w:w="975"/>
            <w:vAlign w:val="center"/>
          </w:tcPr>
          <w:p>
            <w:r>
              <w:rPr>
                <w:sz w:val="16"/>
              </w:rPr>
              <w:t>-0.004</w:t>
            </w:r>
          </w:p>
        </w:tc>
        <w:tc>
          <w:tcPr>
            <w:tcW w:type="dxa" w:w="975"/>
            <w:vAlign w:val="center"/>
          </w:tcPr>
          <w:p>
            <w:r>
              <w:rPr>
                <w:sz w:val="16"/>
              </w:rPr>
              <w:t>-0.014 to 0.007</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balanced accuracy</w:t>
            </w:r>
          </w:p>
        </w:tc>
        <w:tc>
          <w:tcPr>
            <w:tcW w:type="dxa" w:w="975"/>
            <w:vAlign w:val="center"/>
          </w:tcPr>
          <w:p>
            <w:r>
              <w:rPr>
                <w:sz w:val="16"/>
              </w:rPr>
              <w:t>0.859</w:t>
            </w:r>
          </w:p>
        </w:tc>
        <w:tc>
          <w:tcPr>
            <w:tcW w:type="dxa" w:w="975"/>
            <w:vAlign w:val="center"/>
          </w:tcPr>
          <w:p>
            <w:r>
              <w:rPr>
                <w:sz w:val="16"/>
              </w:rPr>
              <w:t>0.866</w:t>
            </w:r>
          </w:p>
        </w:tc>
        <w:tc>
          <w:tcPr>
            <w:tcW w:type="dxa" w:w="975"/>
            <w:vAlign w:val="center"/>
          </w:tcPr>
          <w:p>
            <w:r>
              <w:rPr>
                <w:sz w:val="16"/>
              </w:rPr>
              <w:t>0.007</w:t>
            </w:r>
          </w:p>
        </w:tc>
        <w:tc>
          <w:tcPr>
            <w:tcW w:type="dxa" w:w="975"/>
            <w:vAlign w:val="center"/>
          </w:tcPr>
          <w:p>
            <w:r>
              <w:rPr>
                <w:sz w:val="16"/>
              </w:rPr>
              <w:t>-0.027 to 0.041</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0.858</w:t>
            </w:r>
          </w:p>
        </w:tc>
        <w:tc>
          <w:tcPr>
            <w:tcW w:type="dxa" w:w="975"/>
            <w:vAlign w:val="center"/>
          </w:tcPr>
          <w:p>
            <w:r>
              <w:rPr>
                <w:sz w:val="16"/>
              </w:rPr>
              <w:t>0.874</w:t>
            </w:r>
          </w:p>
        </w:tc>
        <w:tc>
          <w:tcPr>
            <w:tcW w:type="dxa" w:w="975"/>
            <w:vAlign w:val="center"/>
          </w:tcPr>
          <w:p>
            <w:r>
              <w:rPr>
                <w:sz w:val="16"/>
              </w:rPr>
              <w:t>0.016</w:t>
            </w:r>
          </w:p>
        </w:tc>
        <w:tc>
          <w:tcPr>
            <w:tcW w:type="dxa" w:w="975"/>
            <w:vAlign w:val="center"/>
          </w:tcPr>
          <w:p>
            <w:r>
              <w:rPr>
                <w:sz w:val="16"/>
              </w:rPr>
              <w:t>-0.001 to 0.033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balanced accuracy</w:t>
            </w:r>
          </w:p>
        </w:tc>
        <w:tc>
          <w:tcPr>
            <w:tcW w:type="dxa" w:w="975"/>
            <w:vAlign w:val="center"/>
          </w:tcPr>
          <w:p>
            <w:r>
              <w:rPr>
                <w:sz w:val="16"/>
              </w:rPr>
              <w:t>0.837</w:t>
            </w:r>
          </w:p>
        </w:tc>
        <w:tc>
          <w:tcPr>
            <w:tcW w:type="dxa" w:w="975"/>
            <w:vAlign w:val="center"/>
          </w:tcPr>
          <w:p>
            <w:r>
              <w:rPr>
                <w:sz w:val="16"/>
              </w:rPr>
              <w:t>0.826</w:t>
            </w:r>
          </w:p>
        </w:tc>
        <w:tc>
          <w:tcPr>
            <w:tcW w:type="dxa" w:w="975"/>
            <w:vAlign w:val="center"/>
          </w:tcPr>
          <w:p>
            <w:r>
              <w:rPr>
                <w:sz w:val="16"/>
              </w:rPr>
              <w:t>-0.010</w:t>
            </w:r>
          </w:p>
        </w:tc>
        <w:tc>
          <w:tcPr>
            <w:tcW w:type="dxa" w:w="975"/>
            <w:vAlign w:val="center"/>
          </w:tcPr>
          <w:p>
            <w:r>
              <w:rPr>
                <w:sz w:val="16"/>
              </w:rPr>
              <w:t>-0.018 to -0.003</w:t>
            </w:r>
          </w:p>
        </w:tc>
        <w:tc>
          <w:tcPr>
            <w:tcW w:type="dxa" w:w="975"/>
            <w:vAlign w:val="center"/>
          </w:tcPr>
          <w:p>
            <w:r>
              <w:rPr>
                <w:sz w:val="16"/>
              </w:rPr>
              <w:t>PLS</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0.827</w:t>
            </w:r>
          </w:p>
        </w:tc>
        <w:tc>
          <w:tcPr>
            <w:tcW w:type="dxa" w:w="975"/>
            <w:vAlign w:val="center"/>
          </w:tcPr>
          <w:p>
            <w:r>
              <w:rPr>
                <w:sz w:val="16"/>
              </w:rPr>
              <w:t>0.860</w:t>
            </w:r>
          </w:p>
        </w:tc>
        <w:tc>
          <w:tcPr>
            <w:tcW w:type="dxa" w:w="975"/>
            <w:vAlign w:val="center"/>
          </w:tcPr>
          <w:p>
            <w:r>
              <w:rPr>
                <w:sz w:val="16"/>
              </w:rPr>
              <w:t>0.033</w:t>
            </w:r>
          </w:p>
        </w:tc>
        <w:tc>
          <w:tcPr>
            <w:tcW w:type="dxa" w:w="975"/>
            <w:vAlign w:val="center"/>
          </w:tcPr>
          <w:p>
            <w:r>
              <w:rPr>
                <w:sz w:val="16"/>
              </w:rPr>
              <w:t>0.006 to 0.060</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0.825</w:t>
            </w:r>
          </w:p>
        </w:tc>
        <w:tc>
          <w:tcPr>
            <w:tcW w:type="dxa" w:w="975"/>
            <w:vAlign w:val="center"/>
          </w:tcPr>
          <w:p>
            <w:r>
              <w:rPr>
                <w:sz w:val="16"/>
              </w:rPr>
              <w:t>0.833</w:t>
            </w:r>
          </w:p>
        </w:tc>
        <w:tc>
          <w:tcPr>
            <w:tcW w:type="dxa" w:w="975"/>
            <w:vAlign w:val="center"/>
          </w:tcPr>
          <w:p>
            <w:r>
              <w:rPr>
                <w:sz w:val="16"/>
              </w:rPr>
              <w:t>0.007</w:t>
            </w:r>
          </w:p>
        </w:tc>
        <w:tc>
          <w:tcPr>
            <w:tcW w:type="dxa" w:w="975"/>
            <w:vAlign w:val="center"/>
          </w:tcPr>
          <w:p>
            <w:r>
              <w:rPr>
                <w:sz w:val="16"/>
              </w:rPr>
              <w:t>-0.005 to 0.020</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balanced accuracy</w:t>
            </w:r>
          </w:p>
        </w:tc>
        <w:tc>
          <w:tcPr>
            <w:tcW w:type="dxa" w:w="975"/>
            <w:vAlign w:val="center"/>
          </w:tcPr>
          <w:p>
            <w:r>
              <w:rPr>
                <w:sz w:val="16"/>
              </w:rPr>
              <w:t>0.818</w:t>
            </w:r>
          </w:p>
        </w:tc>
        <w:tc>
          <w:tcPr>
            <w:tcW w:type="dxa" w:w="975"/>
            <w:vAlign w:val="center"/>
          </w:tcPr>
          <w:p>
            <w:r>
              <w:rPr>
                <w:sz w:val="16"/>
              </w:rPr>
              <w:t>0.832</w:t>
            </w:r>
          </w:p>
        </w:tc>
        <w:tc>
          <w:tcPr>
            <w:tcW w:type="dxa" w:w="975"/>
            <w:vAlign w:val="center"/>
          </w:tcPr>
          <w:p>
            <w:r>
              <w:rPr>
                <w:sz w:val="16"/>
              </w:rPr>
              <w:t>0.014</w:t>
            </w:r>
          </w:p>
        </w:tc>
        <w:tc>
          <w:tcPr>
            <w:tcW w:type="dxa" w:w="975"/>
            <w:vAlign w:val="center"/>
          </w:tcPr>
          <w:p>
            <w:r>
              <w:rPr>
                <w:sz w:val="16"/>
              </w:rPr>
              <w:t>-0.006 to 0.034</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0.794</w:t>
            </w:r>
          </w:p>
        </w:tc>
        <w:tc>
          <w:tcPr>
            <w:tcW w:type="dxa" w:w="975"/>
            <w:vAlign w:val="center"/>
          </w:tcPr>
          <w:p>
            <w:r>
              <w:rPr>
                <w:sz w:val="16"/>
              </w:rPr>
              <w:t>0.788</w:t>
            </w:r>
          </w:p>
        </w:tc>
        <w:tc>
          <w:tcPr>
            <w:tcW w:type="dxa" w:w="975"/>
            <w:vAlign w:val="center"/>
          </w:tcPr>
          <w:p>
            <w:r>
              <w:rPr>
                <w:sz w:val="16"/>
              </w:rPr>
              <w:t>-0.006</w:t>
            </w:r>
          </w:p>
        </w:tc>
        <w:tc>
          <w:tcPr>
            <w:tcW w:type="dxa" w:w="975"/>
            <w:vAlign w:val="center"/>
          </w:tcPr>
          <w:p>
            <w:r>
              <w:rPr>
                <w:sz w:val="16"/>
              </w:rPr>
              <w:t>-0.021 to 0.009</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microsatellite_instability_sensitivity</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0.835</w:t>
            </w:r>
          </w:p>
        </w:tc>
        <w:tc>
          <w:tcPr>
            <w:tcW w:type="dxa" w:w="975"/>
            <w:vAlign w:val="center"/>
          </w:tcPr>
          <w:p>
            <w:r>
              <w:rPr>
                <w:sz w:val="16"/>
              </w:rPr>
              <w:t>0.053</w:t>
            </w:r>
          </w:p>
        </w:tc>
        <w:tc>
          <w:tcPr>
            <w:tcW w:type="dxa" w:w="975"/>
            <w:vAlign w:val="center"/>
          </w:tcPr>
          <w:p>
            <w:r>
              <w:rPr>
                <w:sz w:val="16"/>
              </w:rPr>
              <w:t>0.010 to 0.097</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0.792</w:t>
            </w:r>
          </w:p>
        </w:tc>
        <w:tc>
          <w:tcPr>
            <w:tcW w:type="dxa" w:w="975"/>
            <w:vAlign w:val="center"/>
          </w:tcPr>
          <w:p>
            <w:r>
              <w:rPr>
                <w:sz w:val="16"/>
              </w:rPr>
              <w:t>0.010</w:t>
            </w:r>
          </w:p>
        </w:tc>
        <w:tc>
          <w:tcPr>
            <w:tcW w:type="dxa" w:w="975"/>
            <w:vAlign w:val="center"/>
          </w:tcPr>
          <w:p>
            <w:r>
              <w:rPr>
                <w:sz w:val="16"/>
              </w:rPr>
              <w:t>-0.003 to 0.023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balanced accuracy</w:t>
            </w:r>
          </w:p>
        </w:tc>
        <w:tc>
          <w:tcPr>
            <w:tcW w:type="dxa" w:w="975"/>
            <w:vAlign w:val="center"/>
          </w:tcPr>
          <w:p>
            <w:r>
              <w:rPr>
                <w:sz w:val="16"/>
              </w:rPr>
              <w:t>0.781</w:t>
            </w:r>
          </w:p>
        </w:tc>
        <w:tc>
          <w:tcPr>
            <w:tcW w:type="dxa" w:w="975"/>
            <w:vAlign w:val="center"/>
          </w:tcPr>
          <w:p>
            <w:r>
              <w:rPr>
                <w:sz w:val="16"/>
              </w:rPr>
              <w:t>0.787</w:t>
            </w:r>
          </w:p>
        </w:tc>
        <w:tc>
          <w:tcPr>
            <w:tcW w:type="dxa" w:w="975"/>
            <w:vAlign w:val="center"/>
          </w:tcPr>
          <w:p>
            <w:r>
              <w:rPr>
                <w:sz w:val="16"/>
              </w:rPr>
              <w:t>0.006</w:t>
            </w:r>
          </w:p>
        </w:tc>
        <w:tc>
          <w:tcPr>
            <w:tcW w:type="dxa" w:w="975"/>
            <w:vAlign w:val="center"/>
          </w:tcPr>
          <w:p>
            <w:r>
              <w:rPr>
                <w:sz w:val="16"/>
              </w:rPr>
              <w:t>-0.024 to 0.036</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0.778</w:t>
            </w:r>
          </w:p>
        </w:tc>
        <w:tc>
          <w:tcPr>
            <w:tcW w:type="dxa" w:w="975"/>
            <w:vAlign w:val="center"/>
          </w:tcPr>
          <w:p>
            <w:r>
              <w:rPr>
                <w:sz w:val="16"/>
              </w:rPr>
              <w:t>0.773</w:t>
            </w:r>
          </w:p>
        </w:tc>
        <w:tc>
          <w:tcPr>
            <w:tcW w:type="dxa" w:w="975"/>
            <w:vAlign w:val="center"/>
          </w:tcPr>
          <w:p>
            <w:r>
              <w:rPr>
                <w:sz w:val="16"/>
              </w:rPr>
              <w:t>-0.005</w:t>
            </w:r>
          </w:p>
        </w:tc>
        <w:tc>
          <w:tcPr>
            <w:tcW w:type="dxa" w:w="975"/>
            <w:vAlign w:val="center"/>
          </w:tcPr>
          <w:p>
            <w:r>
              <w:rPr>
                <w:sz w:val="16"/>
              </w:rPr>
              <w:t>-0.018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Q2</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Q2</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Q2</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