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2,073 eligible tests. Grouping by TCGA tissue-source-site code reduced 83/323 candidates (25.7%) below the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institution-associated histology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sensitivity to grouping by TCGA tissue-source-site code;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stability and stability under grouping by TCGA tissue-source-site code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institution, scanner and population variation. Validation grouped by TCGA tissue-source-site code assigned all patients sharing the same two-character code to one outer fold. The same constraint on TCGA tissue-source-site code was passed to every inner component-selection split within the outer training set; thus neither outer performance estimation nor inner tuning divided a code across folds. For every model and outer fold, we recorded test and training patients, TCGA tissue-source-site codes,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information about TCGA tissue-source-site code, we treated that code as a multiclass outcome within each cancer. This dedicated confounding analysis retained codes represented by at least 10 patients, required at least two eligible codes per cancer, and used five independently seeded nested five-fold PLS–LDA validations with the same component range and rSVD controls. The primary metric was multiclass macro balanced accuracy (mean recall across TCGA tissue-source-site codes); chance was 1/k for k analysed codes, and a chance-normalised value, (balanced accuracy − 1/k)/(1 − 1/k), was calculated for cross-cancer description. Patients with rare codes excluded from this code-classification analysis remained in all eligible molecular-endpoint analyses. This analysis tests whether the representation encodes signatures associated with TCGA tissue-source-site code;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sensitivity to grouping by TCGA tissue-source-site code.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3655907"/>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3655907"/>
                    </a:xfrm>
                    <a:prstGeom prst="rect"/>
                  </pic:spPr>
                </pic:pic>
              </a:graphicData>
            </a:graphic>
          </wp:inline>
        </w:drawing>
      </w:r>
    </w:p>
    <w:p>
      <w:pPr>
        <w:pStyle w:val="Caption"/>
        <w:jc w:val="center"/>
      </w:pPr>
      <w:r>
        <w:t>Figure 2. Eighteen strongest within-cancer screen-positive continuous cancer–endpoint results, ranked by primary screening Q². The reduced set and larger typography improve readability; complete results and five-repeat estimates are in Supplementary Table S7 and machine-readable files. All Q² values use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stability and stability under grouping by TCGA tissue-source-site code reported alongside; q-values are not used for ranking.</w:t>
      </w:r>
    </w:p>
    <w:p>
      <w:pPr>
        <w:jc w:val="center"/>
      </w:pPr>
      <w:r>
        <w:drawing>
          <wp:inline xmlns:a="http://schemas.openxmlformats.org/drawingml/2006/main" xmlns:pic="http://schemas.openxmlformats.org/drawingml/2006/picture">
            <wp:extent cx="5806440" cy="381719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3817197"/>
                    </a:xfrm>
                    <a:prstGeom prst="rect"/>
                  </pic:spPr>
                </pic:pic>
              </a:graphicData>
            </a:graphic>
          </wp:inline>
        </w:drawing>
      </w:r>
    </w:p>
    <w:p>
      <w:pPr>
        <w:pStyle w:val="Caption"/>
        <w:jc w:val="center"/>
      </w:pPr>
      <w:r>
        <w:t>Figure 3. Eighteen strongest within-cancer screen-positive binary molecular predictions among the 87 models with at least 50 patients per class, ranked by primary screening balanced accuracy. Uniform point size and shortened labels reduce visual load; colour indicates endpoint family and symbols indicate across-cancer correction status. Complete BA, AUROC and PR-AUC results are in Supplementary Tables S6a, S7 and S10g. The 17 limited-evidence models appear in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estimates grouped by TCGA tissue-source-site code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3695007"/>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3695007"/>
                    </a:xfrm>
                    <a:prstGeom prst="rect"/>
                  </pic:spPr>
                </pic:pic>
              </a:graphicData>
            </a:graphic>
          </wp:inline>
        </w:drawing>
      </w:r>
    </w:p>
    <w:p>
      <w:pPr>
        <w:pStyle w:val="Caption"/>
        <w:jc w:val="center"/>
      </w:pPr>
      <w:r>
        <w:t>Figure 5. Breadth and family of screen-positive targets in the 15 cancers with the largest candidate counts. Restricting the display improves label size; complete cancer-level counts are in Supplementary Table S1. Absence of a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Sensitivity to grouping by TCGA tissue-source-site code</w:t>
      </w:r>
    </w:p>
    <w:p>
      <w:r>
        <w:t xml:space="preserve">Internal validation grouped by TCGA tissue-source-site code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Folds grouped by TCGA tissue-source-site code contain fewer and less evenly distributed training and test patients, so the decline cannot be attributed solely to confounding by that code; nevertheless, the near-chance colorectal APC results are not adequately summarised by the median and are prominently labelled as sensitive to grouping by TCGA tissue-source-site code in the registry and research-software output. </w:t>
      </w:r>
    </w:p>
    <w:p>
      <w:r>
        <w:t>Across 1,613 outer folds, test partitions contained 1–445 patients and 1–9 TCGA tissue-source-site codes; binary folds contained 0–130 positive and 0–269 negative patients. These imbalances are intrinsic to keeping complete code groups together and are reported model by model and fold by fold. The deterministic fold audit confirmed that no TCGA tissue-source-site code crossed an outer fold and that the same separation was maintained in every inner component-selection split.</w:t>
      </w:r>
    </w:p>
    <w:p>
      <w:r>
        <w:t>The dedicated within-cancer classification of TCGA tissue-source-site code analysis was evaluable in 27/32 cancers and included 7,863 patients from codes represented by at least 10 patients. All 27 observed macro balanced accuracies exceeded their cancer-specific 1/k chance reference; the median was 0.628 (range 0.425–0.966). The strongest chance-normalised code predictability occurred in UVM (macro balanced accuracy 0.966; 3 codes); OV (macro balanced accuracy 0.963; 2 codes); PAAD (macro balanced accuracy 0.911; 5 codes); ESCA (macro balanced accuracy 0.861; 7 codes); READ (macro balanced accuracy 0.862; 5 codes). ACC, CHOL, DLBC, MESO and UCS had fewer than two codes meeting the 10-patient requirement and were reported as ineligible. This result shows substantial information associated with TCGA tissue-source-site code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4569002"/>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4569002"/>
                    </a:xfrm>
                    <a:prstGeom prst="rect"/>
                  </pic:spPr>
                </pic:pic>
              </a:graphicData>
            </a:graphic>
          </wp:inline>
        </w:drawing>
      </w:r>
    </w:p>
    <w:p>
      <w:pPr>
        <w:pStyle w:val="Caption"/>
        <w:jc w:val="center"/>
      </w:pPr>
      <w:r>
        <w:t>Figure 6. Sensitivity to grouping by TCGA tissue-source-site code as a principal result. Panel A compares all 323 random-fold estimates with estimates grouped by TCGA tissue-source-site code; Panel B shows the six largest attenuations; Panel C shows the 10 strongest chance-normalised within-cancer code-classification results. Larger typography and restricted ranked panels improve readability. This grouping remains internal to TCGA; the code is not an institutional, scanner or laboratory identifier, and the analysis is not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analysis grouped by TCGA tissue-source-site code.</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r>
        <w:t>No non-TCGA patient entered model evaluation, and no external performance result is reported. The prespecified targets and protocol for future independent evaluation are provided in Supplementary Table S6c and the software documentation.</w:t>
      </w:r>
    </w:p>
    <w:p>
      <w:pPr>
        <w:pStyle w:val="Heading2"/>
      </w:pPr>
      <w:r>
        <w:t>Illustrative COAD profiles</w:t>
      </w:r>
    </w:p>
    <w:p>
      <w:r>
        <w:t>Two COAD participants, TCGA-AA-A01F and TCGA-AA-3972, illustrate contrasting continuous and binary profiles (Figure 7). The pair was chosen post hoc after clinical-text and profile-saturation restrictions and then maximising Euclidean separation across continuous TCGA OOF prediction ranks;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an illustration, not performance, prevalence, prognosis or treatment-response evidence.</w:t>
      </w:r>
    </w:p>
    <w:p>
      <w:pPr>
        <w:jc w:val="center"/>
      </w:pPr>
      <w:r>
        <w:drawing>
          <wp:inline xmlns:a="http://schemas.openxmlformats.org/drawingml/2006/main" xmlns:pic="http://schemas.openxmlformats.org/drawingml/2006/picture">
            <wp:extent cx="6126480" cy="5039524"/>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039524"/>
                    </a:xfrm>
                    <a:prstGeom prst="rect"/>
                  </pic:spPr>
                </pic:pic>
              </a:graphicData>
            </a:graphic>
          </wp:inline>
        </w:drawing>
      </w:r>
    </w:p>
    <w:p>
      <w:pPr>
        <w:pStyle w:val="Caption"/>
        <w:jc w:val="center"/>
      </w:pPr>
      <w:r>
        <w:t>Figure 7. Post hoc TITANPred research-software visualization for two COAD participants. Panel A replaces separate radar plots with a common-scale dumbbell comparison of eight continuous TCGA OOF ranks; the right column preserves each original prediction. Panel B compares six binary PLS-LDA score ranks and calls with development class counts. Complete outputs remain in the separate case reports. All ranks are explicitly not probabilities. The pair was selected after clinical-text and saturation restrictions by maximising continuous-profile separation, intentionally enhancing contrast. Treatment and outcomes are not displayed. This is an interface illustration, not external validation or representative case sampling.</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sensitivity to grouping by TCGA tissue-source-site code,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Sensitivity to grouping by TCGA tissue-source-site code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carry a prominent warning rather than be described as robust biological signals. The model registry and inference output therefore expose the grouped metric, delta, number of TCGA tissue-source-site codes, threshold-retention status and warning for every affected endpoint.</w:t>
      </w:r>
    </w:p>
    <w:p>
      <w:r>
        <w:t>The complementary classification analysis of TCGA tissue-source-site code analysis strengthens this interpretation: the fixed TITAN representation predicted the code within 27/32 evaluable cancers, with median macro balanced accuracy 0.628 despite cancer-specific chance references from 0.053 to 0.500. This demonstrates that information about the TCGA tissue-source-site code is present in the representation and could support confounding. It does not show that each attenuated molecular model is wholly artifactual, because the code correlates with case mix and molecular prevalence as well as technical acquisition. Conversely, successful grouping by TCGA tissue-source-site code cannot prove transportability: the barcode-derived code is not an institution, scanner, staining laboratory or batch identifier.</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sensitivity analysis grouped by TCGA tissue-source-site code,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'internal validation grouped by TCGA tissue-source-site code'—cannot establish transportability to another institution, scanner, stain distribution or patient population. The TCGA tissue-source-site code is not an institution,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Grouping by TCGA tissue-source-site code probes one source of heterogeneity but does not directly identify an institution and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