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1F4D78"/>
          <w:sz w:val="46"/>
        </w:rPr>
        <w:t>REVIEWER REPORT</w:t>
      </w:r>
    </w:p>
    <w:p>
      <w:r>
        <w:rPr>
          <w:rFonts w:ascii="Calibri" w:hAnsi="Calibri"/>
          <w:b w:val="0"/>
          <w:i w:val="0"/>
          <w:color w:val="5A5A5A"/>
          <w:sz w:val="28"/>
        </w:rPr>
        <w:t>A systematic patient-level benchmark and reusable model resource for molecular and derived immune-feature prediction from pretrained TITAN whole-slide representations across 32 TCGA cancers</w:t>
      </w:r>
    </w:p>
    <w:p>
      <w:pPr>
        <w:spacing w:after="40"/>
      </w:pPr>
      <w:r>
        <w:rPr>
          <w:rFonts w:ascii="Calibri" w:hAnsi="Calibri"/>
          <w:b/>
          <w:i w:val="0"/>
          <w:color w:val="000000"/>
          <w:sz w:val="22"/>
        </w:rPr>
        <w:t xml:space="preserve">Target journal: </w:t>
      </w:r>
      <w:r>
        <w:rPr>
          <w:rFonts w:ascii="Calibri" w:hAnsi="Calibri"/>
          <w:b w:val="0"/>
          <w:i w:val="0"/>
          <w:color w:val="000000"/>
          <w:sz w:val="22"/>
        </w:rPr>
        <w:t>Journal of Translational Medicine — Molecular Pathology</w:t>
      </w:r>
    </w:p>
    <w:p>
      <w:pPr>
        <w:spacing w:after="40"/>
      </w:pPr>
      <w:r>
        <w:rPr>
          <w:rFonts w:ascii="Calibri" w:hAnsi="Calibri"/>
          <w:b/>
          <w:i w:val="0"/>
          <w:color w:val="000000"/>
          <w:sz w:val="22"/>
        </w:rPr>
        <w:t xml:space="preserve">Article type: </w:t>
      </w:r>
      <w:r>
        <w:rPr>
          <w:rFonts w:ascii="Calibri" w:hAnsi="Calibri"/>
          <w:b w:val="0"/>
          <w:i w:val="0"/>
          <w:color w:val="000000"/>
          <w:sz w:val="22"/>
        </w:rPr>
        <w:t>Research article</w:t>
      </w:r>
    </w:p>
    <w:p>
      <w:pPr>
        <w:spacing w:after="40"/>
      </w:pPr>
      <w:r>
        <w:rPr>
          <w:rFonts w:ascii="Calibri" w:hAnsi="Calibri"/>
          <w:b/>
          <w:i w:val="0"/>
          <w:color w:val="000000"/>
          <w:sz w:val="22"/>
        </w:rPr>
        <w:t xml:space="preserve">Review basis: </w:t>
      </w:r>
      <w:r>
        <w:rPr>
          <w:rFonts w:ascii="Calibri" w:hAnsi="Calibri"/>
          <w:b w:val="0"/>
          <w:i w:val="0"/>
          <w:color w:val="000000"/>
          <w:sz w:val="22"/>
        </w:rPr>
        <w:t>Fresh review of the revised manuscript, supplement and reproducibility materials</w:t>
      </w:r>
    </w:p>
    <w:p>
      <w:pPr>
        <w:spacing w:after="40"/>
      </w:pPr>
      <w:r>
        <w:rPr>
          <w:rFonts w:ascii="Calibri" w:hAnsi="Calibri"/>
          <w:b/>
          <w:i w:val="0"/>
          <w:color w:val="000000"/>
          <w:sz w:val="22"/>
        </w:rPr>
        <w:t xml:space="preserve">Recommendation: </w:t>
      </w:r>
      <w:r>
        <w:rPr>
          <w:rFonts w:ascii="Calibri" w:hAnsi="Calibri"/>
          <w:b w:val="0"/>
          <w:i w:val="0"/>
          <w:color w:val="000000"/>
          <w:sz w:val="22"/>
        </w:rPr>
        <w:t>Major revision; consider only under an explicit computational-resource framing unless external validation is added</w:t>
      </w:r>
    </w:p>
    <w:p>
      <w:pPr>
        <w:spacing w:after="40"/>
      </w:pPr>
      <w:r>
        <w:rPr>
          <w:rFonts w:ascii="Calibri" w:hAnsi="Calibri"/>
          <w:b/>
          <w:i w:val="0"/>
          <w:color w:val="000000"/>
          <w:sz w:val="22"/>
        </w:rPr>
        <w:t xml:space="preserve">Date: </w:t>
      </w:r>
      <w:r>
        <w:rPr>
          <w:rFonts w:ascii="Calibri" w:hAnsi="Calibri"/>
          <w:b w:val="0"/>
          <w:i w:val="0"/>
          <w:color w:val="000000"/>
          <w:sz w:val="22"/>
        </w:rPr>
        <w:t>24 August 2026</w:t>
      </w:r>
    </w:p>
    <w:p>
      <w:pPr>
        <w:spacing w:before="240" w:after="200"/>
        <w:ind w:left="173" w:right="173"/>
        <w:shd w:fill="EEF4F8"/>
      </w:pPr>
      <w:r>
        <w:rPr>
          <w:rFonts w:ascii="Calibri" w:hAnsi="Calibri"/>
          <w:b/>
          <w:i w:val="0"/>
          <w:color w:val="1F4D78"/>
          <w:sz w:val="22"/>
        </w:rPr>
        <w:t xml:space="preserve">Overall assessment. </w:t>
      </w:r>
      <w:r>
        <w:rPr>
          <w:rFonts w:ascii="Calibri" w:hAnsi="Calibri"/>
          <w:b w:val="0"/>
          <w:i w:val="0"/>
          <w:color w:val="000000"/>
          <w:sz w:val="22"/>
        </w:rPr>
        <w:t>This is a carefully reconstructed, patient-level TCGA benchmark and research-software resource. The revised work addresses the major scientific concerns that would otherwise prevent interpretation: multiple slides are aggregated before validation; molecular missingness is not labelled wild type; binary models use PLS–LDA; continuous and binary performance is reported with uncertainty; multiplicity is shown locally, across cancers and atlas-wide; and the absence of independent external validation is explicit. A metadata-stratified, performance-independent comparison now shows that ridge often matches or exceeds PLS, so the manuscript retains PLS only as the prespecified reference analysis and makes no optimality claim. The revised wording no longer presents internal TCGA estimates as translational evidence. Nevertheless, independent validation remains the decisive missing element for publication as a translational prediction study.</w:t>
      </w:r>
    </w:p>
    <w:p>
      <w:pPr>
        <w:pStyle w:val="Heading1"/>
        <w:keepNext/>
      </w:pPr>
      <w:r>
        <w:t>Confidential comments to the editor</w:t>
      </w:r>
    </w:p>
    <w:p>
      <w:pPr>
        <w:spacing w:after="120" w:line="264" w:lineRule="auto"/>
      </w:pPr>
      <w:r>
        <w:rPr>
          <w:rFonts w:ascii="Calibri" w:hAnsi="Calibri"/>
          <w:b w:val="0"/>
          <w:i w:val="0"/>
          <w:color w:val="000000"/>
          <w:sz w:val="22"/>
        </w:rPr>
        <w:t>The manuscript is unusually transparent and technically better controlled than many large TCGA prediction screens. Patient-level pooling, nested validation, explicit negative-result reporting and target-level sensitivity to grouping by TCGA tissue-source-site code are important strengths.</w:t>
      </w:r>
    </w:p>
    <w:p>
      <w:pPr>
        <w:spacing w:after="120" w:line="264" w:lineRule="auto"/>
      </w:pPr>
      <w:r>
        <w:rPr>
          <w:rFonts w:ascii="Calibri" w:hAnsi="Calibri"/>
          <w:b w:val="0"/>
          <w:i w:val="0"/>
          <w:color w:val="000000"/>
          <w:sz w:val="22"/>
        </w:rPr>
        <w:t>However, it remains an internally validated TCGA benchmark whose mutation results substantially overlap the existing literature. The most compelling contribution is the unified analysis and reusable model infrastructure rather than novel biomarker discovery. The lack of external validation is particularly important for a translational journal, and the collapse of several leading results under grouping by TCGA tissue-source-site code reinforces this concern.</w:t>
      </w:r>
    </w:p>
    <w:p>
      <w:pPr>
        <w:spacing w:after="120" w:line="264" w:lineRule="auto"/>
      </w:pPr>
      <w:r>
        <w:rPr>
          <w:rFonts w:ascii="Calibri" w:hAnsi="Calibri"/>
          <w:b w:val="0"/>
          <w:i w:val="0"/>
          <w:color w:val="000000"/>
          <w:sz w:val="22"/>
        </w:rPr>
        <w:t>I would support major revision only if the authors can resolve the TITAN-derived fitted-model redistribution/licensing question and materially strengthen transportability evidence, preferably through locked external validation. The current private, access-controlled status of TITANPred avoids an unsupported public-redistribution claim but does not itself constitute definitive licensing clearance. Without those changes, I would recommend rejection with encouragement to transfer the work to a computational pathology, bioinformatics or research-resource venue.</w:t>
      </w:r>
    </w:p>
    <w:p>
      <w:pPr>
        <w:pStyle w:val="Heading2"/>
        <w:keepNext/>
      </w:pPr>
      <w:r>
        <w:t>Summary judgement</w:t>
      </w:r>
    </w:p>
    <w:tbl>
      <w:tblPr>
        <w:tblStyle w:val="TableGrid"/>
        <w:tblW w:type="auto" w:w="0"/>
        <w:tblLayout w:type="autofit"/>
        <w:tblLook w:firstColumn="1" w:firstRow="1" w:lastColumn="0" w:lastRow="0" w:noHBand="0" w:noVBand="1" w:val="04A0"/>
      </w:tblPr>
      <w:tblGrid>
        <w:gridCol w:w="4680"/>
        <w:gridCol w:w="4680"/>
      </w:tblGrid>
      <w:tr>
        <w:tc>
          <w:tcPr>
            <w:tcW w:type="dxa" w:w="4680"/>
          </w:tcPr>
          <w:p>
            <w:r>
              <w:rPr>
                <w:rFonts w:ascii="Calibri" w:hAnsi="Calibri"/>
                <w:b/>
                <w:i w:val="0"/>
                <w:color w:val="1F4D78"/>
                <w:sz w:val="22"/>
              </w:rPr>
              <w:t>Criterion</w:t>
            </w:r>
          </w:p>
        </w:tc>
        <w:tc>
          <w:tcPr>
            <w:tcW w:type="dxa" w:w="4680"/>
          </w:tcPr>
          <w:p>
            <w:r>
              <w:rPr>
                <w:rFonts w:ascii="Calibri" w:hAnsi="Calibri"/>
                <w:b/>
                <w:i w:val="0"/>
                <w:color w:val="1F4D78"/>
                <w:sz w:val="22"/>
              </w:rPr>
              <w:t>Assessment</w:t>
            </w:r>
          </w:p>
        </w:tc>
      </w:tr>
      <w:tr>
        <w:tc>
          <w:tcPr>
            <w:tcW w:type="dxa" w:w="4680"/>
          </w:tcPr>
          <w:p>
            <w:r>
              <w:rPr>
                <w:rFonts w:ascii="Calibri" w:hAnsi="Calibri"/>
                <w:b/>
                <w:i w:val="0"/>
                <w:color w:val="000000"/>
                <w:sz w:val="22"/>
              </w:rPr>
              <w:t>Scientific question</w:t>
            </w:r>
          </w:p>
        </w:tc>
        <w:tc>
          <w:tcPr>
            <w:tcW w:type="dxa" w:w="4680"/>
          </w:tcPr>
          <w:p>
            <w:r>
              <w:rPr>
                <w:rFonts w:ascii="Calibri" w:hAnsi="Calibri"/>
                <w:b w:val="0"/>
                <w:i w:val="0"/>
                <w:color w:val="000000"/>
                <w:sz w:val="22"/>
              </w:rPr>
              <w:t>Important and timely</w:t>
            </w:r>
          </w:p>
        </w:tc>
      </w:tr>
      <w:tr>
        <w:tc>
          <w:tcPr>
            <w:tcW w:type="dxa" w:w="4680"/>
          </w:tcPr>
          <w:p>
            <w:r>
              <w:rPr>
                <w:rFonts w:ascii="Calibri" w:hAnsi="Calibri"/>
                <w:b/>
                <w:i w:val="0"/>
                <w:color w:val="000000"/>
                <w:sz w:val="22"/>
              </w:rPr>
              <w:t>Technical execution</w:t>
            </w:r>
          </w:p>
        </w:tc>
        <w:tc>
          <w:tcPr>
            <w:tcW w:type="dxa" w:w="4680"/>
          </w:tcPr>
          <w:p>
            <w:r>
              <w:rPr>
                <w:rFonts w:ascii="Calibri" w:hAnsi="Calibri"/>
                <w:b w:val="0"/>
                <w:i w:val="0"/>
                <w:color w:val="000000"/>
                <w:sz w:val="22"/>
              </w:rPr>
              <w:t>Generally strong, with important statistical issues</w:t>
            </w:r>
          </w:p>
        </w:tc>
      </w:tr>
      <w:tr>
        <w:tc>
          <w:tcPr>
            <w:tcW w:type="dxa" w:w="4680"/>
          </w:tcPr>
          <w:p>
            <w:r>
              <w:rPr>
                <w:rFonts w:ascii="Calibri" w:hAnsi="Calibri"/>
                <w:b/>
                <w:i w:val="0"/>
                <w:color w:val="000000"/>
                <w:sz w:val="22"/>
              </w:rPr>
              <w:t>Transparency and reproducibility</w:t>
            </w:r>
          </w:p>
        </w:tc>
        <w:tc>
          <w:tcPr>
            <w:tcW w:type="dxa" w:w="4680"/>
          </w:tcPr>
          <w:p>
            <w:r>
              <w:rPr>
                <w:rFonts w:ascii="Calibri" w:hAnsi="Calibri"/>
                <w:b w:val="0"/>
                <w:i w:val="0"/>
                <w:color w:val="000000"/>
                <w:sz w:val="22"/>
              </w:rPr>
              <w:t>Very strong</w:t>
            </w:r>
          </w:p>
        </w:tc>
      </w:tr>
      <w:tr>
        <w:tc>
          <w:tcPr>
            <w:tcW w:type="dxa" w:w="4680"/>
          </w:tcPr>
          <w:p>
            <w:r>
              <w:rPr>
                <w:rFonts w:ascii="Calibri" w:hAnsi="Calibri"/>
                <w:b/>
                <w:i w:val="0"/>
                <w:color w:val="000000"/>
                <w:sz w:val="22"/>
              </w:rPr>
              <w:t>Novelty</w:t>
            </w:r>
          </w:p>
        </w:tc>
        <w:tc>
          <w:tcPr>
            <w:tcW w:type="dxa" w:w="4680"/>
          </w:tcPr>
          <w:p>
            <w:r>
              <w:rPr>
                <w:rFonts w:ascii="Calibri" w:hAnsi="Calibri"/>
                <w:b w:val="0"/>
                <w:i w:val="0"/>
                <w:color w:val="000000"/>
                <w:sz w:val="22"/>
              </w:rPr>
              <w:t>Moderate; mainly framework/resource novelty</w:t>
            </w:r>
          </w:p>
        </w:tc>
      </w:tr>
      <w:tr>
        <w:tc>
          <w:tcPr>
            <w:tcW w:type="dxa" w:w="4680"/>
          </w:tcPr>
          <w:p>
            <w:r>
              <w:rPr>
                <w:rFonts w:ascii="Calibri" w:hAnsi="Calibri"/>
                <w:b/>
                <w:i w:val="0"/>
                <w:color w:val="000000"/>
                <w:sz w:val="22"/>
              </w:rPr>
              <w:t>Biological interpretation</w:t>
            </w:r>
          </w:p>
        </w:tc>
        <w:tc>
          <w:tcPr>
            <w:tcW w:type="dxa" w:w="4680"/>
          </w:tcPr>
          <w:p>
            <w:r>
              <w:rPr>
                <w:rFonts w:ascii="Calibri" w:hAnsi="Calibri"/>
                <w:b w:val="0"/>
                <w:i w:val="0"/>
                <w:color w:val="000000"/>
                <w:sz w:val="22"/>
              </w:rPr>
              <w:t>Limited</w:t>
            </w:r>
          </w:p>
        </w:tc>
      </w:tr>
      <w:tr>
        <w:tc>
          <w:tcPr>
            <w:tcW w:type="dxa" w:w="4680"/>
          </w:tcPr>
          <w:p>
            <w:r>
              <w:rPr>
                <w:rFonts w:ascii="Calibri" w:hAnsi="Calibri"/>
                <w:b/>
                <w:i w:val="0"/>
                <w:color w:val="000000"/>
                <w:sz w:val="22"/>
              </w:rPr>
              <w:t>External/translational validation</w:t>
            </w:r>
          </w:p>
        </w:tc>
        <w:tc>
          <w:tcPr>
            <w:tcW w:type="dxa" w:w="4680"/>
          </w:tcPr>
          <w:p>
            <w:r>
              <w:rPr>
                <w:rFonts w:ascii="Calibri" w:hAnsi="Calibri"/>
                <w:b w:val="0"/>
                <w:i w:val="0"/>
                <w:color w:val="000000"/>
                <w:sz w:val="22"/>
              </w:rPr>
              <w:t>Insufficient</w:t>
            </w:r>
          </w:p>
        </w:tc>
      </w:tr>
      <w:tr>
        <w:tc>
          <w:tcPr>
            <w:tcW w:type="dxa" w:w="4680"/>
          </w:tcPr>
          <w:p>
            <w:r>
              <w:rPr>
                <w:rFonts w:ascii="Calibri" w:hAnsi="Calibri"/>
                <w:b/>
                <w:i w:val="0"/>
                <w:color w:val="000000"/>
                <w:sz w:val="22"/>
              </w:rPr>
              <w:t>Presentation</w:t>
            </w:r>
          </w:p>
        </w:tc>
        <w:tc>
          <w:tcPr>
            <w:tcW w:type="dxa" w:w="4680"/>
          </w:tcPr>
          <w:p>
            <w:r>
              <w:rPr>
                <w:rFonts w:ascii="Calibri" w:hAnsi="Calibri"/>
                <w:b w:val="0"/>
                <w:i w:val="0"/>
                <w:color w:val="000000"/>
                <w:sz w:val="22"/>
              </w:rPr>
              <w:t>Clear but overly dense</w:t>
            </w:r>
          </w:p>
        </w:tc>
      </w:tr>
      <w:tr>
        <w:tc>
          <w:tcPr>
            <w:tcW w:type="dxa" w:w="4680"/>
          </w:tcPr>
          <w:p>
            <w:r>
              <w:rPr>
                <w:rFonts w:ascii="Calibri" w:hAnsi="Calibri"/>
                <w:b/>
                <w:i w:val="0"/>
                <w:color w:val="000000"/>
                <w:sz w:val="22"/>
              </w:rPr>
              <w:t>Current decision</w:t>
            </w:r>
          </w:p>
        </w:tc>
        <w:tc>
          <w:tcPr>
            <w:tcW w:type="dxa" w:w="4680"/>
          </w:tcPr>
          <w:p>
            <w:r>
              <w:rPr>
                <w:rFonts w:ascii="Calibri" w:hAnsi="Calibri"/>
                <w:b/>
                <w:i w:val="0"/>
                <w:color w:val="000000"/>
                <w:sz w:val="22"/>
              </w:rPr>
              <w:t>Major revision</w:t>
            </w:r>
          </w:p>
        </w:tc>
      </w:tr>
    </w:tbl>
    <w:p>
      <w:pPr>
        <w:spacing w:after="120" w:line="264" w:lineRule="auto"/>
      </w:pPr>
      <w:r>
        <w:rPr>
          <w:rFonts w:ascii="Calibri" w:hAnsi="Calibri"/>
          <w:b w:val="0"/>
          <w:i w:val="0"/>
          <w:color w:val="000000"/>
          <w:sz w:val="22"/>
        </w:rPr>
        <w:t>The manuscript has a strong publishable core, but the next revision should be organised around four priorities: independent validation, reporting of robustness to grouping by TCGA tissue-source-site code, a fair modelling comparison, and definitive licensing clearance.</w:t>
      </w:r>
    </w:p>
    <w:p>
      <w:pPr>
        <w:pStyle w:val="Heading1"/>
        <w:keepNext/>
      </w:pPr>
      <w:r>
        <w:t>Comments to the authors</w:t>
      </w:r>
    </w:p>
    <w:p>
      <w:pPr>
        <w:pStyle w:val="Heading2"/>
        <w:keepNext/>
      </w:pPr>
      <w:r>
        <w:t>1. Scientific design and analysis</w:t>
      </w:r>
    </w:p>
    <w:p>
      <w:pPr>
        <w:spacing w:after="120" w:line="264" w:lineRule="auto"/>
      </w:pPr>
      <w:r>
        <w:rPr>
          <w:rFonts w:ascii="Calibri" w:hAnsi="Calibri"/>
          <w:b w:val="0"/>
          <w:i w:val="0"/>
          <w:color w:val="000000"/>
          <w:sz w:val="22"/>
        </w:rPr>
        <w:t>The patient is now the analysis unit and 843 patients with multiple eligible slides are pooled before outcome matching and fold assignment. The first-slide sensitivity is an appropriate patient-aggregation check. Sensitivity to grouping by TCGA tissue-source-site code is now treated separately as a central finding. Mutation denominators are restricted to 8,476 MC3-profiled patients, while 919 patients without a matched profile remain missing; the nine retained protein-altering variant classes are now explicit and audited. The source-level aliquot and fusion-coverage audits make the outcome construction reproducible. The TCGA Clinical Data Resource supplies descriptive characteristics for 9,385 matched participants, including age, recorded gender, race and broad stage overall and by cancer. A new denominator-first subgroup audit covers 266 high-volume models. Both recorded-sex groups were estimable in 138 continuous and 56 binary models; at least two broad race groups were estimable in 98 continuous and 32 binary models. Exact counts, metrics and non-estimability reasons are supplied for every screen-positive model–subgroup row.</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The manuscript should retain the exact wild-type, fusion-negative and patient-aggregation definitions during copyediting, and should not imply that post hoc internal subgroup estimates constitute fairness validation or demographic equivalence.</w:t>
      </w:r>
    </w:p>
    <w:p>
      <w:pPr>
        <w:pStyle w:val="Heading2"/>
        <w:keepNext/>
      </w:pPr>
      <w:r>
        <w:t>2. Multiplicity and interpretation</w:t>
      </w:r>
    </w:p>
    <w:p>
      <w:pPr>
        <w:spacing w:after="120" w:line="264" w:lineRule="auto"/>
      </w:pPr>
      <w:r>
        <w:rPr>
          <w:rFonts w:ascii="Calibri" w:hAnsi="Calibri"/>
          <w:b w:val="0"/>
          <w:i w:val="0"/>
          <w:color w:val="000000"/>
          <w:sz w:val="22"/>
        </w:rPr>
        <w:t>The final screen reports 219 continuous and 104 binary within-cancer candidates. The stricter across-cancer family correction retains 219 continuous and 39 mutation pairs, while 320/323 local candidates pass one BH correction across all 2,073 eligible atlas tests. The manuscript correctly distinguishes this single atlas-wide sensitivity from its primary local cancer-specific questions. It also now states explicitly that every permutation reruns training-fold centering, inner component selection, outer refitting and held-out prediction. Among completed 999-permutation tests, 308 had zero exceedances; the exact two-sided 95% Monte Carlo interval is 0–0.003686. The locked eight-model refinement continues the same streams to 9,999 full permutations, with 8/8 zero-exceedance results and refined p-values all 0.0001. The refinement is appropriately presented as a precision sensitivity rather than being inserted post hoc into the prespecified FDR screen. Models are ordered by the outcome-appropriate predictive metric, repeated stability and stability under grouping by TCGA tissue-source-site code are reported alongside, and tied minimum q-values are not used for ranking. The former effect-sounding categories have been replaced by the neutral labels 'prespecified screening tier A' and 'prespecified screening tier B'. The Methods state that these are prioritisation rules based on Q² for continuous outcomes and 2×balanced accuracy−1 for binary outcomes, not established clinical or statistical effect categories or directly commensurate scales.</w:t>
      </w:r>
    </w:p>
    <w:p>
      <w:pPr>
        <w:spacing w:after="120" w:line="264" w:lineRule="auto"/>
      </w:pPr>
      <w:r>
        <w:rPr>
          <w:rFonts w:ascii="Calibri" w:hAnsi="Calibri"/>
          <w:b/>
          <w:i w:val="0"/>
          <w:color w:val="000000"/>
          <w:sz w:val="22"/>
        </w:rPr>
        <w:t>No additional multiplicity correction is requested.</w:t>
      </w:r>
      <w:r>
        <w:rPr>
          <w:rFonts w:ascii="Calibri" w:hAnsi="Calibri"/>
          <w:b w:val="0"/>
          <w:i w:val="0"/>
          <w:color w:val="000000"/>
          <w:sz w:val="22"/>
        </w:rPr>
        <w:t xml:space="preserve"> Preserve the numerical distinction between within-cancer, across-cancer-family and atlas-wide results, and retain the Monte Carlo interval and targeted-refinement caveats.</w:t>
      </w:r>
    </w:p>
    <w:p>
      <w:pPr>
        <w:pStyle w:val="Heading2"/>
        <w:keepNext/>
      </w:pPr>
      <w:r>
        <w:t>3. Performance reporting and research-use provenance</w:t>
      </w:r>
    </w:p>
    <w:p>
      <w:pPr>
        <w:spacing w:after="120" w:line="264" w:lineRule="auto"/>
      </w:pPr>
      <w:r>
        <w:rPr>
          <w:rFonts w:ascii="Calibri" w:hAnsi="Calibri"/>
          <w:b w:val="0"/>
          <w:i w:val="0"/>
          <w:color w:val="000000"/>
          <w:sz w:val="22"/>
        </w:rPr>
        <w:t>The 24 highlighted models report sensitivity, specificity, balanced accuracy, AUROC, PR-AUC and cohort-specific PPV/NPV for binary outcomes and Q², RMSE and Spearman correlation for continuous outcomes, with 95% selection-conditioned patient-resampling intervals for repeated out-of-fold predictions. The Methods and Discussion now state that these intervals resample patients from five fixed prediction sets and do not repeat screening, fold generation, tuning or fitting. They do not remove winner's-curse optimism or estimate external performance. The observed-versus-predicted figure is useful. Model artifacts record ordered feature schema, checksums, training ranges, pooling, endpoint transformations, output units, class coding, priors, decision behaviour, calibration status and external-validation status. The registry also reports the exact fastPLS commit, computation backend and exclusive seeded rSVD configuration. Removal of training latent-score and fitted-value rows strengthens the portability claim.</w:t>
      </w:r>
    </w:p>
    <w:p>
      <w:pPr>
        <w:spacing w:after="120" w:line="264" w:lineRule="auto"/>
      </w:pPr>
      <w:r>
        <w:rPr>
          <w:rFonts w:ascii="Calibri" w:hAnsi="Calibri"/>
          <w:b/>
          <w:i w:val="0"/>
          <w:color w:val="000000"/>
          <w:sz w:val="22"/>
        </w:rPr>
        <w:t>No additional analysis requested.</w:t>
      </w:r>
      <w:r>
        <w:rPr>
          <w:rFonts w:ascii="Calibri" w:hAnsi="Calibri"/>
          <w:b w:val="0"/>
          <w:i w:val="0"/>
          <w:color w:val="000000"/>
          <w:sz w:val="22"/>
        </w:rPr>
        <w:t xml:space="preserve"> Continue to describe LDA scores as uncalibrated and all fitted objects as research-only TCGA models; PPV and NPV must remain explicitly tied to observed TCGA prevalence.</w:t>
      </w:r>
    </w:p>
    <w:p>
      <w:pPr>
        <w:pStyle w:val="Heading2"/>
        <w:keepNext/>
      </w:pPr>
      <w:r>
        <w:t>4. Sensitivity to grouping by TCGA tissue-source-site code and confounding</w:t>
      </w:r>
    </w:p>
    <w:p>
      <w:pPr>
        <w:spacing w:after="120" w:line="264" w:lineRule="auto"/>
      </w:pPr>
      <w:r>
        <w:rPr>
          <w:rFonts w:ascii="Calibri" w:hAnsi="Calibri"/>
          <w:b w:val="0"/>
          <w:i w:val="0"/>
          <w:color w:val="000000"/>
          <w:sz w:val="22"/>
        </w:rPr>
        <w:t>The revised manuscript now makes the result from grouping by TCGA tissue-source-site code visible rather than reducing it to a median robustness statistic. Main Figure 6 shows every target, the largest attenuations and the new within-cancer classifiers of TCGA tissue-source-site code; Supplementary Table S6a reports grouped performance beside highlighted models. Overall, 83/323 screen-positive models (25.7%) fell below their original prespecified screening threshold. READ–APC and COAD–APC declined to balanced accuracies 0.495 and 0.543. The public analysis registry and inference output expose the grouped metric, delta, number of TCGA tissue-source-site codes, threshold-retention status and prominent warning for every model. The complete fold audit reports patients, codes and class counts in all 1,613 outer folds and confirms that inner component selection also kept each TCGA tissue-source-site code intact.</w:t>
      </w:r>
    </w:p>
    <w:p>
      <w:pPr>
        <w:spacing w:after="120" w:line="264" w:lineRule="auto"/>
      </w:pPr>
      <w:r>
        <w:rPr>
          <w:rFonts w:ascii="Calibri" w:hAnsi="Calibri"/>
          <w:b w:val="0"/>
          <w:i w:val="0"/>
          <w:color w:val="000000"/>
          <w:sz w:val="22"/>
        </w:rPr>
        <w:t>The dedicated repeated nested analysis predicted TCGA tissue-source-site code from TITAN representations in 27/32 evaluable cancers, with median multiclass macro balanced accuracy 0.628. This quantifies substantial confounding potential. The manuscript appropriately calls the endpoint analysis 'internal validation grouped by TCGA tissue-source-site code' and does not interpret retained performance as proof of scanner, laboratory or institutional transportability. Tissue-source the barcode-derived code is not an institution, scanner or laboratory identifier, and smaller grouped folds can account for part—but not all—of the attenuation.</w:t>
      </w:r>
    </w:p>
    <w:p>
      <w:pPr>
        <w:pStyle w:val="Heading2"/>
        <w:keepNext/>
      </w:pPr>
      <w:r>
        <w:t>5. Metadata-stratified PLS–ridge benchmark</w:t>
      </w:r>
    </w:p>
    <w:p>
      <w:pPr>
        <w:spacing w:after="120" w:line="264" w:lineRule="auto"/>
      </w:pPr>
      <w:r>
        <w:rPr>
          <w:rFonts w:ascii="Calibri" w:hAnsi="Calibri"/>
          <w:b w:val="0"/>
          <w:i w:val="0"/>
          <w:color w:val="000000"/>
          <w:sz w:val="22"/>
        </w:rPr>
        <w:t>The revised comparison is no longer conditional on successful PLS screening. All 2,073 eligible tests entered a metadata-only sampling frame, and a fixed salted SHA-256 rank selected one target from each non-empty outcome-family × sample-size-tercile cell, with an additional minority-class-fraction tercile for binary outcomes. The resulting 47-target benchmark comprises 12 continuous and 35 binary endpoints; only 14 were PLS screen-positive and 33 were screen-negative. This is a representative benchmark, not an atlas-wide ridge screen. Both methods use the same patients, five repeated outer partitions and inner partitions. Continuous PLS components and ridge penalties are each selected by maximising pooled inner out-of-fold Q². Binary PLS–LDA components and ridge penalties are tuned within the same inner folds, and both operating thresholds are selected from method-specific inner out-of-fold scores by maximising balanced accuracy. Threshold-independent AUROC is the primary binary comparison metric: the median ridge-minus-PLS difference is 0.008 (IQR -0.002 to 0.027); 8 endpoints favour ridge, 0 favour PLS and 27 are uncertain. Under symmetric thresholding, the median balanced-accuracy difference is 0.012 (IQR 0.005 to 0.025); 4 favour ridge, 0 favour PLS and 31 are uncertain.</w:t>
      </w:r>
    </w:p>
    <w:p>
      <w:pPr>
        <w:spacing w:after="120" w:line="264" w:lineRule="auto"/>
      </w:pPr>
      <w:r>
        <w:rPr>
          <w:rFonts w:ascii="Calibri" w:hAnsi="Calibri"/>
          <w:b w:val="0"/>
          <w:i w:val="0"/>
          <w:color w:val="000000"/>
          <w:sz w:val="22"/>
        </w:rPr>
        <w:t>For continuous outcomes, the median ridge-minus-PLS Q² difference is 0.053 (IQR 0.031 to 0.136); 10/12 favour ridge, none favour PLS and 2 are uncertain. The secondary Spearman difference has median -0.009; 3 favour ridge, 2 favour PLS and 7 are uncertain. The 2,000-replicate paired patient-resampling intervals are conditional on the fixed representative sample, folds and predictions and do not refit either model. These results do not establish PLS as the best model. The primary atlas appropriately retains PLS only as its prespecified reference analysis; the released PLS models should not be described as algorithmically optimal.</w:t>
      </w:r>
    </w:p>
    <w:p>
      <w:pPr>
        <w:pStyle w:val="Heading2"/>
        <w:keepNext/>
      </w:pPr>
      <w:r>
        <w:t>6. Binary class size and development stability</w:t>
      </w:r>
    </w:p>
    <w:p>
      <w:pPr>
        <w:spacing w:after="120" w:line="264" w:lineRule="auto"/>
      </w:pPr>
      <w:r>
        <w:rPr>
          <w:rFonts w:ascii="Calibri" w:hAnsi="Calibri"/>
          <w:b w:val="0"/>
          <w:i w:val="0"/>
          <w:color w:val="000000"/>
          <w:sz w:val="22"/>
        </w:rPr>
        <w:t>The authors have now separated screening inclusiveness from model maturity. Of 459 binary pairs eligible under the prespecified 20-per-class rule, 244 (53.2%) meet a stricter 50-per-class rule. Among 104 screen-positive binary models, 87 (83.7%) meet the stricter standard and 17 are now designated exploratory/limited evidence. None of the main highlighted binary models is limited evidence. The package retains the complete atlas for transparency but excludes the 17 limited models from default inference; explicit opt-in emits a warning.</w:t>
      </w:r>
    </w:p>
    <w:p>
      <w:pPr>
        <w:spacing w:after="120" w:line="264" w:lineRule="auto"/>
      </w:pPr>
      <w:r>
        <w:rPr>
          <w:rFonts w:ascii="Calibri" w:hAnsi="Calibri"/>
          <w:b w:val="0"/>
          <w:i w:val="0"/>
          <w:color w:val="000000"/>
          <w:sz w:val="22"/>
        </w:rPr>
        <w:t>The reliability supplement now provides class counts for every repeated outer fold, exact reconstructed inner-fold class minima, selected-component distributions across 25 fits per model, average precision, TCGA-prevalence PPV/NPV, repeat score and call stability, and fixed-test-fold learning curves at 50%, 75% and 100% of the outer-training data. The limited models had as few as 4 positive cases in an outer test fold, 12 positive cases in an inner training fold and 3 in an inner validation fold. At full training size, their median balanced accuracy was 0.636, median AUROC 0.738 and median PR-AUC 0.389. Component selection frequently reached the prespecified ceiling, supporting the decision not to present these models beside substantially better-supported ones.</w:t>
      </w:r>
    </w:p>
    <w:p>
      <w:pPr>
        <w:spacing w:after="120" w:line="264" w:lineRule="auto"/>
      </w:pPr>
      <w:r>
        <w:rPr>
          <w:rFonts w:ascii="Calibri" w:hAnsi="Calibri"/>
          <w:b/>
          <w:i w:val="0"/>
          <w:color w:val="000000"/>
          <w:sz w:val="22"/>
        </w:rPr>
        <w:t>No further internal sample-size analysis is requested.</w:t>
      </w:r>
      <w:r>
        <w:rPr>
          <w:rFonts w:ascii="Calibri" w:hAnsi="Calibri"/>
          <w:b w:val="0"/>
          <w:i w:val="0"/>
          <w:color w:val="000000"/>
          <w:sz w:val="22"/>
        </w:rPr>
        <w:t xml:space="preserve"> Retain these models only in the clearly separated exploratory tier, keep them out of default inference, and do not interpret learning curves or repeat stability as substitutes for independent validation.</w:t>
      </w:r>
    </w:p>
    <w:p>
      <w:pPr>
        <w:pStyle w:val="Heading2"/>
        <w:keepNext/>
      </w:pPr>
      <w:r>
        <w:t>7. Selection-conditioned uncertainty</w:t>
      </w:r>
    </w:p>
    <w:p>
      <w:pPr>
        <w:spacing w:after="120" w:line="264" w:lineRule="auto"/>
      </w:pPr>
      <w:r>
        <w:rPr>
          <w:rFonts w:ascii="Calibri" w:hAnsi="Calibri"/>
          <w:b w:val="0"/>
          <w:i w:val="0"/>
          <w:color w:val="000000"/>
          <w:sz w:val="22"/>
        </w:rPr>
        <w:t>The revised manuscript no longer presents generic '95% bootstrap intervals' or '95% confidence intervals' for the highlighted TCGA results. The abstract and table captions define these as 95% selection-conditioned patient-resampling intervals for repeated out-of-fold predictions. Each replicate samples patients as clusters, retains all five existing held-out predictions, recalculates the metric within repeat and averages across repeats. The Methods now distinguish represented patient-sampling variability from excluded screening/highlighting uncertainty, new-fold variability, retuning/refitting variability, winner's-curse correction and external cohort/institution/scanner/population variation.</w:t>
      </w:r>
    </w:p>
    <w:p>
      <w:pPr>
        <w:spacing w:after="120" w:line="264" w:lineRule="auto"/>
      </w:pPr>
      <w:r>
        <w:rPr>
          <w:rFonts w:ascii="Calibri" w:hAnsi="Calibri"/>
          <w:b w:val="0"/>
          <w:i w:val="0"/>
          <w:color w:val="000000"/>
          <w:sz w:val="22"/>
        </w:rPr>
        <w:t>The PLS–ridge comparison has also been strengthened. For repeat r, the paired difference is d_r=M_r(ridge)−M_r(PLS), with Δ=(1/5)Σ_r d_r. A 2,000-replicate paired patient bootstrap samples patients with replacement while retaining both methods and all five matched repeat predictions; percentile limits are calculated from the resulting Δ values. The matched predictions and all 235 repeat-specific differences are machine-readable. The interval conditions on the metadata-stratified representative sample and does not regenerate partitions or refit either algorithm inside a bootstrap replicate, which is now stated explicitly.</w:t>
      </w:r>
    </w:p>
    <w:p>
      <w:pPr>
        <w:spacing w:after="120" w:line="264" w:lineRule="auto"/>
      </w:pPr>
      <w:r>
        <w:rPr>
          <w:rFonts w:ascii="Calibri" w:hAnsi="Calibri"/>
          <w:b/>
          <w:i w:val="0"/>
          <w:color w:val="000000"/>
          <w:sz w:val="22"/>
        </w:rPr>
        <w:t>No additional internal uncertainty analysis is requested.</w:t>
      </w:r>
      <w:r>
        <w:rPr>
          <w:rFonts w:ascii="Calibri" w:hAnsi="Calibri"/>
          <w:b w:val="0"/>
          <w:i w:val="0"/>
          <w:color w:val="000000"/>
          <w:sz w:val="22"/>
        </w:rPr>
        <w:t xml:space="preserve"> Preserve the full interval label in the abstract and define the SC abbreviation in every applicable table; do not relabel these intervals as generalisation confidence intervals during copyediting.</w:t>
      </w:r>
    </w:p>
    <w:p>
      <w:pPr>
        <w:pStyle w:val="Heading2"/>
        <w:keepNext/>
      </w:pPr>
      <w:r>
        <w:t>8. Relation to prior work and translational positioning</w:t>
      </w:r>
    </w:p>
    <w:p>
      <w:pPr>
        <w:spacing w:after="120" w:line="264" w:lineRule="auto"/>
      </w:pPr>
      <w:r>
        <w:rPr>
          <w:rFonts w:ascii="Calibri" w:hAnsi="Calibri"/>
          <w:b w:val="0"/>
          <w:i w:val="0"/>
          <w:color w:val="000000"/>
          <w:sz w:val="22"/>
        </w:rPr>
        <w:t>The expanded review now covers mutation, MSI, gene expression, continuous biomarkers, fusions, homologous-recombination deficiency and tumour-microenvironment prediction, and it distinguishes internal current metrics from prior external AUROCs and correlations. The manuscript correctly documents that TCGA was excluded from TITAN's Mass-340K pretraining but used in TITAN's downstream evaluation. It is therefore accurate to call this a secondary systematic TCGA benchmark rather than independent validation.</w:t>
      </w:r>
    </w:p>
    <w:p>
      <w:pPr>
        <w:spacing w:after="120" w:line="264" w:lineRule="auto"/>
      </w:pPr>
      <w:r>
        <w:rPr>
          <w:rFonts w:ascii="Calibri" w:hAnsi="Calibri"/>
          <w:b w:val="0"/>
          <w:i w:val="0"/>
          <w:color w:val="000000"/>
          <w:sz w:val="22"/>
        </w:rPr>
        <w:t>The authors now document that CPTAC-UCEC is a feasible future cohort but that its whole-slide archive requires de novo TITAN extraction. They lock UCEC TP53 mutation, genome doubling and continuous aneuploidy score before inspecting external data, with artifact hashes, no-refitting rules and mandatory reporting of failures. This is useful prospective discipline, but it is not external validation evidence.</w:t>
      </w:r>
    </w:p>
    <w:p>
      <w:pPr>
        <w:spacing w:after="120" w:line="264" w:lineRule="auto"/>
      </w:pPr>
      <w:r>
        <w:rPr>
          <w:rFonts w:ascii="Calibri" w:hAnsi="Calibri"/>
          <w:b w:val="0"/>
          <w:i w:val="0"/>
          <w:color w:val="000000"/>
          <w:sz w:val="22"/>
        </w:rPr>
        <w:t>PLS2 remains a secondary, hypothesis-generating analysis because it answers a different multiresponse question. Within complete-case, ordered inflammatory panels it improved mean cancer-level Q² by 0.066 for inferred cell fractions, 0.017 for infiltration scores and 0.056 for immune-repertoire features. However, the shared latent solution changes the estimand and eligible complete-case population, has no binary analogue in this resource, and has not been compared with a matched multiresponse ridge baseline or independently validated. It should therefore not replace the endpoint-wise primary benchmark post hoc. A future locked multiresponse study could evaluate PLS2 and alternative multitask models on identical cohorts and external data. Portability is not unique to PLS; both PLS and ridge yield compact exportable linear parameters.</w:t>
      </w:r>
    </w:p>
    <w:p>
      <w:pPr>
        <w:pStyle w:val="Heading2"/>
        <w:keepNext/>
      </w:pPr>
      <w:r>
        <w:t>9. Endpoint provenance and morphological interpretation</w:t>
      </w:r>
    </w:p>
    <w:p>
      <w:pPr>
        <w:spacing w:after="120" w:line="264" w:lineRule="auto"/>
      </w:pPr>
      <w:r>
        <w:rPr>
          <w:rFonts w:ascii="Calibri" w:hAnsi="Calibri"/>
          <w:b w:val="0"/>
          <w:i w:val="0"/>
          <w:color w:val="000000"/>
          <w:sz w:val="22"/>
        </w:rPr>
        <w:t>The revision now distinguishes the label-generating assays and algorithms rather than presenting all continuous targets as equivalent immune measurements. The complete 2,073-row endpoint dictionary covers every eligible cancer–endpoint test and records source modality, direct/inferred status, derivation algorithm, original scale, analysis transformation, target-specific missingness, expected measurement error, biological interpretation and an assay-equivalence caveat. Its 194 unique definitions are also supplied separately. The high-level classes are direct sequence-supported alterations, sequencing-derived burdens, inferred immune-cell fractions, transcriptomic signatures, pathology-associated quantities and composite genomic-context scores. CIBERSORT fractions are correctly described as bulk-RNA deconvolution outputs, leukocyte fraction as methylation-derived and TIL Regional Fraction as an H&amp;E-derived Saltz quantity. The text appropriately states that prediction of these inferred phenotypes is not equivalent to a direct cell count, IHC, flow cytometry or a clinically certified biomarker.</w:t>
      </w:r>
    </w:p>
    <w:p>
      <w:pPr>
        <w:spacing w:after="120" w:line="264" w:lineRule="auto"/>
      </w:pPr>
      <w:r>
        <w:rPr>
          <w:rFonts w:ascii="Calibri" w:hAnsi="Calibri"/>
          <w:b w:val="0"/>
          <w:i w:val="0"/>
          <w:color w:val="000000"/>
          <w:sz w:val="22"/>
        </w:rPr>
        <w:t>The authors also add a qualitative context analysis with 20 records across five representative models. High/low repeated-OOF anchors are paired with their nearest within-cancer patient-level mean TITAN neighbour, and the table preserves exact patient/slide identifiers, original predictions, ranks, cosine similarities and generated-report context. This is a useful transparency step, especially because the BLCA TIL Regional Fraction panel is explicitly identified as same-H&amp;E-modality concordance. However, global pooled embeddings do not localise relevant patches, and TCGA-Slide-Reports text generated by TITAN from the same images is not independent evidence or blinded pathology review. The manuscript now states those limits plainly.</w:t>
      </w:r>
    </w:p>
    <w:p>
      <w:pPr>
        <w:spacing w:after="120" w:line="264" w:lineRule="auto"/>
      </w:pPr>
      <w:r>
        <w:rPr>
          <w:rFonts w:ascii="Calibri" w:hAnsi="Calibri"/>
          <w:b/>
          <w:i w:val="0"/>
          <w:color w:val="000000"/>
          <w:sz w:val="22"/>
        </w:rPr>
        <w:t>No additional internal interpretability claim is requested.</w:t>
      </w:r>
      <w:r>
        <w:rPr>
          <w:rFonts w:ascii="Calibri" w:hAnsi="Calibri"/>
          <w:b w:val="0"/>
          <w:i w:val="0"/>
          <w:color w:val="000000"/>
          <w:sz w:val="22"/>
        </w:rPr>
        <w:t xml:space="preserve"> Retain Figure S4 and Tables S13–S14 as qualitative context, not mechanistic evidence. Any future morphological explanation should preserve tile-level representations or relevance maps and undergo blinded pathologist review.</w:t>
      </w:r>
    </w:p>
    <w:p>
      <w:pPr>
        <w:pStyle w:val="Heading2"/>
        <w:keepNext/>
      </w:pPr>
      <w:r>
        <w:t>10. COAD software-interface illustration</w:t>
      </w:r>
    </w:p>
    <w:p>
      <w:pPr>
        <w:spacing w:after="120" w:line="264" w:lineRule="auto"/>
      </w:pPr>
      <w:r>
        <w:rPr>
          <w:rFonts w:ascii="Calibri" w:hAnsi="Calibri"/>
          <w:b w:val="0"/>
          <w:i w:val="0"/>
          <w:color w:val="000000"/>
          <w:sz w:val="22"/>
        </w:rPr>
        <w:t>At the authors' request, the two COAD participants and radar comparison remain in main Figure 7 solely to show the software output. The Results and caption state the full post hoc construction: clinical-text and profile-saturation restrictions followed by selection of the pair with maximum Euclidean separation across continuous TCGA OOF prediction percentiles. This makes clear that the visual contrast was designed after inspecting model outputs and is not representative sampling or performance evidence.</w:t>
      </w:r>
    </w:p>
    <w:p>
      <w:pPr>
        <w:spacing w:after="120" w:line="264" w:lineRule="auto"/>
      </w:pPr>
      <w:r>
        <w:rPr>
          <w:rFonts w:ascii="Calibri" w:hAnsi="Calibri"/>
          <w:b w:val="0"/>
          <w:i w:val="0"/>
          <w:color w:val="000000"/>
          <w:sz w:val="22"/>
        </w:rPr>
        <w:t>The case language is now appropriately limited. TCGA-AA-A01F is reported as pN1, whereas the available slide summary for TCGA-AA-3972 contains no nodal category; no claim of clinical comparability remains. Treatment, response, recurrence, follow-up and survival narratives have been removed because these variables were neither model inputs nor validation outcomes. The package tutorial separately uses a synthetic non-patient vector for routine smoke testing.</w:t>
      </w:r>
    </w:p>
    <w:p>
      <w:pPr>
        <w:spacing w:after="120" w:line="264" w:lineRule="auto"/>
      </w:pPr>
      <w:r>
        <w:rPr>
          <w:rFonts w:ascii="Calibri" w:hAnsi="Calibri"/>
          <w:b w:val="0"/>
          <w:i w:val="0"/>
          <w:color w:val="000000"/>
          <w:sz w:val="22"/>
        </w:rPr>
        <w:t>The package report makes the principal limitations visually prominent: its banner states 'UNVALIDATED RESEARCH OUTPUT', 'TCGA OOF score rank (not probability)', 'No independent external validation' and 'Not for diagnosis, treatment selection, or clinical risk estimation'. Binary plots and tables place '(not probability)' directly beside every score-rank label, and machine-readable inference rows expose an explicit false probability flag and uncalibrated status. No further case-based clinical interpretation is justified.</w:t>
      </w:r>
    </w:p>
    <w:p>
      <w:pPr>
        <w:pStyle w:val="Heading2"/>
        <w:keepNext/>
      </w:pPr>
      <w:r>
        <w:t>11. Reproducibility and model redistribution</w:t>
      </w:r>
    </w:p>
    <w:p>
      <w:pPr>
        <w:spacing w:after="120" w:line="264" w:lineRule="auto"/>
      </w:pPr>
      <w:r>
        <w:rPr>
          <w:rFonts w:ascii="Calibri" w:hAnsi="Calibri"/>
          <w:b w:val="0"/>
          <w:i w:val="0"/>
          <w:color w:val="000000"/>
          <w:sz w:val="22"/>
        </w:rPr>
        <w:t>The reproducibility resource is split between the public analysis repository and a separate GPL-3 TITANPred R package. The package contains all 323 fitted research models, with 306 in default inference and 17 limited-evidence binary models requiring explicit opt-in, their SHA-256 registry, repeated out-of-fold reference distributions, cancer-vector inference interface and HTML/PDF research-software template. The package repository is currently private, and the manuscript now states this rather than claiming public release. The artifacts contain learned parameters and training-range summaries but no patient-level training rows. This materially strengthens the portability and transparency claim.</w:t>
      </w:r>
    </w:p>
    <w:p>
      <w:pPr>
        <w:spacing w:after="120" w:line="264" w:lineRule="auto"/>
      </w:pPr>
      <w:r>
        <w:rPr>
          <w:rFonts w:ascii="Calibri" w:hAnsi="Calibri"/>
          <w:b/>
          <w:i w:val="0"/>
          <w:color w:val="000000"/>
          <w:sz w:val="22"/>
        </w:rPr>
        <w:t>Required before submission:</w:t>
      </w:r>
      <w:r>
        <w:rPr>
          <w:rFonts w:ascii="Calibri" w:hAnsi="Calibri"/>
          <w:b w:val="0"/>
          <w:i w:val="0"/>
          <w:color w:val="000000"/>
          <w:sz w:val="22"/>
        </w:rPr>
        <w:t xml:space="preserve"> create a versioned release and persistent DOI for the public analysis repository. If fitted-model redistribution is authorised, document the model-package access terms and archive it separately; otherwise retain the private/access-controlled status throughout the manuscript. Keep the research-only and no-external-validation notices and cite the upstream TITAN work and feature source in the package documentation.</w:t>
      </w:r>
    </w:p>
    <w:p>
      <w:pPr>
        <w:pStyle w:val="Heading2"/>
        <w:keepNext/>
      </w:pPr>
      <w:r>
        <w:t>12. Administrative completion</w:t>
      </w:r>
    </w:p>
    <w:p>
      <w:pPr>
        <w:spacing w:after="120" w:line="264" w:lineRule="auto"/>
      </w:pPr>
      <w:r>
        <w:rPr>
          <w:rFonts w:ascii="Calibri" w:hAnsi="Calibri"/>
          <w:b w:val="0"/>
          <w:i w:val="0"/>
          <w:color w:val="000000"/>
          <w:sz w:val="22"/>
        </w:rPr>
        <w:t>Required before submission: replace the remaining placeholders for funding, competing interests and author contributions; confirm the institutional ethics/waiver wording. Aamilah Ismail and Martin Ocharo are now the shared co-first authors, with Martin Ocharo second in the author order and assigned to affiliations 1 and 2. Brendon Price is included in the middle of the author list with the Division of Anatomical Pathology, University of Cape Town and National Health Laboratory Service affiliation. Ekene Emmanuel Nweke's University of the Witwatersrand affiliation is included. Silvano Piazza and Dinesh Gupta are listed immediately before Stefano Cacciatore. Silvano Piazza has dual affiliations with the ICGEB Computational Biology Group in Trieste and the Bioinformatics Facility, CIBIO, University of Trento; Dinesh Gupta has the ICGEB New Delhi affiliation. Email addresses for Martin Ocharo, Brendon Price, Ekene Emmanuel Nweke, Silvano Piazza and Dinesh Gupta were not supplied. The current author list contains Aamilah Ismail, Martin Ocharo, Moussa Kassim, Dalia Ahmed, Brendon Price, Dupe Ojo, Ekene Emmanuel Nweke, Silvano Piazza, Dinesh Gupta and Stefano Cacciatore.</w:t>
      </w:r>
    </w:p>
    <w:p>
      <w:pPr>
        <w:pStyle w:val="Heading1"/>
        <w:keepNext/>
      </w:pPr>
      <w:r>
        <w:t>Minor presentation points</w:t>
      </w:r>
    </w:p>
    <w:p>
      <w:pPr>
        <w:pStyle w:val="Heading3"/>
        <w:keepNext/>
      </w:pPr>
      <w:r>
        <w:t>Reporting checklist</w:t>
      </w:r>
    </w:p>
    <w:p>
      <w:pPr>
        <w:spacing w:after="120" w:line="264" w:lineRule="auto"/>
      </w:pPr>
      <w:r>
        <w:rPr>
          <w:rFonts w:ascii="Calibri" w:hAnsi="Calibri"/>
          <w:b w:val="0"/>
          <w:i w:val="0"/>
          <w:color w:val="000000"/>
          <w:sz w:val="22"/>
        </w:rPr>
        <w:t>The TRIPOD+AI item-to-location map in Supplementary Table S12 and the endpoint dictionary in Table S13 should accompany the submission.</w:t>
      </w:r>
    </w:p>
    <w:p>
      <w:pPr>
        <w:pStyle w:val="Heading3"/>
        <w:keepNext/>
      </w:pPr>
      <w:r>
        <w:t>Fusion caveat</w:t>
      </w:r>
    </w:p>
    <w:p>
      <w:pPr>
        <w:spacing w:after="120" w:line="264" w:lineRule="auto"/>
      </w:pPr>
      <w:r>
        <w:rPr>
          <w:rFonts w:ascii="Calibri" w:hAnsi="Calibri"/>
          <w:b w:val="0"/>
          <w:i w:val="0"/>
          <w:color w:val="000000"/>
          <w:sz w:val="22"/>
        </w:rPr>
        <w:t>Keep the technical-coverage caveat for fusion-negative status and fusion burden.</w:t>
      </w:r>
    </w:p>
    <w:p>
      <w:pPr>
        <w:pStyle w:val="Heading3"/>
        <w:keepNext/>
      </w:pPr>
      <w:r>
        <w:t>Figures</w:t>
      </w:r>
    </w:p>
    <w:p>
      <w:pPr>
        <w:spacing w:after="120" w:line="264" w:lineRule="auto"/>
      </w:pPr>
      <w:r>
        <w:rPr>
          <w:rFonts w:ascii="Calibri" w:hAnsi="Calibri"/>
          <w:b w:val="0"/>
          <w:i w:val="0"/>
          <w:color w:val="000000"/>
          <w:sz w:val="22"/>
        </w:rPr>
        <w:t>Figure 1 is no longer clipped, and Figure 4A now shows the strongest primary-screen continuous prediction with explicit held-out metrics. These corrected production figures should be retained.</w:t>
      </w:r>
    </w:p>
    <w:p>
      <w:pPr>
        <w:pStyle w:val="Heading3"/>
        <w:keepNext/>
      </w:pPr>
      <w:r>
        <w:t>Primary versus repeated estimates</w:t>
      </w:r>
    </w:p>
    <w:p>
      <w:pPr>
        <w:spacing w:after="120" w:line="264" w:lineRule="auto"/>
      </w:pPr>
      <w:r>
        <w:rPr>
          <w:rFonts w:ascii="Calibri" w:hAnsi="Calibri"/>
          <w:b w:val="0"/>
          <w:i w:val="0"/>
          <w:color w:val="000000"/>
          <w:sz w:val="22"/>
        </w:rPr>
        <w:t>The revision now distinguishes the initial nested-CV primary screening estimate from the mean across five additional nested-CV repeats. Supplementary Table S6a reports both; THYM–Th17 is transparently labelled Q² 0.638 in the screen and 0.594 in repeated validation. The difference is expected resampling variation, not an inconsistency.</w:t>
      </w:r>
    </w:p>
    <w:p>
      <w:pPr>
        <w:pStyle w:val="Heading3"/>
        <w:keepNext/>
      </w:pPr>
      <w:r>
        <w:t>Manuscript density</w:t>
      </w:r>
    </w:p>
    <w:p>
      <w:pPr>
        <w:spacing w:after="120" w:line="264" w:lineRule="auto"/>
      </w:pPr>
      <w:r>
        <w:rPr>
          <w:rFonts w:ascii="Calibri" w:hAnsi="Calibri"/>
          <w:b w:val="0"/>
          <w:i w:val="0"/>
          <w:color w:val="000000"/>
          <w:sz w:val="22"/>
        </w:rPr>
        <w:t>The main paper is appropriately streamlined as a research article: the review-style literature comparison table has been removed, and the oversized highlighted-model performance table has moved to Supplementary Table S6a without loss of metrics. The locked-target implementation table has also moved to Supplementary Table S6c, leaving one compact main-text table.</w:t>
      </w:r>
    </w:p>
    <w:p>
      <w:pPr>
        <w:pStyle w:val="Heading3"/>
        <w:keepNext/>
      </w:pPr>
      <w:r>
        <w:t>Implementation detail</w:t>
      </w:r>
    </w:p>
    <w:p>
      <w:pPr>
        <w:spacing w:after="120" w:line="264" w:lineRule="auto"/>
      </w:pPr>
      <w:r>
        <w:rPr>
          <w:rFonts w:ascii="Calibri" w:hAnsi="Calibri"/>
          <w:b w:val="0"/>
          <w:i w:val="0"/>
          <w:color w:val="000000"/>
          <w:sz w:val="22"/>
        </w:rPr>
        <w:t>Detailed report construction, score-rank definitions, checksums, model inventory, input validation, locked-artifact metadata and package behaviour have been removed from the main Results and retained in the Supplement and software documentation. The implementation-oriented external-readiness subsection has also been removed. The main Results retain only one external-validation-status sentence and the biological context needed to interpret the two illustrative COAD profiles.</w:t>
      </w:r>
    </w:p>
    <w:p>
      <w:pPr>
        <w:pStyle w:val="Heading3"/>
        <w:keepNext/>
      </w:pPr>
      <w:r>
        <w:t>TCGA tissue-source-site code</w:t>
      </w:r>
    </w:p>
    <w:p>
      <w:pPr>
        <w:spacing w:after="120" w:line="264" w:lineRule="auto"/>
      </w:pPr>
      <w:r>
        <w:rPr>
          <w:rFonts w:ascii="Calibri" w:hAnsi="Calibri"/>
          <w:b w:val="0"/>
          <w:i w:val="0"/>
          <w:color w:val="000000"/>
          <w:sz w:val="22"/>
        </w:rPr>
        <w:t>The two-character barcode variable is now named consistently as the TCGA tissue-source-site code. Grouped validation and code-classification analyses no longer use the broader shorthand 'site'. The manuscript explicitly states that this code is not an institution, scanner, laboratory or staining-batch identifier and that grouping by it is internal to TCGA.</w:t>
      </w:r>
    </w:p>
    <w:p>
      <w:pPr>
        <w:pStyle w:val="Heading3"/>
        <w:keepNext/>
      </w:pPr>
      <w:r>
        <w:t>Precision–recall reporting</w:t>
      </w:r>
    </w:p>
    <w:p>
      <w:pPr>
        <w:spacing w:after="120" w:line="264" w:lineRule="auto"/>
      </w:pPr>
      <w:r>
        <w:rPr>
          <w:rFonts w:ascii="Calibri" w:hAnsi="Calibri"/>
          <w:b w:val="0"/>
          <w:i w:val="0"/>
          <w:color w:val="000000"/>
          <w:sz w:val="22"/>
        </w:rPr>
        <w:t>PR-AUC is now visible in the Abstract and main Results, not only in supplementary reliability fields. It is correctly defined as non-interpolated average precision and interpreted against endpoint prevalence. The explicit low-prevalence mutation/fusion summary usefully shows that apparently strong AUROC can coexist with substantially more modest positive-class retrieval.</w:t>
      </w:r>
    </w:p>
    <w:p>
      <w:pPr>
        <w:pStyle w:val="Heading3"/>
        <w:keepNext/>
      </w:pPr>
      <w:r>
        <w:t>Figure readability</w:t>
      </w:r>
    </w:p>
    <w:p>
      <w:pPr>
        <w:spacing w:after="120" w:line="264" w:lineRule="auto"/>
      </w:pPr>
      <w:r>
        <w:rPr>
          <w:rFonts w:ascii="Calibri" w:hAnsi="Calibri"/>
          <w:b w:val="0"/>
          <w:i w:val="0"/>
          <w:color w:val="000000"/>
          <w:sz w:val="22"/>
        </w:rPr>
        <w:t>Figures 2 and 3 are restricted to 12 models, Figure 5 to 15 cancers, and Figure 6 to six labelled attenuations and 10 code-classification results, all with larger typography and links to complete supplementary tables. Figure 7 replaces the radar plots with a shared-axis dumbbell comparison of eight continuous endpoints and a six-endpoint binary panel; original predicted values remain visible and complete outputs stay in the separate case reports. The redesign materially improves normal-size comparison without dropping the two illustrative COAD cases.</w:t>
      </w:r>
    </w:p>
    <w:p>
      <w:pPr>
        <w:pStyle w:val="Heading3"/>
        <w:keepNext/>
      </w:pPr>
      <w:r>
        <w:t>Pathology quality control</w:t>
      </w:r>
    </w:p>
    <w:p>
      <w:pPr>
        <w:spacing w:after="120" w:line="264" w:lineRule="auto"/>
      </w:pPr>
      <w:r>
        <w:rPr>
          <w:rFonts w:ascii="Calibri" w:hAnsi="Calibri"/>
          <w:b w:val="0"/>
          <w:i w:val="0"/>
          <w:color w:val="000000"/>
          <w:sz w:val="22"/>
        </w:rPr>
        <w:t>The revision now states that tumour content/cellularity, tissue area, artefact, biopsy-versus-resection status and slide/image quality were not available as structured fields and were not used for exclusion or weighting. It correctly identifies site_of_resection_or_biopsy as anatomical site rather than procedure. Mean pooling gives each slide weight 1/n within a participant and each pooled participant one validation row, but this does not establish tissue adequacy. The maximum-slide participant, TCGA-DX-AB2L (SARC), is explicitly reported: all 30 same-image generated narratives mention no residual sarcoma/myxofibrosarcoma. Because these narratives are not independent pathologist adjudication, retaining the case as a limitation rather than silently excluding it is defensible; prospective pathology QC remains necessary.</w:t>
      </w:r>
    </w:p>
    <w:p>
      <w:pPr>
        <w:pStyle w:val="Heading3"/>
        <w:keepNext/>
      </w:pPr>
      <w:r>
        <w:t>Predictability terminology</w:t>
      </w:r>
    </w:p>
    <w:p>
      <w:pPr>
        <w:spacing w:after="120" w:line="264" w:lineRule="auto"/>
      </w:pPr>
      <w:r>
        <w:rPr>
          <w:rFonts w:ascii="Calibri" w:hAnsi="Calibri"/>
          <w:b w:val="0"/>
          <w:i w:val="0"/>
          <w:color w:val="000000"/>
          <w:sz w:val="22"/>
        </w:rPr>
        <w:t>The manuscript now uses predictability as an operational term for held-out cross-validated statistical association under the specified target, model, folds and threshold. It explicitly rejects causal, mechanistic and assay-equivalence interpretations and states that no image-derived estimate supports omission or replacement of the originating molecular or immune assay. This definition should be retained consistently in the final submission.</w:t>
      </w:r>
    </w:p>
    <w:p>
      <w:pPr>
        <w:pStyle w:val="Heading3"/>
        <w:keepNext/>
      </w:pPr>
      <w:r>
        <w:t>Screening tiers</w:t>
      </w:r>
    </w:p>
    <w:p>
      <w:pPr>
        <w:spacing w:after="120" w:line="264" w:lineRule="auto"/>
      </w:pPr>
      <w:r>
        <w:rPr>
          <w:rFonts w:ascii="Calibri" w:hAnsi="Calibri"/>
          <w:b w:val="0"/>
          <w:i w:val="0"/>
          <w:color w:val="000000"/>
          <w:sz w:val="22"/>
        </w:rPr>
        <w:t>The neutral labels prespecified screening tier A/B are appropriate. They are clearly defined as prioritisation rules rather than established clinical or statistical effect categories.</w:t>
      </w:r>
    </w:p>
    <w:p>
      <w:pPr>
        <w:pStyle w:val="Heading1"/>
        <w:keepNext/>
      </w:pPr>
      <w:r>
        <w:t>Strengths</w:t>
      </w:r>
    </w:p>
    <w:p>
      <w:pPr>
        <w:spacing w:after="120" w:line="264" w:lineRule="auto"/>
      </w:pPr>
      <w:r>
        <w:rPr>
          <w:rFonts w:ascii="Calibri" w:hAnsi="Calibri"/>
          <w:b w:val="0"/>
          <w:i w:val="0"/>
          <w:color w:val="000000"/>
          <w:sz w:val="22"/>
        </w:rPr>
        <w:t>• Patient-first aggregation and validation prevent multiple-slide leakage.</w:t>
      </w:r>
    </w:p>
    <w:p>
      <w:pPr>
        <w:spacing w:after="120" w:line="264" w:lineRule="auto"/>
      </w:pPr>
      <w:r>
        <w:rPr>
          <w:rFonts w:ascii="Calibri" w:hAnsi="Calibri"/>
          <w:b w:val="0"/>
          <w:i w:val="0"/>
          <w:color w:val="000000"/>
          <w:sz w:val="22"/>
        </w:rPr>
        <w:t>• Wild type, molecular missingness, fusion coverage and aliquot aggregation are auditable.</w:t>
      </w:r>
    </w:p>
    <w:p>
      <w:pPr>
        <w:spacing w:after="120" w:line="264" w:lineRule="auto"/>
      </w:pPr>
      <w:r>
        <w:rPr>
          <w:rFonts w:ascii="Calibri" w:hAnsi="Calibri"/>
          <w:b w:val="0"/>
          <w:i w:val="0"/>
          <w:color w:val="000000"/>
          <w:sz w:val="22"/>
        </w:rPr>
        <w:t>• The benchmark distinguishes inferred immune and inflammatory features from direct alterations and other derived genomic phenotypes.</w:t>
      </w:r>
    </w:p>
    <w:p>
      <w:pPr>
        <w:spacing w:after="120" w:line="264" w:lineRule="auto"/>
      </w:pPr>
      <w:r>
        <w:rPr>
          <w:rFonts w:ascii="Calibri" w:hAnsi="Calibri"/>
          <w:b w:val="0"/>
          <w:i w:val="0"/>
          <w:color w:val="000000"/>
          <w:sz w:val="22"/>
        </w:rPr>
        <w:t>• Negative and ineligible endpoints are preserved rather than selectively omitted.</w:t>
      </w:r>
    </w:p>
    <w:p>
      <w:pPr>
        <w:spacing w:after="120" w:line="264" w:lineRule="auto"/>
      </w:pPr>
      <w:r>
        <w:rPr>
          <w:rFonts w:ascii="Calibri" w:hAnsi="Calibri"/>
          <w:b w:val="0"/>
          <w:i w:val="0"/>
          <w:color w:val="000000"/>
          <w:sz w:val="22"/>
        </w:rPr>
        <w:t>• PLS1–PLS2 comparison is appropriately secondary because it changes the estimand and complete-case population; PLS is presented as the prespecified reference rather than the best method.</w:t>
      </w:r>
    </w:p>
    <w:p>
      <w:pPr>
        <w:spacing w:after="120" w:line="264" w:lineRule="auto"/>
      </w:pPr>
      <w:r>
        <w:rPr>
          <w:rFonts w:ascii="Calibri" w:hAnsi="Calibri"/>
          <w:b w:val="0"/>
          <w:i w:val="0"/>
          <w:color w:val="000000"/>
          <w:sz w:val="22"/>
        </w:rPr>
        <w:t>• The literature discussion reports that 38 of 41 screen-positive mutation pairs had prior support and avoids broad endpoint-novelty claims.</w:t>
      </w:r>
    </w:p>
    <w:p>
      <w:pPr>
        <w:pStyle w:val="Heading1"/>
        <w:keepNext/>
      </w:pPr>
      <w:r>
        <w:t>Recommended editorial decision</w:t>
      </w:r>
    </w:p>
    <w:p>
      <w:pPr>
        <w:shd w:fill="E8EEF5"/>
      </w:pPr>
      <w:r>
        <w:rPr>
          <w:rFonts w:ascii="Calibri" w:hAnsi="Calibri"/>
          <w:b/>
          <w:i w:val="0"/>
          <w:color w:val="1F4D78"/>
          <w:sz w:val="24"/>
        </w:rPr>
        <w:t>MAJOR REVISION / RESOURCE FRAMING</w:t>
      </w:r>
    </w:p>
    <w:p>
      <w:pPr>
        <w:spacing w:after="120" w:line="264" w:lineRule="auto"/>
      </w:pPr>
      <w:r>
        <w:rPr>
          <w:rFonts w:ascii="Calibri" w:hAnsi="Calibri"/>
          <w:b w:val="0"/>
          <w:i w:val="0"/>
          <w:color w:val="000000"/>
          <w:sz w:val="22"/>
        </w:rPr>
        <w:t>The scientific analysis may be considered as a TCGA patient-level computational pathology benchmark and research-software resource. It is not yet supported as a translational prediction study because no independent cohort has been evaluated. The revised framing, locked future protocol and complete internal reporting are appropriate, but they do not replace external evidence. Declarations and author metadata also remain to be completed.</w:t>
      </w:r>
    </w:p>
    <w:p>
      <w:pPr>
        <w:pStyle w:val="Heading1"/>
        <w:keepNext/>
      </w:pPr>
      <w:r>
        <w:t>Review standards consulted</w:t>
      </w:r>
    </w:p>
    <w:p>
      <w:pPr>
        <w:spacing w:after="120" w:line="264" w:lineRule="auto"/>
      </w:pPr>
      <w:r>
        <w:rPr>
          <w:rFonts w:ascii="Calibri" w:hAnsi="Calibri"/>
          <w:b w:val="0"/>
          <w:i w:val="0"/>
          <w:color w:val="000000"/>
          <w:sz w:val="22"/>
        </w:rPr>
        <w:t>Warren S. Molecular Pathology. J Transl Med. 2024;22:91. https://doi.org/10.1186/s12967-024-04868-7</w:t>
      </w:r>
    </w:p>
    <w:p>
      <w:pPr>
        <w:spacing w:after="120" w:line="264" w:lineRule="auto"/>
      </w:pPr>
      <w:r>
        <w:rPr>
          <w:rFonts w:ascii="Calibri" w:hAnsi="Calibri"/>
          <w:b w:val="0"/>
          <w:i w:val="0"/>
          <w:color w:val="000000"/>
          <w:sz w:val="22"/>
        </w:rPr>
        <w:t>Collins GS, et al. TRIPOD+AI statement. BMJ. 2024;385:e078378. https://doi.org/10.1136/bmj-2023-078378</w:t>
      </w:r>
    </w:p>
    <w:sectPr w:rsidR="00FC693F" w:rsidRPr="0006063C" w:rsidSect="00034616">
      <w:headerReference w:type="default" r:id="rId9"/>
      <w:footerReference w:type="default" r:id="rId10"/>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5A5A5A"/>
        <w:sz w:val="18"/>
      </w:rPr>
      <w:t xml:space="preserve">Page </w:t>
    </w:r>
    <w:r>
      <w:rPr>
        <w:rFonts w:ascii="Calibri" w:hAnsi="Calibri"/>
        <w:b w:val="0"/>
        <w:i w:val="0"/>
        <w:color w:val="5A5A5A"/>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Calibri" w:hAnsi="Calibri"/>
        <w:b w:val="0"/>
        <w:i w:val="0"/>
        <w:color w:val="5A5A5A"/>
        <w:sz w:val="18"/>
      </w:rPr>
      <w:t>Independent internal review | Journal of Translational Medicine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D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reviewer report — TITAN TCGA benchmark and model resource</dc:title>
  <dc:subject>Journal of Translational Medicine-style internal peer review</dc:subject>
  <dc:creator>Internal scientific review</dc:creator>
  <cp:keywords/>
  <dc:description>generated by python-docx</dc:description>
  <cp:lastModifiedBy/>
  <cp:revision>1</cp:revision>
  <dcterms:created xsi:type="dcterms:W3CDTF">2013-12-23T23:15:00Z</dcterms:created>
  <dcterms:modified xsi:type="dcterms:W3CDTF">2013-12-23T23:15:00Z</dcterms:modified>
  <cp:category/>
</cp:coreProperties>
</file>