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A single-sample report renders continuous percentiles as a radar profile and displays binary calls with provenance and out-of-distribution diagnostics.</w:t>
      </w:r>
    </w:p>
    <w:p>
      <w:r>
        <w:t>COAD was chosen as a deployment illustration because colorectal cancer, of which colon adenocarcinoma is a major component, accounted for 1,926,425 new cases worldwide in 2022 [31], and COAD contributed 20 supported models (10 continuous and 10 binary). Its APC, TP53, KRAS and BRAF mutation models were absent from the prespecified exact-pair literature crosswalk, which nominates them for follow-up without establishing bibliographic novelty. For visualization, the two COAD patients with the greatest Euclidean separation across the complete continuous prediction-percentile profile were selected. Example A was MSI-, mutation-rate- and lymphocyte/TIL-high but aneuploidy-low, whereas example B was aneuploidy-high but MSI- and immune-low (Figure 7). This selection deliberately accentuates contrast and is an internal deployment demonstration, not a validation analysis or estimate of clinical prevalence.</w:t>
      </w:r>
    </w:p>
    <w:p>
      <w:pPr>
        <w:jc w:val="center"/>
      </w:pPr>
      <w:r>
        <w:drawing>
          <wp:inline xmlns:a="http://schemas.openxmlformats.org/drawingml/2006/main" xmlns:pic="http://schemas.openxmlformats.org/drawingml/2006/picture">
            <wp:extent cx="6126480" cy="3341716"/>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3341716"/>
                    </a:xfrm>
                    <a:prstGeom prst="rect"/>
                  </pic:spPr>
                </pic:pic>
              </a:graphicData>
            </a:graphic>
          </wp:inline>
        </w:drawing>
      </w:r>
    </w:p>
    <w:p>
      <w:pPr>
        <w:pStyle w:val="Caption"/>
        <w:jc w:val="center"/>
      </w:pPr>
      <w:r>
        <w:t>Figure 7. TITANPred deployment illustration in COAD. Panel A compares continuous prediction percentiles for the two TCGA patients with maximal separation across the complete COAD continuous profile; percentiles are relative to repeated out-of-fold TCGA predictions, not clinical reference ranges. Panel B shows the corresponding binary PLS-LDA calls and LDA-score percentiles; filled points denote positive calls, and scores are not calibrated probabilities. Examples were selected to demonstrate report contrast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COAD examples show how the package summarizes divergent multi-endpoint profiles; because the examples were selected for maximal separation within TCGA and were predicted by full-cohort fits, they must not be interpreted as new accuracy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analysis repository [30].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TITANPred single-sample report. Illustrative full-cohort research-model predictions for the COAD example with high MSI, mutation-rate and immune-feature predictions and low aneuploidy prediction.</w:t>
      </w:r>
    </w:p>
    <w:p>
      <w:r>
        <w:t>Additional file 3 (.pdf): COAD example B TITANPred single-sample report. Illustrative full-cohort research-model predictions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