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The remaining supplied author names, affiliations, available email addresses and corresponding-author details have been entered. Email addresses for Martin Ocharo, Brendon Price and Ekene Emmanuel Nweke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speed and method-comparison commentary that was not needed to interpret the scientific results was removed.</w:t>
      </w:r>
    </w:p>
    <w:p>
      <w:pPr>
        <w:pStyle w:val="Heading1"/>
      </w:pPr>
      <w:r>
        <w:t>Additional change: distinguish replication from atlas-nominated predictors</w:t>
      </w:r>
    </w:p>
    <w:p>
      <w:r>
        <w:t>The Discussion identifies exact published cancer–gene pairs recovered by the corrected screen, gives prior AUROC and current balanced accuracy side by side without treating the metrics as directly comparable, discusses selected published pairs that were screen-negative, and labels remaining mutation candidates as atlas-nominated rather than proven novel. The literature audit now also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 The two illustrative COAD single-sample reports are supplied as separate PDF attachments (Additional files 2 and 3).</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