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TCGA discovery atlas of molecular and immune predictability from pretrained TITAN whole-slide representations across 32 cancers</w:t>
      </w:r>
    </w:p>
    <w:p>
      <w:r>
        <w:t>This document is Additional file 1. The COAD example A and example B TITANPred single-sample reports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companion analysis repository. The separate TITANPred R package bundles all fitted research models, the model registry, reference distributions and report template.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-0.169 (-0.196–-0.148)</w:t>
            </w:r>
          </w:p>
        </w:tc>
        <w:tc>
          <w:tcPr>
            <w:tcW w:type="dxa" w:w="1624"/>
            <w:vAlign w:val="center"/>
          </w:tcPr>
          <w:p>
            <w:r>
              <w:rPr>
                <w:sz w:val="16"/>
              </w:rPr>
              <w:t>Not applicable</w:t>
            </w:r>
          </w:p>
        </w:tc>
        <w:tc>
          <w:tcPr>
            <w:tcW w:type="dxa" w:w="1624"/>
            <w:vAlign w:val="center"/>
          </w:tcPr>
          <w:p>
            <w:r>
              <w:rPr>
                <w:sz w:val="16"/>
              </w:rPr>
              <w:t>RMSE 0.174 (0.168–0.181); ρ -0.002 (-0.030–0.026)</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-0.205 (-0.269–-0.157)</w:t>
            </w:r>
          </w:p>
        </w:tc>
        <w:tc>
          <w:tcPr>
            <w:tcW w:type="dxa" w:w="1624"/>
            <w:vAlign w:val="center"/>
          </w:tcPr>
          <w:p>
            <w:r>
              <w:rPr>
                <w:sz w:val="16"/>
              </w:rPr>
              <w:t>Not applicable</w:t>
            </w:r>
          </w:p>
        </w:tc>
        <w:tc>
          <w:tcPr>
            <w:tcW w:type="dxa" w:w="1624"/>
            <w:vAlign w:val="center"/>
          </w:tcPr>
          <w:p>
            <w:r>
              <w:rPr>
                <w:sz w:val="16"/>
              </w:rPr>
              <w:t>RMSE 0.620 (0.560–0.673); ρ 0.010 (-0.040–0.066)</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-0.239 (-0.279–-0.206)</w:t>
            </w:r>
          </w:p>
        </w:tc>
        <w:tc>
          <w:tcPr>
            <w:tcW w:type="dxa" w:w="1624"/>
            <w:vAlign w:val="center"/>
          </w:tcPr>
          <w:p>
            <w:r>
              <w:rPr>
                <w:sz w:val="16"/>
              </w:rPr>
              <w:t>Not applicable</w:t>
            </w:r>
          </w:p>
        </w:tc>
        <w:tc>
          <w:tcPr>
            <w:tcW w:type="dxa" w:w="1624"/>
            <w:vAlign w:val="center"/>
          </w:tcPr>
          <w:p>
            <w:r>
              <w:rPr>
                <w:sz w:val="16"/>
              </w:rPr>
              <w:t>RMSE 0.704 (0.679–0.729); ρ 0.012 (-0.014–0.040)</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-0.368 (-0.553–-0.247)</w:t>
            </w:r>
          </w:p>
        </w:tc>
        <w:tc>
          <w:tcPr>
            <w:tcW w:type="dxa" w:w="1624"/>
            <w:vAlign w:val="center"/>
          </w:tcPr>
          <w:p>
            <w:r>
              <w:rPr>
                <w:sz w:val="16"/>
              </w:rPr>
              <w:t>Not applicable</w:t>
            </w:r>
          </w:p>
        </w:tc>
        <w:tc>
          <w:tcPr>
            <w:tcW w:type="dxa" w:w="1624"/>
            <w:vAlign w:val="center"/>
          </w:tcPr>
          <w:p>
            <w:r>
              <w:rPr>
                <w:sz w:val="16"/>
              </w:rPr>
              <w:t>RMSE 0.227 (0.208–0.244); ρ 0.008 (-0.062–0.080)</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-0.550 (-0.656–-0.468)</w:t>
            </w:r>
          </w:p>
        </w:tc>
        <w:tc>
          <w:tcPr>
            <w:tcW w:type="dxa" w:w="1624"/>
            <w:vAlign w:val="center"/>
          </w:tcPr>
          <w:p>
            <w:r>
              <w:rPr>
                <w:sz w:val="16"/>
              </w:rPr>
              <w:t>Not applicable</w:t>
            </w:r>
          </w:p>
        </w:tc>
        <w:tc>
          <w:tcPr>
            <w:tcW w:type="dxa" w:w="1624"/>
            <w:vAlign w:val="center"/>
          </w:tcPr>
          <w:p>
            <w:r>
              <w:rPr>
                <w:sz w:val="16"/>
              </w:rPr>
              <w:t>RMSE 0.811 (0.771–0.849); ρ -0.019 (-0.064–0.026)</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-0.600 (-0.876–-0.409)</w:t>
            </w:r>
          </w:p>
        </w:tc>
        <w:tc>
          <w:tcPr>
            <w:tcW w:type="dxa" w:w="1624"/>
            <w:vAlign w:val="center"/>
          </w:tcPr>
          <w:p>
            <w:r>
              <w:rPr>
                <w:sz w:val="16"/>
              </w:rPr>
              <w:t>Not applicable</w:t>
            </w:r>
          </w:p>
        </w:tc>
        <w:tc>
          <w:tcPr>
            <w:tcW w:type="dxa" w:w="1624"/>
            <w:vAlign w:val="center"/>
          </w:tcPr>
          <w:p>
            <w:r>
              <w:rPr>
                <w:sz w:val="16"/>
              </w:rPr>
              <w:t>RMSE 0.666 (0.601–0.722); ρ 0.021 (-0.051–0.093)</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-0.629 (-0.846–-0.465)</w:t>
            </w:r>
          </w:p>
        </w:tc>
        <w:tc>
          <w:tcPr>
            <w:tcW w:type="dxa" w:w="1624"/>
            <w:vAlign w:val="center"/>
          </w:tcPr>
          <w:p>
            <w:r>
              <w:rPr>
                <w:sz w:val="16"/>
              </w:rPr>
              <w:t>Not applicable</w:t>
            </w:r>
          </w:p>
        </w:tc>
        <w:tc>
          <w:tcPr>
            <w:tcW w:type="dxa" w:w="1624"/>
            <w:vAlign w:val="center"/>
          </w:tcPr>
          <w:p>
            <w:r>
              <w:rPr>
                <w:sz w:val="16"/>
              </w:rPr>
              <w:t>RMSE 1.130 (1.038–1.222); ρ 0.033 (-0.031–0.095)</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-0.708 (-0.968–-0.500)</w:t>
            </w:r>
          </w:p>
        </w:tc>
        <w:tc>
          <w:tcPr>
            <w:tcW w:type="dxa" w:w="1624"/>
            <w:vAlign w:val="center"/>
          </w:tcPr>
          <w:p>
            <w:r>
              <w:rPr>
                <w:sz w:val="16"/>
              </w:rPr>
              <w:t>Not applicable</w:t>
            </w:r>
          </w:p>
        </w:tc>
        <w:tc>
          <w:tcPr>
            <w:tcW w:type="dxa" w:w="1624"/>
            <w:vAlign w:val="center"/>
          </w:tcPr>
          <w:p>
            <w:r>
              <w:rPr>
                <w:sz w:val="16"/>
              </w:rPr>
              <w:t>RMSE 3549.191 (3329.668–3760.025); ρ 0.025 (-0.058–0.120)</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-0.725 (-0.848–-0.630)</w:t>
            </w:r>
          </w:p>
        </w:tc>
        <w:tc>
          <w:tcPr>
            <w:tcW w:type="dxa" w:w="1624"/>
            <w:vAlign w:val="center"/>
          </w:tcPr>
          <w:p>
            <w:r>
              <w:rPr>
                <w:sz w:val="16"/>
              </w:rPr>
              <w:t>Not applicable</w:t>
            </w:r>
          </w:p>
        </w:tc>
        <w:tc>
          <w:tcPr>
            <w:tcW w:type="dxa" w:w="1624"/>
            <w:vAlign w:val="center"/>
          </w:tcPr>
          <w:p>
            <w:r>
              <w:rPr>
                <w:sz w:val="16"/>
              </w:rPr>
              <w:t>RMSE 1.576 (1.505–1.659); ρ 0.015 (-0.027–0.054)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-0.765 (-0.882–-0.669)</w:t>
            </w:r>
          </w:p>
        </w:tc>
        <w:tc>
          <w:tcPr>
            <w:tcW w:type="dxa" w:w="1624"/>
            <w:vAlign w:val="center"/>
          </w:tcPr>
          <w:p>
            <w:r>
              <w:rPr>
                <w:sz w:val="16"/>
              </w:rPr>
              <w:t>Not applicable</w:t>
            </w:r>
          </w:p>
        </w:tc>
        <w:tc>
          <w:tcPr>
            <w:tcW w:type="dxa" w:w="1624"/>
            <w:vAlign w:val="center"/>
          </w:tcPr>
          <w:p>
            <w:r>
              <w:rPr>
                <w:sz w:val="16"/>
              </w:rPr>
              <w:t>RMSE 0.859 (0.826–0.895); ρ 0.013 (-0.027–0.048)</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-0.858 (-1.015–-0.732)</w:t>
            </w:r>
          </w:p>
        </w:tc>
        <w:tc>
          <w:tcPr>
            <w:tcW w:type="dxa" w:w="1624"/>
            <w:vAlign w:val="center"/>
          </w:tcPr>
          <w:p>
            <w:r>
              <w:rPr>
                <w:sz w:val="16"/>
              </w:rPr>
              <w:t>Not applicable</w:t>
            </w:r>
          </w:p>
        </w:tc>
        <w:tc>
          <w:tcPr>
            <w:tcW w:type="dxa" w:w="1624"/>
            <w:vAlign w:val="center"/>
          </w:tcPr>
          <w:p>
            <w:r>
              <w:rPr>
                <w:sz w:val="16"/>
              </w:rPr>
              <w:t>RMSE 0.459 (0.442–0.476); ρ 0.010 (-0.032–0.051)</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-0.957 (-1.175–-0.781)</w:t>
            </w:r>
          </w:p>
        </w:tc>
        <w:tc>
          <w:tcPr>
            <w:tcW w:type="dxa" w:w="1624"/>
            <w:vAlign w:val="center"/>
          </w:tcPr>
          <w:p>
            <w:r>
              <w:rPr>
                <w:sz w:val="16"/>
              </w:rPr>
              <w:t>Not applicable</w:t>
            </w:r>
          </w:p>
        </w:tc>
        <w:tc>
          <w:tcPr>
            <w:tcW w:type="dxa" w:w="1624"/>
            <w:vAlign w:val="center"/>
          </w:tcPr>
          <w:p>
            <w:r>
              <w:rPr>
                <w:sz w:val="16"/>
              </w:rPr>
              <w:t>RMSE 1018.312 (976.846–1059.370); ρ 0.010 (-0.031–0.051)</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44eadd01a8ca;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11c2743b3c99;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a06db88cc2b1;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77f617b504f3;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9eae5ee87b2f;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e47c9c4e882e;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202b89dd8e0b;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48f96f31d5a0;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045ae79e6661;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ab5eb23551ed;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afcb159ea2d0;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0fefcd375624;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da698fcd4669;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355d7b2470d2;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54f60cef4adb;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cfb44e5875c0;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c3e02189e356;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d9672f52b49f;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0341c91ad916;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1e51bc74ecd3;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bc0a589a8beb;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4ce4670a9926;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452db4d2d91b;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3b8802420945; feature-schema SHA-256 prefix: 87db12d75e44; TITAN-file SHA-256 prefix: d3d91fb0f83a; fastPLS 0.99.20 (dcf45cc), cpu/rsvd; rSVD oversampling 10, power 2; analysis fingerprint prefix: 79600eb6c589;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 Screen-positive mutation predictors classified by prior exact-pair evidence</w:t>
      </w:r>
    </w:p>
    <w:p>
      <w:r>
        <w:t>Atlas-nominated means absent from the prespecified exact-pair crosswalk and should not be interpreted as proof that no previous publication has studied the pair.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atlas-nominated</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prior report recovered</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prior report recovered</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prior report recovered</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prior report recovered</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atlas-nominated</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371</w:t>
            </w:r>
          </w:p>
        </w:tc>
        <w:tc>
          <w:tcPr>
            <w:tcW w:type="dxa" w:w="1218"/>
            <w:vAlign w:val="center"/>
          </w:tcPr>
          <w:p>
            <w:r>
              <w:rPr>
                <w:sz w:val="16"/>
              </w:rPr>
              <w:t>58</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320</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34</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350</w:t>
            </w:r>
          </w:p>
        </w:tc>
        <w:tc>
          <w:tcPr>
            <w:tcW w:type="dxa" w:w="1218"/>
            <w:vAlign w:val="center"/>
          </w:tcPr>
          <w:p>
            <w:r>
              <w:rPr>
                <w:sz w:val="16"/>
              </w:rPr>
              <w:t>107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atlas-nominated</w:t>
            </w:r>
          </w:p>
        </w:tc>
        <w:tc>
          <w:tcPr>
            <w:tcW w:type="dxa" w:w="1218"/>
            <w:vAlign w:val="center"/>
          </w:tcPr>
          <w:p>
            <w:r>
              <w:rPr>
                <w:sz w:val="16"/>
              </w:rPr>
              <w:t>350</w:t>
            </w:r>
          </w:p>
        </w:tc>
        <w:tc>
          <w:tcPr>
            <w:tcW w:type="dxa" w:w="1218"/>
            <w:vAlign w:val="center"/>
          </w:tcPr>
          <w:p>
            <w:r>
              <w:rPr>
                <w:sz w:val="16"/>
              </w:rPr>
              <w:t>20</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prior report recovered</w:t>
            </w:r>
          </w:p>
        </w:tc>
        <w:tc>
          <w:tcPr>
            <w:tcW w:type="dxa" w:w="1218"/>
            <w:vAlign w:val="center"/>
          </w:tcPr>
          <w:p>
            <w:r>
              <w:rPr>
                <w:sz w:val="16"/>
              </w:rPr>
              <w:t>981</w:t>
            </w:r>
          </w:p>
        </w:tc>
        <w:tc>
          <w:tcPr>
            <w:tcW w:type="dxa" w:w="1218"/>
            <w:vAlign w:val="center"/>
          </w:tcPr>
          <w:p>
            <w:r>
              <w:rPr>
                <w:sz w:val="16"/>
              </w:rPr>
              <w:t>266</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prior report recovered</w:t>
            </w:r>
          </w:p>
        </w:tc>
        <w:tc>
          <w:tcPr>
            <w:tcW w:type="dxa" w:w="1218"/>
            <w:vAlign w:val="center"/>
          </w:tcPr>
          <w:p>
            <w:r>
              <w:rPr>
                <w:sz w:val="16"/>
              </w:rPr>
              <w:t>431</w:t>
            </w:r>
          </w:p>
        </w:tc>
        <w:tc>
          <w:tcPr>
            <w:tcW w:type="dxa" w:w="1218"/>
            <w:vAlign w:val="center"/>
          </w:tcPr>
          <w:p>
            <w:r>
              <w:rPr>
                <w:sz w:val="16"/>
              </w:rPr>
              <w:t>51</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atlas-nominated</w:t>
            </w:r>
          </w:p>
        </w:tc>
        <w:tc>
          <w:tcPr>
            <w:tcW w:type="dxa" w:w="1218"/>
            <w:vAlign w:val="center"/>
          </w:tcPr>
          <w:p>
            <w:r>
              <w:rPr>
                <w:sz w:val="16"/>
              </w:rPr>
              <w:t>98</w:t>
            </w:r>
          </w:p>
        </w:tc>
        <w:tc>
          <w:tcPr>
            <w:tcW w:type="dxa" w:w="1218"/>
            <w:vAlign w:val="center"/>
          </w:tcPr>
          <w:p>
            <w:r>
              <w:rPr>
                <w:sz w:val="16"/>
              </w:rPr>
              <w:t>52</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175</w:t>
            </w:r>
          </w:p>
        </w:tc>
        <w:tc>
          <w:tcPr>
            <w:tcW w:type="dxa" w:w="1218"/>
            <w:vAlign w:val="center"/>
          </w:tcPr>
          <w:p>
            <w:r>
              <w:rPr>
                <w:sz w:val="16"/>
              </w:rPr>
              <w:t>106</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23</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atlas-nominated</w:t>
            </w:r>
          </w:p>
        </w:tc>
        <w:tc>
          <w:tcPr>
            <w:tcW w:type="dxa" w:w="1218"/>
            <w:vAlign w:val="center"/>
          </w:tcPr>
          <w:p>
            <w:r>
              <w:rPr>
                <w:sz w:val="16"/>
              </w:rPr>
              <w:t>229</w:t>
            </w:r>
          </w:p>
        </w:tc>
        <w:tc>
          <w:tcPr>
            <w:tcW w:type="dxa" w:w="1218"/>
            <w:vAlign w:val="center"/>
          </w:tcPr>
          <w:p>
            <w:r>
              <w:rPr>
                <w:sz w:val="16"/>
              </w:rPr>
              <w:t>81</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prior report recovered</w:t>
            </w:r>
          </w:p>
        </w:tc>
        <w:tc>
          <w:tcPr>
            <w:tcW w:type="dxa" w:w="1218"/>
            <w:vAlign w:val="center"/>
          </w:tcPr>
          <w:p>
            <w:r>
              <w:rPr>
                <w:sz w:val="16"/>
              </w:rPr>
              <w:t>463</w:t>
            </w:r>
          </w:p>
        </w:tc>
        <w:tc>
          <w:tcPr>
            <w:tcW w:type="dxa" w:w="1218"/>
            <w:vAlign w:val="center"/>
          </w:tcPr>
          <w:p>
            <w:r>
              <w:rPr>
                <w:sz w:val="16"/>
              </w:rPr>
              <w:t>59</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atlas-nominated</w:t>
            </w:r>
          </w:p>
        </w:tc>
        <w:tc>
          <w:tcPr>
            <w:tcW w:type="dxa" w:w="1218"/>
            <w:vAlign w:val="center"/>
          </w:tcPr>
          <w:p>
            <w:r>
              <w:rPr>
                <w:sz w:val="16"/>
              </w:rPr>
              <w:t>487</w:t>
            </w:r>
          </w:p>
        </w:tc>
        <w:tc>
          <w:tcPr>
            <w:tcW w:type="dxa" w:w="1218"/>
            <w:vAlign w:val="center"/>
          </w:tcPr>
          <w:p>
            <w:r>
              <w:rPr>
                <w:sz w:val="16"/>
              </w:rPr>
              <w:t>176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atlas-nominated</w:t>
            </w:r>
          </w:p>
        </w:tc>
        <w:tc>
          <w:tcPr>
            <w:tcW w:type="dxa" w:w="1218"/>
            <w:vAlign w:val="center"/>
          </w:tcPr>
          <w:p>
            <w:r>
              <w:rPr>
                <w:sz w:val="16"/>
              </w:rPr>
              <w:t>485</w:t>
            </w:r>
          </w:p>
        </w:tc>
        <w:tc>
          <w:tcPr>
            <w:tcW w:type="dxa" w:w="1218"/>
            <w:vAlign w:val="center"/>
          </w:tcPr>
          <w:p>
            <w:r>
              <w:rPr>
                <w:sz w:val="16"/>
              </w:rPr>
              <w:t>44</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prior report recovered</w:t>
            </w:r>
          </w:p>
        </w:tc>
        <w:tc>
          <w:tcPr>
            <w:tcW w:type="dxa" w:w="1218"/>
            <w:vAlign w:val="center"/>
          </w:tcPr>
          <w:p>
            <w:r>
              <w:rPr>
                <w:sz w:val="16"/>
              </w:rPr>
              <w:t>252</w:t>
            </w:r>
          </w:p>
        </w:tc>
        <w:tc>
          <w:tcPr>
            <w:tcW w:type="dxa" w:w="1218"/>
            <w:vAlign w:val="center"/>
          </w:tcPr>
          <w:p>
            <w:r>
              <w:rPr>
                <w:sz w:val="16"/>
              </w:rPr>
              <w:t>21</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atlas-nominated</w:t>
            </w:r>
          </w:p>
        </w:tc>
        <w:tc>
          <w:tcPr>
            <w:tcW w:type="dxa" w:w="1218"/>
            <w:vAlign w:val="center"/>
          </w:tcPr>
          <w:p>
            <w:r>
              <w:rPr>
                <w:sz w:val="16"/>
              </w:rPr>
              <w:t>353</w:t>
            </w:r>
          </w:p>
        </w:tc>
        <w:tc>
          <w:tcPr>
            <w:tcW w:type="dxa" w:w="1218"/>
            <w:vAlign w:val="center"/>
          </w:tcPr>
          <w:p>
            <w:r>
              <w:rPr>
                <w:sz w:val="16"/>
              </w:rPr>
              <w:t>161</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atlas-nominated</w:t>
            </w:r>
          </w:p>
        </w:tc>
        <w:tc>
          <w:tcPr>
            <w:tcW w:type="dxa" w:w="1218"/>
            <w:vAlign w:val="center"/>
          </w:tcPr>
          <w:p>
            <w:r>
              <w:rPr>
                <w:sz w:val="16"/>
              </w:rPr>
              <w:t>384</w:t>
            </w:r>
          </w:p>
        </w:tc>
        <w:tc>
          <w:tcPr>
            <w:tcW w:type="dxa" w:w="1218"/>
            <w:vAlign w:val="center"/>
          </w:tcPr>
          <w:p>
            <w:r>
              <w:rPr>
                <w:sz w:val="16"/>
              </w:rPr>
              <w:t>82</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pPr>
      <w:r>
        <w:t>continuous_screen.csv</w:t>
      </w:r>
    </w:p>
    <w:p>
      <w:pPr>
        <w:pStyle w:val="ListBullet"/>
      </w:pPr>
      <w:r>
        <w:t>binary_screen.csv</w:t>
      </w:r>
    </w:p>
    <w:p>
      <w:pPr>
        <w:pStyle w:val="ListBullet"/>
      </w:pPr>
      <w:r>
        <w:t>screen_positive_performance_summary.csv</w:t>
      </w:r>
    </w:p>
    <w:p>
      <w:pPr>
        <w:pStyle w:val="ListBullet"/>
      </w:pPr>
      <w:r>
        <w:t>highlighted_model_performance.csv</w:t>
      </w:r>
    </w:p>
    <w:p>
      <w:pPr>
        <w:pStyle w:val="ListBullet"/>
      </w:pPr>
      <w:r>
        <w:t>continuous_repeated_nested_cv.csv</w:t>
      </w:r>
    </w:p>
    <w:p>
      <w:pPr>
        <w:pStyle w:val="ListBullet"/>
      </w:pPr>
      <w:r>
        <w:t>binary_repeated_nested_cv.csv</w:t>
      </w:r>
    </w:p>
    <w:p>
      <w:pPr>
        <w:pStyle w:val="ListBullet"/>
      </w:pPr>
      <w:r>
        <w:t>continuous_repeated_oof_predictions.csv.gz</w:t>
      </w:r>
    </w:p>
    <w:p>
      <w:pPr>
        <w:pStyle w:val="ListBullet"/>
      </w:pPr>
      <w:r>
        <w:t>binary_repeated_oof_predictions.csv.gz</w:t>
      </w:r>
    </w:p>
    <w:p>
      <w:pPr>
        <w:pStyle w:val="ListBullet"/>
      </w:pPr>
      <w:r>
        <w:t>continuous_site_grouped_sensitivity.csv</w:t>
      </w:r>
    </w:p>
    <w:p>
      <w:pPr>
        <w:pStyle w:val="ListBullet"/>
      </w:pPr>
      <w:r>
        <w:t>binary_site_grouped_sensitivity.csv</w:t>
      </w:r>
    </w:p>
    <w:p>
      <w:pPr>
        <w:pStyle w:val="ListBullet"/>
      </w:pPr>
      <w:r>
        <w:t>continuous_slide_pooling_sensitivity.csv</w:t>
      </w:r>
    </w:p>
    <w:p>
      <w:pPr>
        <w:pStyle w:val="ListBullet"/>
      </w:pPr>
      <w:r>
        <w:t>binary_slide_pooling_sensitivity.csv</w:t>
      </w:r>
    </w:p>
    <w:p>
      <w:pPr>
        <w:pStyle w:val="ListBullet"/>
      </w:pPr>
      <w:r>
        <w:t>pls1_vs_pls2_inflammation.csv</w:t>
      </w:r>
    </w:p>
    <w:p>
      <w:pPr>
        <w:pStyle w:val="ListBullet"/>
      </w:pPr>
      <w:r>
        <w:t>prior_mutation_literature_crosswalk.csv</w:t>
      </w:r>
    </w:p>
    <w:p>
      <w:pPr>
        <w:pStyle w:val="ListBullet"/>
      </w:pPr>
      <w:r>
        <w:t>prior_mutation_accuracy_comparison.csv</w:t>
      </w:r>
    </w:p>
    <w:p>
      <w:pPr>
        <w:pStyle w:val="ListBullet"/>
      </w:pPr>
      <w:r>
        <w:t>supported_mutation_novelty.csv</w:t>
      </w:r>
    </w:p>
    <w:p>
      <w:pPr>
        <w:pStyle w:val="ListBullet"/>
      </w:pPr>
      <w:r>
        <w:t>slide_report_coverage_audit.csv</w:t>
      </w:r>
    </w:p>
    <w:p>
      <w:pPr>
        <w:pStyle w:val="ListBullet"/>
      </w:pPr>
      <w:r>
        <w:t>patient_slide_multiplicity_by_cancer.csv</w:t>
      </w:r>
    </w:p>
    <w:p>
      <w:pPr>
        <w:pStyle w:val="ListBullet"/>
      </w:pPr>
      <w:r>
        <w:t>participant_characteristics_by_cancer.csv</w:t>
      </w:r>
    </w:p>
    <w:p>
      <w:pPr>
        <w:pStyle w:val="ListBullet"/>
      </w:pPr>
      <w:r>
        <w:t>tcga_cdr_match_audit.csv</w:t>
      </w:r>
    </w:p>
    <w:p>
      <w:pPr>
        <w:pStyle w:val="ListBullet"/>
      </w:pPr>
      <w:r>
        <w:t>molecular_source_coverage_audit.csv</w:t>
      </w:r>
    </w:p>
    <w:p>
      <w:pPr>
        <w:pStyle w:val="ListBullet"/>
      </w:pPr>
      <w:r>
        <w:t>mutation_coverage_audit.csv</w:t>
      </w:r>
    </w:p>
    <w:p>
      <w:pPr>
        <w:pStyle w:val="ListBullet"/>
      </w:pPr>
      <w:r>
        <w:t>mutation_target_eligibility_audit.csv</w:t>
      </w:r>
    </w:p>
    <w:p>
      <w:pPr>
        <w:pStyle w:val="ListBullet"/>
      </w:pPr>
      <w:r>
        <w:t>mutation_variant_classification_audit.csv</w:t>
      </w:r>
    </w:p>
    <w:p>
      <w:pPr>
        <w:pStyle w:val="ListBullet"/>
      </w:pPr>
      <w:r>
        <w:t>source_manifest.csv</w:t>
      </w:r>
    </w:p>
    <w:p>
      <w:pPr>
        <w:pStyle w:val="ListBullet"/>
      </w:pPr>
      <w:r>
        <w:t>software_manifest.csv</w:t>
      </w:r>
    </w:p>
    <w:p>
      <w:pPr>
        <w:pStyle w:val="ListBullet"/>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