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TCGA discovery atlas of molecular and immune predictability from pretrained TITAN whole-slide representations across 32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Deep-learning studies have shown that haematoxylin-and-eosin images encode mutations, microsatellite instability, transcriptomic programmes and tumour-microenvironment phenotypes. We evaluated which individual molecular, genomic-instability and immune endpoints are predictable within cancer type from reusable TITAN whole-slide representations.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TGCT–TGF-beta Response (Q² 0.670, 95% bootstrap interval 0.573–0.741; RMSE 0.303, Spearman 0.791) and LGG–TP53 (sensitivity 0.839, specificity 0.885, balanced accuracy 0.862, 95% bootstrap interval 0.833–0.888; AUROC 0.908). Under the multiplicity sensitivity, 219 continuous and 39 cancer–mutation pairs passed the stricter across-cancer correction; its attainable q-values in large families were limited by the 0.001 empirical-p resolution. Site grouping reduced 83/323 candidates (25.7%) below the original effect threshold. In a selection-conditioned 24-model benchmark, median ridge-minus-PLS differences were 0.007 balanced accuracy and 0.014 Q², showing no uniform PLS advantage.</w:t>
      </w:r>
    </w:p>
    <w:p>
      <w:r>
        <w:rPr>
          <w:b/>
        </w:rPr>
        <w:t xml:space="preserve">Conclusions. </w:t>
      </w:r>
      <w:r>
        <w:t>Pretrained TITAN representations support a cancer-specific TCGA discovery atlas spanning immune and molecular phenotypes. The models are internally validated research candidates, do not replace molecular assays, and require independent external validation before clinical interpretation.</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However, the published landscape remains fragmented across selected cancers, endpoint classes, representations and reporting conventions. What is missing is a single patient-level, reusable discovery atlas that applies one fixed pretrained whole-slide representation and one transparent validation framework to many individual mutation, immune, pathway, instability, aneuploidy and fusion endpoints while retaining negative results, class counts, uncertainty and deployable fitted models. This study addresses that gap; it does not claim that the individual endpoint classes themselves are unprecedented.</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As a secondary algorithmic benchmark, the 24 manuscript-highlighted models were refitted on the same five repeated outer partitions using ridge-penalised Gaussian regression for continuous endpoints and ridge logistic regression for binary endpoints. Ridge hyperparameters were selected inside each outer training set; binary operating thresholds maximised balanced accuracy using inner out-of-fold probabilities. The primary paired differences were ridge-minus-PLS Q² and balanced accuracy, with AUROC or Spearman correlation retained as secondary metrics. We report the magnitude, interquartile range and 95% paired-repeat interval rather than declaring a winner from counts alone. Because models were selected for this benchmark after the PLS screen, it is a conditional sensitivity analysis and cannot establish atlas-wide algorithmic superiority. Ridge was chosen as a simple linear baseline whose fitted coefficients can be exported without retaining training embeddings; nonlinear kernel predictors that require training observations or landmarks at inference did not satisfy that deployment constraint.</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atlas.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discovery candidates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TITANPred retains the binary LDA score but does not convert it to a probability. In reports, its position is labelled 'TCGA out-of-fold score rank (not probability)' rather than percentile or risk, and is displayed beside total training n, positive and negative counts, prevalence, repeated-CV balanced accuracy and AUROC. Models with fewer than 50 patients in either class receive an explicit limited-class-size warning; this reporting flag does not change the prespecified 20-per-class eligibility rule. Probability calibration was not added post hoc because it would require an independently evaluated or fully nested calibration procedure, which is not available in this TCGA discovery analysis.</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released target catalogues, out-of-fold prediction summaries, figures and model registry are organized in the companion analysis repository [30]. A separate GPL-3 R package bundles all fitted models, their SHA-256 registry, reference distributions, inference interface and report template [32]. The bundled artifacts contain learned parameters and training-range summaries but no patient-level training rows. No independent cohort with compatible TITAN features and the required labels was included;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atlas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atlas.</w:t>
      </w:r>
    </w:p>
    <w:p>
      <w:pPr>
        <w:pStyle w:val="Heading2"/>
      </w:pPr>
      <w:r>
        <w:t>Binary molecular phenotypes</w:t>
      </w:r>
    </w:p>
    <w:p>
      <w:r>
        <w:t>The binary atlas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2.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Cancer–endpoint</w:t>
            </w:r>
          </w:p>
        </w:tc>
        <w:tc>
          <w:tcPr>
            <w:tcW w:type="dxa" w:w="1949"/>
          </w:tcPr>
          <w:p>
            <w:r>
              <w:rPr>
                <w:b/>
                <w:sz w:val="17"/>
              </w:rPr>
              <w:t>Type</w:t>
            </w:r>
          </w:p>
        </w:tc>
        <w:tc>
          <w:tcPr>
            <w:tcW w:type="dxa" w:w="1949"/>
          </w:tcPr>
          <w:p>
            <w:r>
              <w:rPr>
                <w:b/>
                <w:sz w:val="17"/>
              </w:rPr>
              <w:t>Q² or Se/Sp (95% CI)</w:t>
            </w:r>
          </w:p>
        </w:tc>
        <w:tc>
          <w:tcPr>
            <w:tcW w:type="dxa" w:w="1949"/>
          </w:tcPr>
          <w:p>
            <w:r>
              <w:rPr>
                <w:b/>
                <w:sz w:val="17"/>
              </w:rPr>
              <w:t>RMSE or BA (95% CI)</w:t>
            </w:r>
          </w:p>
        </w:tc>
        <w:tc>
          <w:tcPr>
            <w:tcW w:type="dxa" w:w="1949"/>
          </w:tcPr>
          <w:p>
            <w:r>
              <w:rPr>
                <w:b/>
                <w:sz w:val="17"/>
              </w:rPr>
              <w:t>Spearman or AUROC (95% CI)</w:t>
            </w:r>
          </w:p>
        </w:tc>
      </w:tr>
      <w:tr>
        <w:trPr>
          <w:cantSplit/>
        </w:trPr>
        <w:tc>
          <w:tcPr>
            <w:tcW w:type="dxa" w:w="1949"/>
            <w:vAlign w:val="center"/>
          </w:tcPr>
          <w:p>
            <w:r>
              <w:rPr>
                <w:sz w:val="16"/>
              </w:rPr>
              <w:t>TGCT–TGF-beta Response</w:t>
            </w:r>
          </w:p>
        </w:tc>
        <w:tc>
          <w:tcPr>
            <w:tcW w:type="dxa" w:w="1949"/>
            <w:vAlign w:val="center"/>
          </w:tcPr>
          <w:p>
            <w:r>
              <w:rPr>
                <w:sz w:val="16"/>
              </w:rPr>
              <w:t>continuous</w:t>
            </w:r>
          </w:p>
        </w:tc>
        <w:tc>
          <w:tcPr>
            <w:tcW w:type="dxa" w:w="1949"/>
            <w:vAlign w:val="center"/>
          </w:tcPr>
          <w:p>
            <w:r>
              <w:rPr>
                <w:sz w:val="16"/>
              </w:rPr>
              <w:t>0.670 (0.573–0.741)</w:t>
            </w:r>
          </w:p>
        </w:tc>
        <w:tc>
          <w:tcPr>
            <w:tcW w:type="dxa" w:w="1949"/>
            <w:vAlign w:val="center"/>
          </w:tcPr>
          <w:p>
            <w:r>
              <w:rPr>
                <w:sz w:val="16"/>
              </w:rPr>
              <w:t>0.303 (0.269–0.337)</w:t>
            </w:r>
          </w:p>
        </w:tc>
        <w:tc>
          <w:tcPr>
            <w:tcW w:type="dxa" w:w="1949"/>
            <w:vAlign w:val="center"/>
          </w:tcPr>
          <w:p>
            <w:r>
              <w:rPr>
                <w:sz w:val="16"/>
              </w:rPr>
              <w:t>0.791 (0.713–0.842)</w:t>
            </w:r>
          </w:p>
        </w:tc>
      </w:tr>
      <w:tr>
        <w:trPr>
          <w:cantSplit/>
        </w:trPr>
        <w:tc>
          <w:tcPr>
            <w:tcW w:type="dxa" w:w="1949"/>
            <w:vAlign w:val="center"/>
          </w:tcPr>
          <w:p>
            <w:r>
              <w:rPr>
                <w:sz w:val="16"/>
              </w:rPr>
              <w:t>THYM–Th17 Cells</w:t>
            </w:r>
          </w:p>
        </w:tc>
        <w:tc>
          <w:tcPr>
            <w:tcW w:type="dxa" w:w="1949"/>
            <w:vAlign w:val="center"/>
          </w:tcPr>
          <w:p>
            <w:r>
              <w:rPr>
                <w:sz w:val="16"/>
              </w:rPr>
              <w:t>continuous</w:t>
            </w:r>
          </w:p>
        </w:tc>
        <w:tc>
          <w:tcPr>
            <w:tcW w:type="dxa" w:w="1949"/>
            <w:vAlign w:val="center"/>
          </w:tcPr>
          <w:p>
            <w:r>
              <w:rPr>
                <w:sz w:val="16"/>
              </w:rPr>
              <w:t>0.594 (0.455–0.698)</w:t>
            </w:r>
          </w:p>
        </w:tc>
        <w:tc>
          <w:tcPr>
            <w:tcW w:type="dxa" w:w="1949"/>
            <w:vAlign w:val="center"/>
          </w:tcPr>
          <w:p>
            <w:r>
              <w:rPr>
                <w:sz w:val="16"/>
              </w:rPr>
              <w:t>1743.443 (1514.535–1979.481)</w:t>
            </w:r>
          </w:p>
        </w:tc>
        <w:tc>
          <w:tcPr>
            <w:tcW w:type="dxa" w:w="1949"/>
            <w:vAlign w:val="center"/>
          </w:tcPr>
          <w:p>
            <w:r>
              <w:rPr>
                <w:sz w:val="16"/>
              </w:rPr>
              <w:t>0.738 (0.636–0.811)</w:t>
            </w:r>
          </w:p>
        </w:tc>
      </w:tr>
      <w:tr>
        <w:trPr>
          <w:cantSplit/>
        </w:trPr>
        <w:tc>
          <w:tcPr>
            <w:tcW w:type="dxa" w:w="1949"/>
            <w:vAlign w:val="center"/>
          </w:tcPr>
          <w:p>
            <w:r>
              <w:rPr>
                <w:sz w:val="16"/>
              </w:rPr>
              <w:t>THCA–Lymphocyte Infiltration Signature Score</w:t>
            </w:r>
          </w:p>
        </w:tc>
        <w:tc>
          <w:tcPr>
            <w:tcW w:type="dxa" w:w="1949"/>
            <w:vAlign w:val="center"/>
          </w:tcPr>
          <w:p>
            <w:r>
              <w:rPr>
                <w:sz w:val="16"/>
              </w:rPr>
              <w:t>continuous</w:t>
            </w:r>
          </w:p>
        </w:tc>
        <w:tc>
          <w:tcPr>
            <w:tcW w:type="dxa" w:w="1949"/>
            <w:vAlign w:val="center"/>
          </w:tcPr>
          <w:p>
            <w:r>
              <w:rPr>
                <w:sz w:val="16"/>
              </w:rPr>
              <w:t>0.577 (0.511–0.636)</w:t>
            </w:r>
          </w:p>
        </w:tc>
        <w:tc>
          <w:tcPr>
            <w:tcW w:type="dxa" w:w="1949"/>
            <w:vAlign w:val="center"/>
          </w:tcPr>
          <w:p>
            <w:r>
              <w:rPr>
                <w:sz w:val="16"/>
              </w:rPr>
              <w:t>0.781 (0.722–0.844)</w:t>
            </w:r>
          </w:p>
        </w:tc>
        <w:tc>
          <w:tcPr>
            <w:tcW w:type="dxa" w:w="1949"/>
            <w:vAlign w:val="center"/>
          </w:tcPr>
          <w:p>
            <w:r>
              <w:rPr>
                <w:sz w:val="16"/>
              </w:rPr>
              <w:t>0.742 (0.693–0.786)</w:t>
            </w:r>
          </w:p>
        </w:tc>
      </w:tr>
      <w:tr>
        <w:trPr>
          <w:cantSplit/>
        </w:trPr>
        <w:tc>
          <w:tcPr>
            <w:tcW w:type="dxa" w:w="1949"/>
            <w:vAlign w:val="center"/>
          </w:tcPr>
          <w:p>
            <w:r>
              <w:rPr>
                <w:sz w:val="16"/>
              </w:rPr>
              <w:t>BRCA–Wound Healing</w:t>
            </w:r>
          </w:p>
        </w:tc>
        <w:tc>
          <w:tcPr>
            <w:tcW w:type="dxa" w:w="1949"/>
            <w:vAlign w:val="center"/>
          </w:tcPr>
          <w:p>
            <w:r>
              <w:rPr>
                <w:sz w:val="16"/>
              </w:rPr>
              <w:t>continuous</w:t>
            </w:r>
          </w:p>
        </w:tc>
        <w:tc>
          <w:tcPr>
            <w:tcW w:type="dxa" w:w="1949"/>
            <w:vAlign w:val="center"/>
          </w:tcPr>
          <w:p>
            <w:r>
              <w:rPr>
                <w:sz w:val="16"/>
              </w:rPr>
              <w:t>0.528 (0.483–0.569)</w:t>
            </w:r>
          </w:p>
        </w:tc>
        <w:tc>
          <w:tcPr>
            <w:tcW w:type="dxa" w:w="1949"/>
            <w:vAlign w:val="center"/>
          </w:tcPr>
          <w:p>
            <w:r>
              <w:rPr>
                <w:sz w:val="16"/>
              </w:rPr>
              <w:t>0.111 (0.106–0.116)</w:t>
            </w:r>
          </w:p>
        </w:tc>
        <w:tc>
          <w:tcPr>
            <w:tcW w:type="dxa" w:w="1949"/>
            <w:vAlign w:val="center"/>
          </w:tcPr>
          <w:p>
            <w:r>
              <w:rPr>
                <w:sz w:val="16"/>
              </w:rPr>
              <w:t>0.724 (0.694–0.753)</w:t>
            </w:r>
          </w:p>
        </w:tc>
      </w:tr>
      <w:tr>
        <w:trPr>
          <w:cantSplit/>
        </w:trPr>
        <w:tc>
          <w:tcPr>
            <w:tcW w:type="dxa" w:w="1949"/>
            <w:vAlign w:val="center"/>
          </w:tcPr>
          <w:p>
            <w:r>
              <w:rPr>
                <w:sz w:val="16"/>
              </w:rPr>
              <w:t>LGG–TP53</w:t>
            </w:r>
          </w:p>
        </w:tc>
        <w:tc>
          <w:tcPr>
            <w:tcW w:type="dxa" w:w="1949"/>
            <w:vAlign w:val="center"/>
          </w:tcPr>
          <w:p>
            <w:r>
              <w:rPr>
                <w:sz w:val="16"/>
              </w:rPr>
              <w:t>binary</w:t>
            </w:r>
          </w:p>
        </w:tc>
        <w:tc>
          <w:tcPr>
            <w:tcW w:type="dxa" w:w="1949"/>
            <w:vAlign w:val="center"/>
          </w:tcPr>
          <w:p>
            <w:r>
              <w:rPr>
                <w:sz w:val="16"/>
              </w:rPr>
              <w:t>Se 0.839 (0.795–0.877); Sp 0.885 (0.848–0.920)</w:t>
            </w:r>
          </w:p>
        </w:tc>
        <w:tc>
          <w:tcPr>
            <w:tcW w:type="dxa" w:w="1949"/>
            <w:vAlign w:val="center"/>
          </w:tcPr>
          <w:p>
            <w:r>
              <w:rPr>
                <w:sz w:val="16"/>
              </w:rPr>
              <w:t>BA 0.862 (0.833–0.888)</w:t>
            </w:r>
          </w:p>
        </w:tc>
        <w:tc>
          <w:tcPr>
            <w:tcW w:type="dxa" w:w="1949"/>
            <w:vAlign w:val="center"/>
          </w:tcPr>
          <w:p>
            <w:r>
              <w:rPr>
                <w:sz w:val="16"/>
              </w:rPr>
              <w:t>AUROC 0.908 (0.880–0.932)</w:t>
            </w:r>
          </w:p>
        </w:tc>
      </w:tr>
      <w:tr>
        <w:trPr>
          <w:cantSplit/>
        </w:trPr>
        <w:tc>
          <w:tcPr>
            <w:tcW w:type="dxa" w:w="1949"/>
            <w:vAlign w:val="center"/>
          </w:tcPr>
          <w:p>
            <w:r>
              <w:rPr>
                <w:sz w:val="16"/>
              </w:rPr>
              <w:t>THYM–GTF2I</w:t>
            </w:r>
          </w:p>
        </w:tc>
        <w:tc>
          <w:tcPr>
            <w:tcW w:type="dxa" w:w="1949"/>
            <w:vAlign w:val="center"/>
          </w:tcPr>
          <w:p>
            <w:r>
              <w:rPr>
                <w:sz w:val="16"/>
              </w:rPr>
              <w:t>binary</w:t>
            </w:r>
          </w:p>
        </w:tc>
        <w:tc>
          <w:tcPr>
            <w:tcW w:type="dxa" w:w="1949"/>
            <w:vAlign w:val="center"/>
          </w:tcPr>
          <w:p>
            <w:r>
              <w:rPr>
                <w:sz w:val="16"/>
              </w:rPr>
              <w:t>Se 0.878 (0.804–0.940); Sp 0.839 (0.748–0.916)</w:t>
            </w:r>
          </w:p>
        </w:tc>
        <w:tc>
          <w:tcPr>
            <w:tcW w:type="dxa" w:w="1949"/>
            <w:vAlign w:val="center"/>
          </w:tcPr>
          <w:p>
            <w:r>
              <w:rPr>
                <w:sz w:val="16"/>
              </w:rPr>
              <w:t>BA 0.859 (0.803–0.905)</w:t>
            </w:r>
          </w:p>
        </w:tc>
        <w:tc>
          <w:tcPr>
            <w:tcW w:type="dxa" w:w="1949"/>
            <w:vAlign w:val="center"/>
          </w:tcPr>
          <w:p>
            <w:r>
              <w:rPr>
                <w:sz w:val="16"/>
              </w:rPr>
              <w:t>AUROC 0.907 (0.852–0.955)</w:t>
            </w:r>
          </w:p>
        </w:tc>
      </w:tr>
      <w:tr>
        <w:trPr>
          <w:cantSplit/>
        </w:trPr>
        <w:tc>
          <w:tcPr>
            <w:tcW w:type="dxa" w:w="1949"/>
            <w:vAlign w:val="center"/>
          </w:tcPr>
          <w:p>
            <w:r>
              <w:rPr>
                <w:sz w:val="16"/>
              </w:rPr>
              <w:t>READ–TP53</w:t>
            </w:r>
          </w:p>
        </w:tc>
        <w:tc>
          <w:tcPr>
            <w:tcW w:type="dxa" w:w="1949"/>
            <w:vAlign w:val="center"/>
          </w:tcPr>
          <w:p>
            <w:r>
              <w:rPr>
                <w:sz w:val="16"/>
              </w:rPr>
              <w:t>binary</w:t>
            </w:r>
          </w:p>
        </w:tc>
        <w:tc>
          <w:tcPr>
            <w:tcW w:type="dxa" w:w="1949"/>
            <w:vAlign w:val="center"/>
          </w:tcPr>
          <w:p>
            <w:r>
              <w:rPr>
                <w:sz w:val="16"/>
              </w:rPr>
              <w:t>Se 0.912 (0.855–0.966); Sp 0.803 (0.704–0.890)</w:t>
            </w:r>
          </w:p>
        </w:tc>
        <w:tc>
          <w:tcPr>
            <w:tcW w:type="dxa" w:w="1949"/>
            <w:vAlign w:val="center"/>
          </w:tcPr>
          <w:p>
            <w:r>
              <w:rPr>
                <w:sz w:val="16"/>
              </w:rPr>
              <w:t>BA 0.858 (0.801–0.910)</w:t>
            </w:r>
          </w:p>
        </w:tc>
        <w:tc>
          <w:tcPr>
            <w:tcW w:type="dxa" w:w="1949"/>
            <w:vAlign w:val="center"/>
          </w:tcPr>
          <w:p>
            <w:r>
              <w:rPr>
                <w:sz w:val="16"/>
              </w:rPr>
              <w:t>AUROC 0.912 (0.860–0.956)</w:t>
            </w:r>
          </w:p>
        </w:tc>
      </w:tr>
      <w:tr>
        <w:trPr>
          <w:cantSplit/>
        </w:trPr>
        <w:tc>
          <w:tcPr>
            <w:tcW w:type="dxa" w:w="1949"/>
            <w:vAlign w:val="center"/>
          </w:tcPr>
          <w:p>
            <w:r>
              <w:rPr>
                <w:sz w:val="16"/>
              </w:rPr>
              <w:t>THCA–BRAF</w:t>
            </w:r>
          </w:p>
        </w:tc>
        <w:tc>
          <w:tcPr>
            <w:tcW w:type="dxa" w:w="1949"/>
            <w:vAlign w:val="center"/>
          </w:tcPr>
          <w:p>
            <w:r>
              <w:rPr>
                <w:sz w:val="16"/>
              </w:rPr>
              <w:t>binary</w:t>
            </w:r>
          </w:p>
        </w:tc>
        <w:tc>
          <w:tcPr>
            <w:tcW w:type="dxa" w:w="1949"/>
            <w:vAlign w:val="center"/>
          </w:tcPr>
          <w:p>
            <w:r>
              <w:rPr>
                <w:sz w:val="16"/>
              </w:rPr>
              <w:t>Se 0.926 (0.897–0.952); Sp 0.747 (0.688–0.801)</w:t>
            </w:r>
          </w:p>
        </w:tc>
        <w:tc>
          <w:tcPr>
            <w:tcW w:type="dxa" w:w="1949"/>
            <w:vAlign w:val="center"/>
          </w:tcPr>
          <w:p>
            <w:r>
              <w:rPr>
                <w:sz w:val="16"/>
              </w:rPr>
              <w:t>BA 0.837 (0.805–0.866)</w:t>
            </w:r>
          </w:p>
        </w:tc>
        <w:tc>
          <w:tcPr>
            <w:tcW w:type="dxa" w:w="1949"/>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Exportable linear baseline comparison</w:t>
      </w:r>
    </w:p>
    <w:p>
      <w:r>
        <w:t>Among the 12 highlighted binary models, the median ridge-minus-PLS balanced-accuracy difference was 0.007 (IQR -0.004 to 0.014); ridge had a paired-repeat interval above zero for 2 models, PLS for 1, and 9 differences were uncertain. For the 12 continuous models, the median ridge-minus-PLS Q² difference was 0.014 (IQR 0.007 to 0.017); ridge was favoured for 7, PLS for 2, and 3 were uncertain. Thus PLS was competitive but not uniformly superior to a simpler exportable linear model. Because the benchmark was restricted to PLS-highlighted results, the prespecified PLS atlas was retained and the comparison is reported as selection-conditioned sensitivity evidence rather than a basis for post-screen method switching.</w:t>
      </w:r>
    </w:p>
    <w:p>
      <w:pPr>
        <w:pStyle w:val="Heading2"/>
      </w:pPr>
      <w:r>
        <w:t>Site and multiple-slide sensitivity</w:t>
      </w:r>
    </w:p>
    <w:p>
      <w:r>
        <w:t>Site-grouped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patients, so the decline cannot be attributed solely to site artefact; nevertheless, the near-chance colorectal APC results are not adequately summarised by the median and are treated as site-sensitive. The first-slide-minus-mean-pool median change across screen-positive models was -0.001.</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2"/>
      </w:pPr>
      <w:r>
        <w:t>Reusable multi-endpoint inference and COAD illustration</w:t>
      </w:r>
    </w:p>
    <w:p>
      <w:r>
        <w:t>The TITANPred R package exposes 323 fitted models (219 continuous and 104 binary) across 27 cancers [32]. Users supply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The binary display labels its TCGA out-of-fold score rank explicitly as a rank rather than a probability and places training positive/negative counts, prevalence, repeated-CV performance and any limited-class-size warning beside the call. A single-sample report renders all available continuous endpoints as a radar, with the exact reference percentile and original prediction printed at every corner, and displays binary calls with provenance and out-of-distribution diagnostics. The report ends with definitions of every displayed endpoint and citations for the data source used to construct each TCGA model target.</w:t>
      </w:r>
    </w:p>
    <w:p>
      <w:r>
        <w:t>COAD was chosen as a deployment illustration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an internal deployment demonstration,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deployment illustration in two clinically comparable COAD cases. Panels A and B show all ten continuous predictions for TCGA-AA-A01F and TCGA-AA-3972, respectively. Silent mutation rate and SNV neoantigens flank nonsilent mutation rate in the semantic axis order. Every radar corner reports the exact percentile relative to corrected repeated out-of-fold TCGA predictions and the original model prediction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deployment examples and do not provide external validation.</w:t>
      </w:r>
    </w:p>
    <w:p>
      <w:pPr>
        <w:pStyle w:val="Heading1"/>
      </w:pPr>
      <w:r>
        <w:t>Discussion</w:t>
      </w:r>
    </w:p>
    <w:p>
      <w:r>
        <w:t>This study answers a target-by-target, cancer-specific question rather than asking whether molecular subtype and mutation status are associated. Fixed pretrained TITAN representations contain useful signal for selected immune programmes, mutations and higher-level genomic phenotypes, but most eligible pairs do not satisfy both multiplicity and effect thresholds. That heterogeneity—and transparent negative reporting—is the primary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deployment.</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The ridge benchmark prevents interpreting that design choice as proof of PLS superiority. Median ridge-minus-PLS differences were small (0.007 balanced accuracy for binary and 0.014 Q² for continuous models), although paired intervals favoured ridge for two binary and seven continuous highlighted endpoints and favoured PLS for one binary and two continuous endpoints. The remaining 12 comparisons were uncertain. Both approaches yield compact exportable parameters, so portability is not unique to PLS. PLS remains the prespecified atlas method because the benchmark was performed only on PLS-highlighted models and switching methods after that selection would add another optimistic selection layer. Future external validation can compare locked PLS and ridge candidates prospectively.</w:t>
      </w:r>
    </w:p>
    <w:p>
      <w:r>
        <w:t>Site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This reinforces the need for multi-institutional external validation and for publishing target-level, not only median, sensitivity results.</w:t>
      </w:r>
    </w:p>
    <w:p>
      <w:r>
        <w:t>A further practical feature is data-minimising model portability. Preprocessing values, latent weights and coefficients are sufficient for continuous prediction, with compact LDA parameters added for binary classification. TITANPred publicly distributes these fitted objects and applies every cancer-matched model to correctly ordered TITAN features without distributing the original patient embeddings or outcomes [32]. This reduces the patient-level data that must be exchanged, although it does not itself confer privacy, satisfy local governance requirements or establish transportability. The matched COAD examples show how the package summarizes differing multi-endpoint profiles among cases with shared clinicopathological attributes. Because both examples were chosen within TCGA and were predicted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predictions cannot justify omitting a molecular assay. External feature extraction and prospective evaluation are required before clinical use.</w:t>
      </w:r>
    </w:p>
    <w:p>
      <w:r>
        <w:t>The repeated nested-CV estimates and patient-cluster bootstrap intervals are also conditional on selecting endpoints in this same TCGA atlas.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Mean-pooled TITAN representations enable a cancer-specific TCGA discovery atlas of selected immune, mutation, pathway, MSI, aneuploidy and fusion phenotypes. The public TITANPred package applies all cancer-matched fitted PLS and PLS–LDA models without distributing patient-level training data, providing a practical route to independent external research validation. The resource prioritises hypotheses and exposes screen-negative targets, but remains internally validated and non-clinical.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All 323 fitted research models, their registry, inference code and HTML/PDF report template are distributed in the separate TITANPred repository [32].</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S1–S2 and an inventory of the companion machine-readable result files.</w:t>
      </w:r>
    </w:p>
    <w:p>
      <w:r>
        <w:t>Additional file 2 (.pdf): COAD example A (TCGA-AA-A01F) TITANPred single-sample report. Illustrative full-cohort research-model predictions for the COAD example with high MSI, mutation-rate and immune-feature predictions and low aneuploidy prediction.</w:t>
      </w:r>
    </w:p>
    <w:p>
      <w:r>
        <w:t>Additional file 3 (.pdf): COAD example B (TCGA-AA-3972) TITANPred single-sample report. Illustrative full-cohort research-model predictions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prediction atlas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TCGA TITAN molecular and immune discovery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