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patient-level TCGA discovery atlas of molecular and immune predictability from pretrained TITAN whole-slide representations across 32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Minor revision</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discovery atlas.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I found no further analysis essential for publication under the stated discovery-atlas framing.</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atlas using a fixed pretrained representation. The authors appropriately refrain from clinical claims. I recommend minor revision limited to submission administration and permanent archiving.</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and tissue-source-site sensitivities are appropriate internal robustness checks.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 discovery atlas.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deployment metadata</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atlas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TCGA discovery atlas rather than independent validation.</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External validation remains the next research stage, not a condition that can be satisfied by further TCGA resampling.</w:t>
      </w:r>
    </w:p>
    <w:p>
      <w:pPr>
        <w:pStyle w:val="Heading2"/>
        <w:keepNext/>
      </w:pPr>
      <w:r>
        <w:t>5. Reproducibility and model redistribution</w:t>
      </w:r>
    </w:p>
    <w:p>
      <w:pPr>
        <w:spacing w:after="120" w:line="264" w:lineRule="auto"/>
      </w:pPr>
      <w:r>
        <w:rPr>
          <w:rFonts w:ascii="Calibri" w:hAnsi="Calibri"/>
          <w:b w:val="0"/>
          <w:i w:val="0"/>
          <w:color w:val="000000"/>
          <w:sz w:val="22"/>
        </w:rPr>
        <w:t>The reproducibility resource is now split appropriately between the public analysis repository and a separate GPL-3 TITANPred R package. The package distributes all 323 fitted research models, their SHA-256 registry, repeated out-of-fold reference distributions, cancer-vector inference interface and HTML/PDF report template.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versioned releases of the analysis and model-package repositories with persistent DOIs, retain the research-only and no-external-validation notices, and cite the upstream TITAN work and feature source in the package documentation. This is an administrative release condition and does not require a new scientific analysis.</w:t>
      </w:r>
    </w:p>
    <w:p>
      <w:pPr>
        <w:pStyle w:val="Heading2"/>
        <w:keepNext/>
      </w:pPr>
      <w:r>
        <w:t>6.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atlas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distinguishes replicated exact pairs from atlas-nominated candidates without overstating novelty.</w:t>
      </w:r>
    </w:p>
    <w:p>
      <w:pPr>
        <w:pStyle w:val="Heading1"/>
        <w:keepNext/>
      </w:pPr>
      <w:r>
        <w:t>Recommended editorial decision</w:t>
      </w:r>
    </w:p>
    <w:p>
      <w:pPr>
        <w:shd w:fill="E8EEF5"/>
      </w:pPr>
      <w:r>
        <w:rPr>
          <w:rFonts w:ascii="Calibri" w:hAnsi="Calibri"/>
          <w:b/>
          <w:i w:val="0"/>
          <w:color w:val="1F4D78"/>
          <w:sz w:val="24"/>
        </w:rPr>
        <w:t>MINOR REVISION</w:t>
      </w:r>
    </w:p>
    <w:p>
      <w:pPr>
        <w:spacing w:after="120" w:line="264" w:lineRule="auto"/>
      </w:pPr>
      <w:r>
        <w:rPr>
          <w:rFonts w:ascii="Calibri" w:hAnsi="Calibri"/>
          <w:b w:val="0"/>
          <w:i w:val="0"/>
          <w:color w:val="000000"/>
          <w:sz w:val="22"/>
        </w:rPr>
        <w:t>The scientific analysis is suitable for consideration as a TCGA discovery atlas. The remaining work is administrative: complete declarations and author metadata, provide the reporting checklist, and archive a versioned public release. No further TCGA analysis is required by this review.</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discovery atlas</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