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TCGA discovery atlas of molecular and immune predictability from pretrained TITAN whole-slide representations across 32 cancers</w:t>
      </w:r>
    </w:p>
    <w:p>
      <w:pPr>
        <w:jc w:val="center"/>
      </w:pPr>
      <w:r>
        <w:rPr>
          <w:b/>
        </w:rPr>
        <w:t>Aamilah Ismail</w:t>
      </w:r>
      <w:r>
        <w:rPr>
          <w:vertAlign w:val="superscript"/>
        </w:rPr>
        <w:t>3,*</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Deep-learning studies have shown that haematoxylin-and-eosin images encode mutations, microsatellite instability, transcriptomic programmes and tumour-microenvironment phenotypes. We evaluated which individual molecular, genomic-instability and immune endpoints are predictable within cancer type from reusable TITAN whole-slide representations.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BRCA–Wound Healing (Q² -0.169, 95% bootstrap interval -0.196–-0.148; RMSE 0.174, Spearman -0.002) and LGG–TP53 (sensitivity 0.839, specificity 0.885, balanced accuracy 0.862, 95% bootstrap interval 0.833–0.888; AUROC 0.908). Under the multiplicity sensitivity, 219 continuous and 39 cancer–mutation pairs passed the stricter across-cancer correction; its attainable q-values in large families were limited by the 0.001 empirical-p resolution. Repeated nested validation, site-grouped folds and first-slide sensitivity quantified uncertainty, centre dependence and slide-aggregation dependence.</w:t>
      </w:r>
    </w:p>
    <w:p>
      <w:r>
        <w:rPr>
          <w:b/>
        </w:rPr>
        <w:t xml:space="preserve">Conclusions. </w:t>
      </w:r>
      <w:r>
        <w:t>Pretrained TITAN representations support a cancer-specific TCGA discovery atlas spanning immune and molecular phenotypes. The models are internally validated research candidates, do not replace molecular assays, and require independent external validation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 The scientific question is endpoint discovery, not a comparison of PLS against alternative machine-learning algorithms.</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exclusively, with 10 oversampling vectors, two power iterations and explicit seeds; IRLBA was not used.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atlas.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discovery candidates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model registry and inference example are organized in the companion repository [30]. Local checkpoint and fitted-model objects are generated by the scripts but are not claimed as publicly redistributed because TITAN-derived artifacts remain subject to upstream terms.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atlas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atlas.</w:t>
      </w:r>
    </w:p>
    <w:p>
      <w:pPr>
        <w:pStyle w:val="Heading2"/>
      </w:pPr>
      <w:r>
        <w:t>Binary molecular phenotypes</w:t>
      </w:r>
    </w:p>
    <w:p>
      <w:r>
        <w:t>The binary atlas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repeated nested-cross-validation predictions. Panels show the screen-positive continuous and binary models with the largest corresponding mean repeated-CV performance and are illustrative rather than confirmatory. The continuous panel plots each patient's observed value against the mean of five held-out predictions. Because independently fitted LDA scores need not share a raw scale, the binary panel standardizes held-out scores within each repeat before averaging them by patient and displaying them by observed class; repeat-specific AUROCs use untransformed scores. Lines and summaries describe internal TCGA validation, not external calibration.</w:t>
      </w:r>
    </w:p>
    <w:p>
      <w:pPr>
        <w:pStyle w:val="Caption"/>
      </w:pPr>
      <w:r>
        <w:t>Table 2.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Cancer–endpoint</w:t>
            </w:r>
          </w:p>
        </w:tc>
        <w:tc>
          <w:tcPr>
            <w:tcW w:type="dxa" w:w="1949"/>
          </w:tcPr>
          <w:p>
            <w:r>
              <w:rPr>
                <w:b/>
                <w:sz w:val="17"/>
              </w:rPr>
              <w:t>Type</w:t>
            </w:r>
          </w:p>
        </w:tc>
        <w:tc>
          <w:tcPr>
            <w:tcW w:type="dxa" w:w="1949"/>
          </w:tcPr>
          <w:p>
            <w:r>
              <w:rPr>
                <w:b/>
                <w:sz w:val="17"/>
              </w:rPr>
              <w:t>Metric 1</w:t>
            </w:r>
          </w:p>
        </w:tc>
        <w:tc>
          <w:tcPr>
            <w:tcW w:type="dxa" w:w="1949"/>
          </w:tcPr>
          <w:p>
            <w:r>
              <w:rPr>
                <w:b/>
                <w:sz w:val="17"/>
              </w:rPr>
              <w:t>Metric 2</w:t>
            </w:r>
          </w:p>
        </w:tc>
        <w:tc>
          <w:tcPr>
            <w:tcW w:type="dxa" w:w="1949"/>
          </w:tcPr>
          <w:p>
            <w:r>
              <w:rPr>
                <w:b/>
                <w:sz w:val="17"/>
              </w:rPr>
              <w:t>Metric 3</w:t>
            </w:r>
          </w:p>
        </w:tc>
      </w:tr>
      <w:tr>
        <w:trPr>
          <w:cantSplit/>
        </w:trPr>
        <w:tc>
          <w:tcPr>
            <w:tcW w:type="dxa" w:w="1949"/>
            <w:vAlign w:val="center"/>
          </w:tcPr>
          <w:p>
            <w:r>
              <w:rPr>
                <w:sz w:val="16"/>
              </w:rPr>
              <w:t>BRCA–Wound Healing</w:t>
            </w:r>
          </w:p>
        </w:tc>
        <w:tc>
          <w:tcPr>
            <w:tcW w:type="dxa" w:w="1949"/>
            <w:vAlign w:val="center"/>
          </w:tcPr>
          <w:p>
            <w:r>
              <w:rPr>
                <w:sz w:val="16"/>
              </w:rPr>
              <w:t>continuous</w:t>
            </w:r>
          </w:p>
        </w:tc>
        <w:tc>
          <w:tcPr>
            <w:tcW w:type="dxa" w:w="1949"/>
            <w:vAlign w:val="center"/>
          </w:tcPr>
          <w:p>
            <w:r>
              <w:rPr>
                <w:sz w:val="16"/>
              </w:rPr>
              <w:t>-0.169 (-0.196–-0.148)</w:t>
            </w:r>
          </w:p>
        </w:tc>
        <w:tc>
          <w:tcPr>
            <w:tcW w:type="dxa" w:w="1949"/>
            <w:vAlign w:val="center"/>
          </w:tcPr>
          <w:p>
            <w:r>
              <w:rPr>
                <w:sz w:val="16"/>
              </w:rPr>
              <w:t>0.174 (0.168–0.181)</w:t>
            </w:r>
          </w:p>
        </w:tc>
        <w:tc>
          <w:tcPr>
            <w:tcW w:type="dxa" w:w="1949"/>
            <w:vAlign w:val="center"/>
          </w:tcPr>
          <w:p>
            <w:r>
              <w:rPr>
                <w:sz w:val="16"/>
              </w:rPr>
              <w:t>-0.002 (-0.030–0.026)</w:t>
            </w:r>
          </w:p>
        </w:tc>
      </w:tr>
      <w:tr>
        <w:trPr>
          <w:cantSplit/>
        </w:trPr>
        <w:tc>
          <w:tcPr>
            <w:tcW w:type="dxa" w:w="1949"/>
            <w:vAlign w:val="center"/>
          </w:tcPr>
          <w:p>
            <w:r>
              <w:rPr>
                <w:sz w:val="16"/>
              </w:rPr>
              <w:t>KIRP–Proliferation</w:t>
            </w:r>
          </w:p>
        </w:tc>
        <w:tc>
          <w:tcPr>
            <w:tcW w:type="dxa" w:w="1949"/>
            <w:vAlign w:val="center"/>
          </w:tcPr>
          <w:p>
            <w:r>
              <w:rPr>
                <w:sz w:val="16"/>
              </w:rPr>
              <w:t>continuous</w:t>
            </w:r>
          </w:p>
        </w:tc>
        <w:tc>
          <w:tcPr>
            <w:tcW w:type="dxa" w:w="1949"/>
            <w:vAlign w:val="center"/>
          </w:tcPr>
          <w:p>
            <w:r>
              <w:rPr>
                <w:sz w:val="16"/>
              </w:rPr>
              <w:t>-0.205 (-0.269–-0.157)</w:t>
            </w:r>
          </w:p>
        </w:tc>
        <w:tc>
          <w:tcPr>
            <w:tcW w:type="dxa" w:w="1949"/>
            <w:vAlign w:val="center"/>
          </w:tcPr>
          <w:p>
            <w:r>
              <w:rPr>
                <w:sz w:val="16"/>
              </w:rPr>
              <w:t>0.620 (0.560–0.673)</w:t>
            </w:r>
          </w:p>
        </w:tc>
        <w:tc>
          <w:tcPr>
            <w:tcW w:type="dxa" w:w="1949"/>
            <w:vAlign w:val="center"/>
          </w:tcPr>
          <w:p>
            <w:r>
              <w:rPr>
                <w:sz w:val="16"/>
              </w:rPr>
              <w:t>0.010 (-0.040–0.066)</w:t>
            </w:r>
          </w:p>
        </w:tc>
      </w:tr>
      <w:tr>
        <w:trPr>
          <w:cantSplit/>
        </w:trPr>
        <w:tc>
          <w:tcPr>
            <w:tcW w:type="dxa" w:w="1949"/>
            <w:vAlign w:val="center"/>
          </w:tcPr>
          <w:p>
            <w:r>
              <w:rPr>
                <w:sz w:val="16"/>
              </w:rPr>
              <w:t>BRCA–Proliferation</w:t>
            </w:r>
          </w:p>
        </w:tc>
        <w:tc>
          <w:tcPr>
            <w:tcW w:type="dxa" w:w="1949"/>
            <w:vAlign w:val="center"/>
          </w:tcPr>
          <w:p>
            <w:r>
              <w:rPr>
                <w:sz w:val="16"/>
              </w:rPr>
              <w:t>continuous</w:t>
            </w:r>
          </w:p>
        </w:tc>
        <w:tc>
          <w:tcPr>
            <w:tcW w:type="dxa" w:w="1949"/>
            <w:vAlign w:val="center"/>
          </w:tcPr>
          <w:p>
            <w:r>
              <w:rPr>
                <w:sz w:val="16"/>
              </w:rPr>
              <w:t>-0.239 (-0.279–-0.206)</w:t>
            </w:r>
          </w:p>
        </w:tc>
        <w:tc>
          <w:tcPr>
            <w:tcW w:type="dxa" w:w="1949"/>
            <w:vAlign w:val="center"/>
          </w:tcPr>
          <w:p>
            <w:r>
              <w:rPr>
                <w:sz w:val="16"/>
              </w:rPr>
              <w:t>0.704 (0.679–0.729)</w:t>
            </w:r>
          </w:p>
        </w:tc>
        <w:tc>
          <w:tcPr>
            <w:tcW w:type="dxa" w:w="1949"/>
            <w:vAlign w:val="center"/>
          </w:tcPr>
          <w:p>
            <w:r>
              <w:rPr>
                <w:sz w:val="16"/>
              </w:rPr>
              <w:t>0.012 (-0.014–0.040)</w:t>
            </w:r>
          </w:p>
        </w:tc>
      </w:tr>
      <w:tr>
        <w:trPr>
          <w:cantSplit/>
        </w:trPr>
        <w:tc>
          <w:tcPr>
            <w:tcW w:type="dxa" w:w="1949"/>
            <w:vAlign w:val="center"/>
          </w:tcPr>
          <w:p>
            <w:r>
              <w:rPr>
                <w:sz w:val="16"/>
              </w:rPr>
              <w:t>TGCT–Wound Healing</w:t>
            </w:r>
          </w:p>
        </w:tc>
        <w:tc>
          <w:tcPr>
            <w:tcW w:type="dxa" w:w="1949"/>
            <w:vAlign w:val="center"/>
          </w:tcPr>
          <w:p>
            <w:r>
              <w:rPr>
                <w:sz w:val="16"/>
              </w:rPr>
              <w:t>continuous</w:t>
            </w:r>
          </w:p>
        </w:tc>
        <w:tc>
          <w:tcPr>
            <w:tcW w:type="dxa" w:w="1949"/>
            <w:vAlign w:val="center"/>
          </w:tcPr>
          <w:p>
            <w:r>
              <w:rPr>
                <w:sz w:val="16"/>
              </w:rPr>
              <w:t>-0.368 (-0.553–-0.247)</w:t>
            </w:r>
          </w:p>
        </w:tc>
        <w:tc>
          <w:tcPr>
            <w:tcW w:type="dxa" w:w="1949"/>
            <w:vAlign w:val="center"/>
          </w:tcPr>
          <w:p>
            <w:r>
              <w:rPr>
                <w:sz w:val="16"/>
              </w:rPr>
              <w:t>0.227 (0.208–0.244)</w:t>
            </w:r>
          </w:p>
        </w:tc>
        <w:tc>
          <w:tcPr>
            <w:tcW w:type="dxa" w:w="1949"/>
            <w:vAlign w:val="center"/>
          </w:tcPr>
          <w:p>
            <w:r>
              <w:rPr>
                <w:sz w:val="16"/>
              </w:rPr>
              <w:t>0.008 (-0.062–0.080)</w:t>
            </w:r>
          </w:p>
        </w:tc>
      </w:tr>
      <w:tr>
        <w:trPr>
          <w:cantSplit/>
        </w:trPr>
        <w:tc>
          <w:tcPr>
            <w:tcW w:type="dxa" w:w="1949"/>
            <w:vAlign w:val="center"/>
          </w:tcPr>
          <w:p>
            <w:r>
              <w:rPr>
                <w:sz w:val="16"/>
              </w:rPr>
              <w:t>LGG–TP53</w:t>
            </w:r>
          </w:p>
        </w:tc>
        <w:tc>
          <w:tcPr>
            <w:tcW w:type="dxa" w:w="1949"/>
            <w:vAlign w:val="center"/>
          </w:tcPr>
          <w:p>
            <w:r>
              <w:rPr>
                <w:sz w:val="16"/>
              </w:rPr>
              <w:t>binary</w:t>
            </w:r>
          </w:p>
        </w:tc>
        <w:tc>
          <w:tcPr>
            <w:tcW w:type="dxa" w:w="1949"/>
            <w:vAlign w:val="center"/>
          </w:tcPr>
          <w:p>
            <w:r>
              <w:rPr>
                <w:sz w:val="16"/>
              </w:rPr>
              <w:t>Se 0.839 (0.795–0.877); Sp 0.885 (0.848–0.920)</w:t>
            </w:r>
          </w:p>
        </w:tc>
        <w:tc>
          <w:tcPr>
            <w:tcW w:type="dxa" w:w="1949"/>
            <w:vAlign w:val="center"/>
          </w:tcPr>
          <w:p>
            <w:r>
              <w:rPr>
                <w:sz w:val="16"/>
              </w:rPr>
              <w:t>BA 0.862 (0.833–0.888)</w:t>
            </w:r>
          </w:p>
        </w:tc>
        <w:tc>
          <w:tcPr>
            <w:tcW w:type="dxa" w:w="1949"/>
            <w:vAlign w:val="center"/>
          </w:tcPr>
          <w:p>
            <w:r>
              <w:rPr>
                <w:sz w:val="16"/>
              </w:rPr>
              <w:t>AUROC 0.908 (0.880–0.932)</w:t>
            </w:r>
          </w:p>
        </w:tc>
      </w:tr>
      <w:tr>
        <w:trPr>
          <w:cantSplit/>
        </w:trPr>
        <w:tc>
          <w:tcPr>
            <w:tcW w:type="dxa" w:w="1949"/>
            <w:vAlign w:val="center"/>
          </w:tcPr>
          <w:p>
            <w:r>
              <w:rPr>
                <w:sz w:val="16"/>
              </w:rPr>
              <w:t>THYM–GTF2I</w:t>
            </w:r>
          </w:p>
        </w:tc>
        <w:tc>
          <w:tcPr>
            <w:tcW w:type="dxa" w:w="1949"/>
            <w:vAlign w:val="center"/>
          </w:tcPr>
          <w:p>
            <w:r>
              <w:rPr>
                <w:sz w:val="16"/>
              </w:rPr>
              <w:t>binary</w:t>
            </w:r>
          </w:p>
        </w:tc>
        <w:tc>
          <w:tcPr>
            <w:tcW w:type="dxa" w:w="1949"/>
            <w:vAlign w:val="center"/>
          </w:tcPr>
          <w:p>
            <w:r>
              <w:rPr>
                <w:sz w:val="16"/>
              </w:rPr>
              <w:t>Se 0.878 (0.804–0.940); Sp 0.839 (0.748–0.916)</w:t>
            </w:r>
          </w:p>
        </w:tc>
        <w:tc>
          <w:tcPr>
            <w:tcW w:type="dxa" w:w="1949"/>
            <w:vAlign w:val="center"/>
          </w:tcPr>
          <w:p>
            <w:r>
              <w:rPr>
                <w:sz w:val="16"/>
              </w:rPr>
              <w:t>BA 0.859 (0.803–0.905)</w:t>
            </w:r>
          </w:p>
        </w:tc>
        <w:tc>
          <w:tcPr>
            <w:tcW w:type="dxa" w:w="1949"/>
            <w:vAlign w:val="center"/>
          </w:tcPr>
          <w:p>
            <w:r>
              <w:rPr>
                <w:sz w:val="16"/>
              </w:rPr>
              <w:t>AUROC 0.907 (0.852–0.955)</w:t>
            </w:r>
          </w:p>
        </w:tc>
      </w:tr>
      <w:tr>
        <w:trPr>
          <w:cantSplit/>
        </w:trPr>
        <w:tc>
          <w:tcPr>
            <w:tcW w:type="dxa" w:w="1949"/>
            <w:vAlign w:val="center"/>
          </w:tcPr>
          <w:p>
            <w:r>
              <w:rPr>
                <w:sz w:val="16"/>
              </w:rPr>
              <w:t>READ–TP53</w:t>
            </w:r>
          </w:p>
        </w:tc>
        <w:tc>
          <w:tcPr>
            <w:tcW w:type="dxa" w:w="1949"/>
            <w:vAlign w:val="center"/>
          </w:tcPr>
          <w:p>
            <w:r>
              <w:rPr>
                <w:sz w:val="16"/>
              </w:rPr>
              <w:t>binary</w:t>
            </w:r>
          </w:p>
        </w:tc>
        <w:tc>
          <w:tcPr>
            <w:tcW w:type="dxa" w:w="1949"/>
            <w:vAlign w:val="center"/>
          </w:tcPr>
          <w:p>
            <w:r>
              <w:rPr>
                <w:sz w:val="16"/>
              </w:rPr>
              <w:t>Se 0.912 (0.855–0.966); Sp 0.803 (0.704–0.890)</w:t>
            </w:r>
          </w:p>
        </w:tc>
        <w:tc>
          <w:tcPr>
            <w:tcW w:type="dxa" w:w="1949"/>
            <w:vAlign w:val="center"/>
          </w:tcPr>
          <w:p>
            <w:r>
              <w:rPr>
                <w:sz w:val="16"/>
              </w:rPr>
              <w:t>BA 0.858 (0.801–0.910)</w:t>
            </w:r>
          </w:p>
        </w:tc>
        <w:tc>
          <w:tcPr>
            <w:tcW w:type="dxa" w:w="1949"/>
            <w:vAlign w:val="center"/>
          </w:tcPr>
          <w:p>
            <w:r>
              <w:rPr>
                <w:sz w:val="16"/>
              </w:rPr>
              <w:t>AUROC 0.912 (0.860–0.956)</w:t>
            </w:r>
          </w:p>
        </w:tc>
      </w:tr>
      <w:tr>
        <w:trPr>
          <w:cantSplit/>
        </w:trPr>
        <w:tc>
          <w:tcPr>
            <w:tcW w:type="dxa" w:w="1949"/>
            <w:vAlign w:val="center"/>
          </w:tcPr>
          <w:p>
            <w:r>
              <w:rPr>
                <w:sz w:val="16"/>
              </w:rPr>
              <w:t>THCA–BRAF</w:t>
            </w:r>
          </w:p>
        </w:tc>
        <w:tc>
          <w:tcPr>
            <w:tcW w:type="dxa" w:w="1949"/>
            <w:vAlign w:val="center"/>
          </w:tcPr>
          <w:p>
            <w:r>
              <w:rPr>
                <w:sz w:val="16"/>
              </w:rPr>
              <w:t>binary</w:t>
            </w:r>
          </w:p>
        </w:tc>
        <w:tc>
          <w:tcPr>
            <w:tcW w:type="dxa" w:w="1949"/>
            <w:vAlign w:val="center"/>
          </w:tcPr>
          <w:p>
            <w:r>
              <w:rPr>
                <w:sz w:val="16"/>
              </w:rPr>
              <w:t>Se 0.926 (0.897–0.952); Sp 0.747 (0.688–0.801)</w:t>
            </w:r>
          </w:p>
        </w:tc>
        <w:tc>
          <w:tcPr>
            <w:tcW w:type="dxa" w:w="1949"/>
            <w:vAlign w:val="center"/>
          </w:tcPr>
          <w:p>
            <w:r>
              <w:rPr>
                <w:sz w:val="16"/>
              </w:rPr>
              <w:t>BA 0.837 (0.805–0.866)</w:t>
            </w:r>
          </w:p>
        </w:tc>
        <w:tc>
          <w:tcPr>
            <w:tcW w:type="dxa" w:w="1949"/>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Liver and pancreatic cancer examples</w:t>
      </w:r>
    </w:p>
    <w:p>
      <w:r>
        <w:t>LIHC yielded 10 continuous candidates: LIHC–Proliferation (0.434); LIHC–Leukocyte Fraction (0.422); LIHC–Wound Healing (0.385); LIHC–Macrophage Regulation (0.378); LIHC–Lymphocyte Infiltration Signature Score (0.349); 8 binary candidates: LIHC–CTNNB1 [mutation] (0.668); LIHC–Cell Cycle [pathway] (0.644); LIHC–WNT [pathway] (0.634); LIHC–TP53 [mutation] (0.633); LIHC–BAP1 [mutation] (0.633); LIHC–TP53 [pathway] (0.623). PAAD yielded no continuous pair was screen-positive; 1 binary candidates: PAAD–TP53 [mutation] (0.619). These are discovery results; the global-correction status of every candidate is reported in the machine-readable atlas.</w:t>
      </w:r>
    </w:p>
    <w:p>
      <w:pPr>
        <w:pStyle w:val="Heading2"/>
      </w:pPr>
      <w:r>
        <w:t>Site and multiple-slide sensitivity</w:t>
      </w:r>
    </w:p>
    <w:p>
      <w:r>
        <w:t>Site-grouped validation was feasible for 323 screen-positive models. The median grouped-minus-random performance change was -0.026. The first-slide-minus-mean-pool median change across screen-positive models was -0.001.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1"/>
      </w:pPr>
      <w:r>
        <w:t>Discussion</w:t>
      </w:r>
    </w:p>
    <w:p>
      <w:r>
        <w:t>This study answers a target-by-target, cancer-specific question rather than asking whether molecular subtype and mutation status are associated. Fixed pretrained TITAN representations contain useful signal for selected immune programmes, mutations and higher-level genomic phenotypes, but most eligible pairs do not satisfy both multiplicity and effect thresholds. That heterogeneity—and transparent negative reporting—is the primary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pPr>
        <w:pStyle w:val="Heading2"/>
      </w:pPr>
      <w:r>
        <w:t>Previously reported and atlas-nominated predictors</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mutation results divide into two evidence groups. 24 of the 41 within-cancer screen-positive cancer–gene pairs were exact pairs in the prespecified histology literature crosswalk and were recovered here: BLCA–FGFR3: prior AUROC 0.780, current balanced accuracy 0.729 (q=0.010); BRCA–CDH1: prior AUROC 0.810, current balanced accuracy 0.731 (q=0.007); BRCA–TP53: prior AUROC 0.768 [0.735–0.781], current balanced accuracy 0.744 (q=0.007); BRCA–TP53: prior AUROC &gt;0.611, current balanced accuracy 0.744 (q=0.007); LGG–IDH1: prior AUROC 0.764, current balanced accuracy 0.786 (q=0.002); LGG–TP53: prior AUROC 0.787, current balanced accuracy 0.846 (q=0.002); THCA–BRAF: prior AUROC 0.860, current balanced accuracy 0.830 (q=0.001); UCEC–PTEN: prior reported histopathological association, current balanced accuracy 0.726 (q=0.016); UCEC–PTEN: prior AUROC 0.773, current balanced accuracy 0.726 (q=0.016); UCEC–TP53: prior AUROC 0.764, current balanced accuracy 0.764 (q=0.016); BRCA–PIK3CA: prior AUROC 0.625 [0.605–0.659], current balanced accuracy 0.631 (q=0.007); BRCA–PIK3CA: prior AUROC &gt;0.611, current balanced accuracy 0.631 (q=0.007); CESC–TP53: prior AUROC 0.673 [0.628–0.749], current balanced accuracy 0.604 (q=0.024); HNSC–NSD1: prior AUROC 0.668 [0.597–0.737], current balanced accuracy 0.630 (q=0.009); HNSC–TP53: prior AUROC 0.699 [0.687–0.732], current balanced accuracy 0.636 (q=0.009); LIHC–CTNNB1: prior AUROC 0.682 [0.635–0.688], current balanced accuracy 0.668 (q=0.002); LIHC–TP53: prior reported histopathological association, current balanced accuracy 0.633 (q=0.002); LIHC–TP53: prior AUROC 0.606 [0.572–0.656], current balanced accuracy 0.633 (q=0.002); LIHC–TP53: prior AUROC 0.597, current balanced accuracy 0.633 (q=0.002); LUAD–EGFR: prior AUROC 0.733–0.856 across six reported genes, current balanced accuracy 0.617 (q=0.007); LUAD–EGFR: prior AUROC 0.624 [0.598–0.670], current balanced accuracy 0.617 (q=0.007); LUAD–TP53: prior AUROC 0.733–0.856 across six reported genes, current balanced accuracy 0.699 (q=0.007); LUAD–TP53: prior AUROC 0.720 [0.700–0.746], current balanced accuracy 0.699 (q=0.007); STAD–PIK3CA: prior AUROC 0.636 [0.581–0.662], current balanced accuracy 0.637 (q=0.009). Prior studies generally reported AUROC, whereas the present primary metric is balanced accuracy; the side-by-side values describe consistency of discrimination but are not numerical estimates of improvement or inferiority.</w:t>
      </w:r>
    </w:p>
    <w:p>
      <w:r>
        <w:t>Several published pairs retained moderate discrimination but did not satisfy the current within-cancer mutation-family FDR criterion: BRCA–TP53: prior AUROC 0.768 [0.735–0.781], current balanced accuracy 0.744 (q=0.007); UCEC–TP53: prior AUROC 0.764, current balanced accuracy 0.764 (q=0.016); LIHC–CTNNB1: prior AUROC 0.682 [0.635–0.688], current balanced accuracy 0.668 (q=0.002); PAAD–KRAS: prior AUROC 0.670 [0.570–0.712], current balanced accuracy 0.588 (q=1.000). Other reported pairs were weaker or ineligible under the present primary-tumour and minimum-class-count rules. Differences can arise from cohort composition, primary-versus-metastatic sampling, slide preparation, mutation definition, model class and validation design. Supplementary Table S9 provides the report-level comparison and the complete machine-readable crosswalk preserves original evidence notes and URLs.</w:t>
      </w:r>
    </w:p>
    <w:p>
      <w:r>
        <w:t>The remaining 24 screen-positive mutation pairs were not present in the prespecified exact-pair crosswalk and are therefore atlas-nominated candidates rather than replications. Leading examples were THYM–GTF2I (balanced accuracy 0.883, q=0.001); READ–APC (balanced accuracy 0.862, q=0.002); READ–TP53 (balanced accuracy 0.861, q=0.002); COAD–APC (balanced accuracy 0.793, q=0.003); COAD–TP53 (balanced accuracy 0.779, q=0.003); LGG–CIC (balanced accuracy 0.779, q=0.002); LGG–ATRX (balanced accuracy 0.761, q=0.002); THCA–NRAS (balanced accuracy 0.703, q=0.001). Absence from this targeted crosswalk is not a claim that no publication has ever evaluated the pair; a systematic endpoint-level review would be required to establish bibliographic novelty. Supplementary Table S10 classifies every screen-positive mutation pair explicitly.</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pPr>
        <w:pStyle w:val="Heading2"/>
      </w:pPr>
      <w:r>
        <w:t>Practical contribution of the PLS framework</w:t>
      </w:r>
    </w:p>
    <w:p>
      <w:r>
        <w:t>The contribution of TITAN plus PLS is a uniform, auditable screen over many prespecified outcomes using one fixed representation, with one-at-a-time PLS–LDA retained for the prespecified individual binary endpoints and PLS2 examined secondarily for correlated inflammatory panels. This study was not designed to compare PLS with elastic-net, convolutional or other machine-learning approaches, and no claim of algorithmic superiority is made.</w:t>
      </w:r>
    </w:p>
    <w:p>
      <w:r>
        <w:t>A further practical feature is data-minimising model portability. Preprocessing values, latent weights and coefficients are sufficient for continuous prediction, with compact LDA parameters added for binary classification. External researchers can therefore apply a fitted model to correctly ordered TITAN features without receiving the original patient embeddings or outcomes. This reduces the patient-level data that must be distributed, although it does not itself confer privacy, overcome TITAN licensing restrictions or establish transportability.</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atlas.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rSVD is a seeded stochastic approximation. The use of 10 oversampling vectors, two power iterations, explicit seeds and five repeated nested validations makes the chosen computational path auditable and exposes seed-plus-partition variability, but it does not establish equivalence to another decomposition method. Consistent with the prespecified scope, no IRLBA comparison was performed.</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Mean-pooled TITAN representations enable a cancer-specific TCGA discovery atlas of selected immune, mutation, pathway, MSI, aneuploidy and fusion phenotypes. Compact fitted PLS and PLS–LDA models can be applied without distributing patient-level training data, providing a practical route to external research validation when licensing permits. The resource prioritises hypotheses and exposes screen-negative targets, but remains internally validated and non-clinical.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public TITAN TCGA feature artifact (TCGA_TITAN_features.pkl) through its supplied 768-feature CSV export. TCGA molecular data and the cited public supplementary records remain available from their original repositories. Exact source locations, access information and SHA-256 checksums are recorded in the companion repository [30]. Controlled-access whole-slide images are not redistributed. Model-object redistribution is subject to TITAN's upstream terms.</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w:t>
      </w:r>
    </w:p>
    <w:p>
      <w:r>
        <w:t>Additional file 1 (.docx): Supplementary material. Contains Supplementary Methods, Tables S1–S12, Figures S1–S2 and an inventory of the companion machine-readable result files.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prediction atlas repository. GitHub. https://github.com/tkcaccia/titan-prediction. Accessed 15 Aug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TCGA TITAN molecular and immune discovery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