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w:t>
      </w:r>
    </w:p>
    <w:p>
      <w:r>
        <w:t>Manuscript: A patient-level TCGA discovery atlas of molecular and immune predictability from pretrained TITAN whole-slide representations across 32 cancers</w:t>
      </w:r>
    </w:p>
    <w:p>
      <w:r>
        <w:t>We thank the reviewer for identifying validation and reproducibility as the principal issues. The analysis has been rebuilt from the original files with patient-first slide aggregation and primary-tumour molecular matching.</w:t>
      </w:r>
    </w:p>
    <w:p>
      <w:pPr>
        <w:pStyle w:val="Heading1"/>
      </w:pPr>
      <w:r>
        <w:t>1. Across-cancer multiplicity and permutation resolution</w:t>
      </w:r>
    </w:p>
    <w:p>
      <w:r>
        <w:t>Addressed. Every effect-eligible endpoint is refined toward 999 patient-label permutations with a conservative stopping boundary of 49 exceedances, minimum completed-test resolution 0.001, and exact attempted counts retained. Both the prespecified within-cancer family q-value and the stricter across-cancer family q-value are reported. The abstract, figures and Discussion state that 219 continuous and 39 cancer–mutation pairs passed the stricter correction; all remaining within-cancer results are framed as cancer-specific discovery candidates. We now also state explicitly that the 0.001 resolution limits attainable q-values in large global families, so non-passage is not evidence of absence.</w:t>
      </w:r>
    </w:p>
    <w:p>
      <w:pPr>
        <w:pStyle w:val="Heading1"/>
      </w:pPr>
      <w:r>
        <w:t>2. External validation is the principal unresolved limitation</w:t>
      </w:r>
    </w:p>
    <w:p>
      <w:r>
        <w:t>We agree. No independent cohort containing compatible precomputed TITAN embeddings together with the mutation, immune, pathway, MSI, aneuploidy and fusion labels was identified. We therefore do not describe the models as externally validated. The title, abstract, intended-use statement, Discussion and Conclusions explicitly frame the work as an internally validated hypothesis-generation resource. We added site-grouped validation, saved research models and executable inference code to facilitate future external testing, but state that these do not substitute for external validation.</w:t>
      </w:r>
    </w:p>
    <w:p>
      <w:pPr>
        <w:pStyle w:val="Heading1"/>
      </w:pPr>
      <w:r>
        <w:t>3. Site robustness is incomplete for the inflammatory atlas</w:t>
      </w:r>
    </w:p>
    <w:p>
      <w:r>
        <w:t>Addressed. Tissue-source-site-grouped validation is now attempted for every within-cancer screen-positive continuous and binary endpoint, not only mutations. It was feasible for 323 models. Figure 6 and the complete machine-readable tables report target-level attenuation; the manuscript does not claim that repeated random folds exclude site confounding.</w:t>
      </w:r>
    </w:p>
    <w:p>
      <w:pPr>
        <w:pStyle w:val="Heading1"/>
      </w:pPr>
      <w:r>
        <w:t>4. Reproducibility materials must be deposited before submission</w:t>
      </w:r>
    </w:p>
    <w:p>
      <w:r>
        <w:t>Addressed in a public repository (https://github.com/tkcaccia/titan-prediction) containing the exact analysis plan, source URLs/checksums, software commit, eligibility tables, code for every analysis and figure, out-of-fold prediction outputs, model registry, inference example and literature crosswalk. An archived versioned release with a persistent DOI remains to be created before submission.</w:t>
      </w:r>
    </w:p>
    <w:p>
      <w:pPr>
        <w:pStyle w:val="Heading1"/>
      </w:pPr>
      <w:r>
        <w:t>5. Distinguish cancer genes from functional driver alleles</w:t>
      </w:r>
    </w:p>
    <w:p>
      <w:r>
        <w:t>Addressed throughout. Mutation targets are described as qualifying protein-altering PASS mutations in tissue-specific consensus cancer genes; the manuscript explicitly states that not every allele is functionally validated.</w:t>
      </w:r>
    </w:p>
    <w:p>
      <w:pPr>
        <w:pStyle w:val="Heading1"/>
      </w:pPr>
      <w:r>
        <w:t>6. Preserve effect-size-first interpretation of PLS2</w:t>
      </w:r>
    </w:p>
    <w:p>
      <w:r>
        <w:t>Addressed. The PLS1–PLS2 comparison is now confined to the Supplementary Methods, results and Figures S1–S2. It remains restricted to coherent inflammatory blocks, uses identical patients and folds, and is interpreted by cancer-level ΔQ² with bootstrap intervals rather than win counts. Binary molecular endpoints retain one-at-a-time PLS–LDA as the primary analysis.</w:t>
      </w:r>
    </w:p>
    <w:p>
      <w:pPr>
        <w:pStyle w:val="Heading1"/>
      </w:pPr>
      <w:r>
        <w:t>7. Complete submission-specific fields</w:t>
      </w:r>
    </w:p>
    <w:p>
      <w:r>
        <w:t>Partly outstanding. The supplied author list, affiliations, available email addresses, equal-contribution statement and corresponding-author details have been entered, including Aamilah Ismail's New York University Abu Dhabi affiliation and email from the original supplied manuscript and Ekene Emmanuel Nweke's University of the Witwatersrand affiliation. An email address for Ekene Emmanuel Nweke was not supplied. Funding, competing interests and contribution statements still require author confirmation and remain visibly marked where applicable. No scientific values are placeholder text.</w:t>
      </w:r>
    </w:p>
    <w:p>
      <w:pPr>
        <w:pStyle w:val="Heading1"/>
      </w:pPr>
      <w:r>
        <w:t>8. Presentation and algorithm-comparison claims</w:t>
      </w:r>
    </w:p>
    <w:p>
      <w:r>
        <w:t>Addressed. High-resolution figures and machine-readable tables accompany the Word documents. Runtime and speed claims were removed. The manuscript now states explicitly that the study is an endpoint-discovery atlas and was not designed to compare PLS with elastic-net, convolutional or other machine-learning methods.</w:t>
      </w:r>
    </w:p>
    <w:p>
      <w:pPr>
        <w:pStyle w:val="Heading1"/>
      </w:pPr>
      <w:r>
        <w:t>Additional change: distinguish replication from atlas-nominated predictors</w:t>
      </w:r>
    </w:p>
    <w:p>
      <w:r>
        <w:t>The Discussion identifies exact published cancer–gene pairs recovered by the corrected screen, gives prior AUROC and current balanced accuracy side by side without treating the metrics as directly comparable, discusses selected published pairs that were screen-negative, and labels remaining mutation candidates as atlas-nominated rather than proven novel. The literature audit now also covers MSI, continuous biomarkers, expression, gene fusion, HRD and tumour-microenvironment prediction, including external-validation examples.</w:t>
      </w:r>
    </w:p>
    <w:p>
      <w:pPr>
        <w:pStyle w:val="Heading1"/>
      </w:pPr>
      <w:r>
        <w:t>Additional change: clarify model portability without training-data release</w:t>
      </w:r>
    </w:p>
    <w:p>
      <w:r>
        <w:t>The Background, Methods, Discussion and Conclusions explain that fitted PLS and PLS–LDA models contain compact learned transformations and coefficients and can be applied without distributing patient-level training embeddings or outcomes. No comparison with another algorithm is needed for this data-minimisation statement; licensing, privacy, governance and external-validation limitations are retained.</w:t>
      </w:r>
    </w:p>
    <w:p>
      <w:pPr>
        <w:pStyle w:val="Heading1"/>
      </w:pPr>
      <w:r>
        <w:t>Additional change: multiple slides and molecular specimen matching</w:t>
      </w:r>
    </w:p>
    <w:p>
      <w:r>
        <w:t>The primary predictor is now the feature-wise mean of every eligible diagnostic slide per patient; 843 multi-slide patients are retained in a single validation fold. We also audited every molecular source and excluded non-primary TCGA sample types before aggregation. A matched first-slide sensitivity quantifies dependence on the pooling rule.</w:t>
      </w:r>
    </w:p>
    <w:p>
      <w:pPr>
        <w:pStyle w:val="Heading1"/>
      </w:pPr>
      <w:r>
        <w:t>Additional change: molecular missingness, wild-type status and aliquots</w:t>
      </w:r>
    </w:p>
    <w:p>
      <w:r>
        <w:t>Mutation wild type is now assigned only among 8,476 patients matched to an MC3 primary-tumour profile; 919 embedding patients without a profile are excluded. The nine accepted protein-altering MC3 variant classes are explicit and a cancer-level variant-class audit is released. Fusion negatives are defined only within the study sample list. Source-specific missingness, multiple aliquots and aggregation rules are written to audit tables and reported in Methods and Supplementary Material.</w:t>
      </w:r>
    </w:p>
    <w:p>
      <w:pPr>
        <w:pStyle w:val="Heading1"/>
      </w:pPr>
      <w:r>
        <w:t>Additional change: TITAN pretraining and TCGA relationship</w:t>
      </w:r>
    </w:p>
    <w:p>
      <w:r>
        <w:t>The manuscript now documents that the published Mass-340K pretraining corpus excluded TCGA and PANDA, while TCGA was used for downstream evaluation in the original TITAN study. We therefore describe this work as a secondary TCGA discovery atlas, neither a pretraining-overlap analysis nor independent external validation.</w:t>
      </w:r>
    </w:p>
    <w:p>
      <w:pPr>
        <w:pStyle w:val="Heading1"/>
      </w:pPr>
      <w:r>
        <w:t>Additional change: complete performance and prediction examples</w:t>
      </w:r>
    </w:p>
    <w:p>
      <w:r>
        <w:t>Highlighted binary models now report sensitivity, specificity, balanced accuracy and AUROC; highlighted continuous models report Q², RMSE and Spearman correlation, with patient-cluster bootstrap intervals. Deployment metadata include feature checksums and ranges, class coding and priors, decision rule, calibration status, external-validation status and intended use. Figure 4 compares held-out predictions directly with observed data.</w:t>
      </w:r>
    </w:p>
    <w:p>
      <w:pPr>
        <w:pStyle w:val="Heading1"/>
      </w:pPr>
      <w:r>
        <w:t>Additional change: rSVD-only PLS decomposition</w:t>
      </w:r>
    </w:p>
    <w:p>
      <w:r>
        <w:t>All primary, permutation, repeated, site-grouped, slide-pooling, PLS1–PLS2 and final-model fits now explicitly use CPU rSVD with 10 oversampling vectors, two power iterations and fixed seeds. IRLBA is not used. Solver identity and controls are recorded in screening, sensitivity and model-registry metadata and verified against saved-model diagnostics.</w:t>
      </w:r>
    </w:p>
    <w:p>
      <w:pPr>
        <w:pStyle w:val="Heading1"/>
      </w:pPr>
      <w:r>
        <w:t>Additional change: terminology and global multiplicity</w:t>
      </w:r>
    </w:p>
    <w:p>
      <w:r>
        <w:t>Tier labels are replaced in the narrative and display headings by within-cancer higher-effect, moderate-effect and screen-negative categories. The abstract, Results and Discussion report explicitly that 219 continuous and 39 cancer–mutation pairs passed the stricter across-cancer correction.</w:t>
      </w:r>
    </w:p>
    <w:p>
      <w:pPr>
        <w:pStyle w:val="Heading1"/>
      </w:pPr>
      <w:r>
        <w:t>Additional change: TRIPOD+AI and fairness reporting</w:t>
      </w:r>
    </w:p>
    <w:p>
      <w:r>
        <w:t>Supplementary Table S12 maps every TRIPOD+AI item to the manuscript or repository. Participant characteristics from the TCGA Clinical Data Resource are now reported overall and by cancer; the Methods and Discussion state that no resampling or calibrated probability output was used, no formal power calculation was performed, treatment endpoints were not modelled, and demographic subgroup performance was not evaluated. Tissue-source-site sensitivity is not presented as a substitute for representative external subgroup evaluation.</w:t>
      </w:r>
    </w:p>
    <w:p>
      <w:pPr>
        <w:pStyle w:val="Heading1"/>
      </w:pPr>
      <w:r>
        <w:t>Additional change: selection-conditioned uncertainty</w:t>
      </w:r>
    </w:p>
    <w:p>
      <w:r>
        <w:t>The Discussion now states that repeated nested-CV estimates and patient-cluster bootstrap intervals are conditional on endpoint selection in the same TCGA atlas. They do not remove winner's-curse optimism and are not presented as external-performance intervals.</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Response to reviewer — TITAN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