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patient-level TCGA discovery atlas of molecular and immune predictability from pretrained TITAN whole-slide representations across 32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Minor revision</w:t>
      </w:r>
    </w:p>
    <w:p>
      <w:pPr>
        <w:spacing w:after="40"/>
      </w:pPr>
      <w:r>
        <w:rPr>
          <w:rFonts w:ascii="Calibri" w:hAnsi="Calibri"/>
          <w:b/>
          <w:i w:val="0"/>
          <w:color w:val="000000"/>
          <w:sz w:val="22"/>
        </w:rPr>
        <w:t xml:space="preserve">Date: </w:t>
      </w:r>
      <w:r>
        <w:rPr>
          <w:rFonts w:ascii="Calibri" w:hAnsi="Calibri"/>
          <w:b w:val="0"/>
          <w:i w:val="0"/>
          <w:color w:val="000000"/>
          <w:sz w:val="22"/>
        </w:rPr>
        <w:t>16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discovery atlas.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both within cancer and across cancers; and the absence of independent external validation is explicit. I found no further analysis essential for publication under the stated discovery-atlas framing.</w:t>
      </w:r>
    </w:p>
    <w:p>
      <w:pPr>
        <w:pStyle w:val="Heading1"/>
        <w:keepNext/>
      </w:pPr>
      <w:r>
        <w:t>Confidential comments to the editor</w:t>
      </w:r>
    </w:p>
    <w:p>
      <w:pPr>
        <w:spacing w:after="120" w:line="264" w:lineRule="auto"/>
      </w:pPr>
      <w:r>
        <w:rPr>
          <w:rFonts w:ascii="Calibri" w:hAnsi="Calibri"/>
          <w:b w:val="0"/>
          <w:i w:val="0"/>
          <w:color w:val="000000"/>
          <w:sz w:val="22"/>
        </w:rPr>
        <w:t>The manuscript fits the Molecular Pathology remit as a reproducible study of image-derived molecular and immune signals in human tumours. Its main contribution is not a claim that PLS outperforms other algorithms, but a transparent endpoint-by-endpoint atlas using a fixed pretrained representation. The authors appropriately refrain from clinical claims. I recommend minor revision limited to submission administration and permanent archiving.</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and tissue-source-site sensitivities are appropriate internal robustness checks.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now supplies descriptive characteristics for 9,385 matched participants, including age, recorded gender, race and broad stage overall and by cancer.</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descriptive demographics constitute subgroup model validation.</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The 999-permutation target, finite-p correction, conservative sequential stopping and explicit global sensitivity are transparent for a discovery atlas. The manuscript appropriately acknowledges that the minimum empirical p-value of 0.001 limits attainable q-values in large global families, so global non-passage must not be read as evidence of no biological signal. The revised higher-effect/moderate-effect/screen-negative language is preferable to presenting internal tiers as clinical evidence grades.</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Preserve the numerical distinction between within-cancer and across-cancer results in the abstract and conclusions.</w:t>
      </w:r>
    </w:p>
    <w:p>
      <w:pPr>
        <w:pStyle w:val="Heading2"/>
        <w:keepNext/>
      </w:pPr>
      <w:r>
        <w:t>3. Performance reporting and deployment metadata</w:t>
      </w:r>
    </w:p>
    <w:p>
      <w:pPr>
        <w:spacing w:after="120" w:line="264" w:lineRule="auto"/>
      </w:pPr>
      <w:r>
        <w:rPr>
          <w:rFonts w:ascii="Calibri" w:hAnsi="Calibri"/>
          <w:b w:val="0"/>
          <w:i w:val="0"/>
          <w:color w:val="000000"/>
          <w:sz w:val="22"/>
        </w:rPr>
        <w:t>The 24 highlighted models report sensitivity, specificity, balanced accuracy and AUROC for binary outcomes and Q², RMSE and Spearman correlation for continuous outcomes, with patient-cluster bootstrap intervals. The Discussion correctly clarifies that these intervals are conditional on endpoint selection in the same TCGA atlas and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w:t>
      </w:r>
    </w:p>
    <w:p>
      <w:pPr>
        <w:pStyle w:val="Heading2"/>
        <w:keepNext/>
      </w:pPr>
      <w:r>
        <w:t>4.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TCGA discovery atlas rather than independent validation.</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External validation remains the next research stage, not a condition that can be satisfied by further TCGA resampling.</w:t>
      </w:r>
    </w:p>
    <w:p>
      <w:pPr>
        <w:pStyle w:val="Heading2"/>
        <w:keepNext/>
      </w:pPr>
      <w:r>
        <w:t>5. Reproducibility and model redistribution</w:t>
      </w:r>
    </w:p>
    <w:p>
      <w:pPr>
        <w:spacing w:after="120" w:line="264" w:lineRule="auto"/>
      </w:pPr>
      <w:r>
        <w:rPr>
          <w:rFonts w:ascii="Calibri" w:hAnsi="Calibri"/>
          <w:b w:val="0"/>
          <w:i w:val="0"/>
          <w:color w:val="000000"/>
          <w:sz w:val="22"/>
        </w:rPr>
        <w:t>The public repository claim is now limited to files that can actually be released. The TITAN model terms restrict redistribution of derivative models, so retaining local fitted objects while publishing version-controlled fitting code, inference code, registry metadata and hashes is the correct conservative approach.</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repository release with a persistent DOI. Do not upload fitted TITAN-derived RDS objects unless written permission or compatible terms are obtained. This is an administrative release condition and does not require a new scientific analysis.</w:t>
      </w:r>
    </w:p>
    <w:p>
      <w:pPr>
        <w:pStyle w:val="Heading2"/>
        <w:keepNext/>
      </w:pPr>
      <w:r>
        <w:t>6.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Ismail's New York University Abu Dhabi affiliation and email have been restored from the original supplied manuscript. Ekene Emmanuel Nweke's University of the Witwatersrand affiliation has been added; an email address was not supplied. The current author list contains Aamilah Ismail, Moussa Kassim, Dalia Ahmed, Dupe Ojo, Ekene Emmanuel Nweke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should accompany the submission.</w:t>
      </w:r>
    </w:p>
    <w:p>
      <w:pPr>
        <w:pStyle w:val="Heading3"/>
        <w:keepNext/>
      </w:pPr>
      <w:r>
        <w:t>Terminology</w:t>
      </w:r>
    </w:p>
    <w:p>
      <w:pPr>
        <w:spacing w:after="120" w:line="264" w:lineRule="auto"/>
      </w:pPr>
      <w:r>
        <w:rPr>
          <w:rFonts w:ascii="Calibri" w:hAnsi="Calibri"/>
          <w:b w:val="0"/>
          <w:i w:val="0"/>
          <w:color w:val="000000"/>
          <w:sz w:val="22"/>
        </w:rPr>
        <w:t>Retain 'fixed pretrained' or 'pretrained' rather than 'frozen' where confusion with frozen-section tissue is possible.</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The consistent endpoint-family colours and explicit observed-versus-predicted panel should be retained in production.</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atlas includes immune and inflammatory features as well as mutations, pathways, MSI, aneuploidy and fusions.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with LDA preferred for binary endpoints.</w:t>
      </w:r>
    </w:p>
    <w:p>
      <w:pPr>
        <w:spacing w:after="120" w:line="264" w:lineRule="auto"/>
      </w:pPr>
      <w:r>
        <w:rPr>
          <w:rFonts w:ascii="Calibri" w:hAnsi="Calibri"/>
          <w:b w:val="0"/>
          <w:i w:val="0"/>
          <w:color w:val="000000"/>
          <w:sz w:val="22"/>
        </w:rPr>
        <w:t>• The literature discussion distinguishes replicated exact pairs from atlas-nominated candidates without overstating novelty.</w:t>
      </w:r>
    </w:p>
    <w:p>
      <w:pPr>
        <w:pStyle w:val="Heading1"/>
        <w:keepNext/>
      </w:pPr>
      <w:r>
        <w:t>Recommended editorial decision</w:t>
      </w:r>
    </w:p>
    <w:p>
      <w:pPr>
        <w:shd w:fill="E8EEF5"/>
      </w:pPr>
      <w:r>
        <w:rPr>
          <w:rFonts w:ascii="Calibri" w:hAnsi="Calibri"/>
          <w:b/>
          <w:i w:val="0"/>
          <w:color w:val="1F4D78"/>
          <w:sz w:val="24"/>
        </w:rPr>
        <w:t>MINOR REVISION</w:t>
      </w:r>
    </w:p>
    <w:p>
      <w:pPr>
        <w:spacing w:after="120" w:line="264" w:lineRule="auto"/>
      </w:pPr>
      <w:r>
        <w:rPr>
          <w:rFonts w:ascii="Calibri" w:hAnsi="Calibri"/>
          <w:b w:val="0"/>
          <w:i w:val="0"/>
          <w:color w:val="000000"/>
          <w:sz w:val="22"/>
        </w:rPr>
        <w:t>The scientific analysis is suitable for consideration as a TCGA discovery atlas. The remaining work is administrative: complete declarations and author metadata, provide the reporting checklist, and archive a versioned public release. No further TCGA analysis is required by this review.</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discovery atlas</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