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systematic patient-level benchmark and reusable model resource for molecular and derived immune-feature prediction from pretrained TITAN whole-slide representations across 32 TCGA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Silvano Piazza</w:t>
      </w:r>
      <w:r>
        <w:rPr>
          <w:vertAlign w:val="superscript"/>
        </w:rPr>
        <w:t>6,8</w:t>
      </w:r>
      <w:r>
        <w:t xml:space="preserve">, </w:t>
      </w:r>
      <w:r>
        <w:rPr>
          <w:b/>
        </w:rPr>
        <w:t>Dinesh Gupta</w:t>
      </w:r>
      <w:r>
        <w:rPr>
          <w:vertAlign w:val="superscript"/>
        </w:rPr>
        <w:t>7</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b/>
        </w:rPr>
        <w:t xml:space="preserve">6 </w:t>
      </w:r>
      <w:r>
        <w:t>Computational Biology Group, International Centre for Genetic Engineering and Biotechnology (ICGEB), Trieste, Italy</w:t>
      </w:r>
    </w:p>
    <w:p>
      <w:pPr>
        <w:jc w:val="center"/>
      </w:pPr>
      <w:r>
        <w:rPr>
          <w:b/>
        </w:rPr>
        <w:t xml:space="preserve">7 </w:t>
      </w:r>
      <w:r>
        <w:t>Translational Bioinformatics Group, International Centre for Genetic Engineering and Biotechnology (ICGEB), Aruna Asaf Ali Marg, New Delhi 110067, India</w:t>
      </w:r>
    </w:p>
    <w:p>
      <w:pPr>
        <w:jc w:val="center"/>
      </w:pPr>
      <w:r>
        <w:rPr>
          <w:b/>
        </w:rPr>
        <w:t xml:space="preserve">8 </w:t>
      </w:r>
      <w:r>
        <w:t>Bioinformatics Facility, Department of Cellular, Computational and Integrative Biology - CIBIO, University of Trento, Trento, Italy</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Pan-cancer histology studies span molecular endpoints: Arslan et al. trained 12,093 models for 4,031 biomarkers across 32 TCGA cancers. We evaluated TITAN as a patient-level benchmark and model resource, without claiming the first pan-cancer screen or unprecedented mutation targets.</w:t>
      </w:r>
    </w:p>
    <w:p>
      <w:r>
        <w:rPr>
          <w:b/>
        </w:rPr>
        <w:t xml:space="preserve">Methods. </w:t>
      </w:r>
      <w:r>
        <w:t>We mean-pooled 11,449 diagnostic slide embeddings into 9,404 patient vectors across 32 TCGA cancers; 843 patients contributed multiple slides. We tested 1,614 continuous and 459 binary cancer–endpoint pairs using patient-level nested PLS1 or PLS–LDA. Targets were classified as direct alteration calls, sequencing-derived burdens, inferred immune-cell fractions, transcriptomic signatures, pathology-derived quantities or composite scores. Models meeting the prespecified screening-statistic threshold underwent 999 complete-process permutations with conservative stopping, exact Monte Carlo intervals and Benjamini–Hochberg corrections locally, across cancers and atlas-wide. Eight prespecified models were extended to 9,999 permutations.</w:t>
      </w:r>
    </w:p>
    <w:p>
      <w:r>
        <w:rPr>
          <w:b/>
        </w:rPr>
        <w:t xml:space="preserve">Results. </w:t>
      </w:r>
      <w:r>
        <w:t>Screening identified 219 continuous and 104 binary candidates in screening tiers A or B. A stricter ≥50-per-class sensitivity retained 87/104 binary candidates; 17 smaller-class models were exploratory and excluded from default inference. Highlighted repeated-CV results included TGCT–TGF-beta Response (five-repeat mean Q² 0.670, selection-conditioned 95% patient-resampling interval 0.573–0.741; RMSE 0.303, Spearman 0.791) and LGG–TP53 (five-repeat mean sensitivity 0.839, specificity 0.885, balanced accuracy 0.862, selection-conditioned 95% patient-resampling interval 0.833–0.888; AUROC 0.908, PR-AUC 0.880). Prior studies supported 38/41 screen-positive cancer–gene pairs. 320/323 local candidates passed single BH correction across 2,073 eligible tests. Grouping by TCGA tissue-source-site code reduced 83/323 candidates (25.7%) below the screening threshold. In a 47-target metadata-stratified benchmark selected without PLS performance, median ridge-minus-PLS differences were 0.008 AUROC and 0.053 Q²; paired intervals favoured ridge for 8/35 binary and 10/12 continuous targets, and PLS for none.</w:t>
      </w:r>
    </w:p>
    <w:p>
      <w:r>
        <w:rPr>
          <w:b/>
        </w:rPr>
        <w:t xml:space="preserve">Conclusions. </w:t>
      </w:r>
      <w:r>
        <w:t>This systematic patient-level benchmark defines internally derived TCGA estimates under one fixed pretrained TITAN representation and constructs compact PLS reference models for future locked evaluation. PLS is the prespecified reference method, not an empirically optimal algorithm; the representative comparison more often favoured ridge. No independent performance evidence or basis for clinical application is presented.</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institution-associated histology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Breadth alone is not the gap. Fu et al. analysed 17,355 slides across 28 cancers [4], Kather et al. applied one workflow to more than 5,000 patients across 14 cancers [5], Saldanha et al. externally tested mutation models across seven matched TCGA and CPTAC cancers [11], and Arslan et al. trained 12,093 models for 4,031 genomic, transcriptomic, proteomic and clinical biomarkers in 8,890 TCGA patients across the same 32 cancers [13]. The present study consequently does not claim the first pan-cancer molecular screen, a larger endpoint catalogue, or general mutation-target novelty.</w:t>
      </w:r>
    </w:p>
    <w:p>
      <w:r>
        <w:t>The narrower unresolved gap is a reproducible benchmark that applies one fixed pretrained representation to every target; deterministically aggregates slides before outcome matching; performs nested validation with the patient as the unit; preserves tested-negative and sample-size-ineligible results; reports target-level sensitivity to grouping by TCGA tissue-source-site code; models selected derived immune and genomic-context features continuously; and constructs compact fitted predictors with research-use provenance metadata. These design and resource features—not unprecedented endpoint classes—define the contribution of this study.</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as one prespecified supervised linear reference; the study does not assume that PLS is algorithmically optimal [17,18].</w:t>
      </w:r>
    </w:p>
    <w:p>
      <w:r>
        <w:t>A practical feature of the fitted analysis is model portability. PLS, PLS–LDA and ridge predictors can all be represented by compact learned preprocessing and coefficient objects and applied without release of patient-level training embeddings or outcomes. Portability therefore motivates comparison within the linear-model family but is not a unique advantage of PLS. It supports external research testing while minimising distribution of patient-level data, but does not itself establish privacy, licensing compatibility or transportability.</w:t>
      </w:r>
    </w:p>
    <w:p>
      <w:r>
        <w:t>The primary question was cancer-specific: which individual mutations, derived inflammatory features, oncogenic pathways, MSI phenotypes, aneuploidy measures and fusions are predictable within each cancer? Molecular subtype association was not analysed. One-at-a-time PLS1 and PLS–LDA formed the prespecified reference screen because they preserve outcome-specific denominators and yield one independently usable model per endpoint. Joint PLS2 was evaluated secondarily only for coherent continuous inflammatory panels; its complete-case panel, shared latent structure and multiresponse estimand are not interchangeable with the endpoint-specific atlas.</w:t>
      </w:r>
    </w:p>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Within a patient, every eligible slide received weight 1/n; after pooling, every participant contributed one row and therefore one observational unit. TITAN's TCGA-Slide-Reports.csv matched 10,106 selected slides exactly by filename; 1,343 slides lacked an exact report row. Report metadata were used only to audit identifiers, project/cancer provenance and anatomical resection/biopsy-site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No structured tumour-content/cellularity percentage, tissue-area measurement, artefact assessment, biopsy-versus-resection indicator or slide/image-quality score was available in the TITAN feature table or TCGA-Slide-Reports.csv; accordingly, none was used for slide exclusion or weighting. The field named site_of_resection_or_biopsy contains an anatomical site, not specimen procedure. Generated slide narratives were audited only for transparency and were not treated as independent pathologist-adjudicated QC labels. Eligibility therefore reflected TCGA sample type and diagnostic-slide filename, not prospective pathology review.</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derived immune/genomic features rather than prognosis or treatment response.</w:t>
      </w:r>
    </w:p>
    <w:p>
      <w:r>
        <w:t>Reporting was audited against TRIPOD+AI [28]. Participant characteristics were linked from the TCGA Clinical Data Resource [29] and summarized overall and by cancer. These fields were not supplied to prediction models. In a post hoc denominator-first audit, a cancer–endpoint model was considered high volume at ≥200 outcome-labelled patients. Performance was recalculated within the fixed five-repeat held-out predictions when a continuous subgroup contained ≥50 patients or a binary subgroup contained ≥20 positive and ≥20 negative patients. Recorded sex used the TCGA CDR gender field; broad race retained White, Black or African American, Asian and other recorded categories separately. Continuous subgroup metrics were Q², RMSE and Spearman correlation; binary metrics were sensitivity, specificity, balanced accuracy, AUROC and PR-AUC. No subgroup-specific model was refitted, no formal between-group hypothesis test or multiplicity correction was performed, and the audit was not designed to establish fairness. Exact counts and reasons for non-estimability were retained for every model–subgroup row.</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The official gated artifact, TCGA_TITAN_features.pkl, was downloaded from https://huggingface.co/MahmoodLab/TITAN/blob/main/TCGA_TITAN_features.pkl after accepting the upstream terms and converted with the repository script to filename,titan_000,…,titan_767 CSV format; its source and converted-file SHA-256 hashes are retained in the provenance record.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The Thorsson umbrella does not denote a single immune assay. Its targets include CIBERSORT relative leukocyte fractions inferred by deconvolving bulk RNA sequencing [37], a leukocyte fraction inferred from DNA methylation, bulk-RNA gene-set signatures, BCR/TCR repertoire quantities reconstructed from RNA sequencing, in-silico neoantigen burdens, purity- and copy-number-derived genomic-context scores, and TIL Regional Fraction inferred from H&amp;E by the Saltz deep-learning workflow [19,38]. The last target is a same-histology-modality concordance task rather than cross-modal molecular prediction. None of these inferred quantities is treated as equivalent to flow cytometry, immunohistochemistry, a directly counted immune-cell assay or a clinically certified biomarker. A 2,073-row endpoint dictionary records source modality, direct/inferred status, derivation, source scale, transformation, outcome-specific missingness, expected measurement error, biological interpretation and an assay-equivalence caveat for every modelled target; its 194 unique definitions are supplied separately.</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screening eligibility required at least 20 positive and 20 negative patients. Eligibility was decided before modelling and every eligible test remained in its endpoint-family multiplicity denominator. Because this lower binary limit can produce sparse nested folds, we additionally repeated the eligibility and candidate-retention summary at 50 patients per class. Screen-positive models below that stricter threshold were retained in the complete atlas as exploratory/limited evidence, but were separated from standard-evidence models and excluded from the default inference interface.</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with AUROC and precision–recall area under the curve (PR-AUC) calculated from continuous LDA scores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PR-AUC was non-interpolated average precision, so its no-skill reference equals outcome prevalence. Positive and negative predictive values (PPV and NPV) were calculated from held-out class calls at the observed outcome prevalence in the analysed TCGA cohort; they are cohort-specific descriptive estimates, not calibrated probabilities or transportable operating characteristics. Spearman correlation used observed and held-out continuous predictions.</w:t>
      </w:r>
    </w:p>
    <w:p>
      <w:r>
        <w:t>As a secondary algorithmic benchmark, targets were selected from all 2,073 eligible cancer–endpoint tests without using PLS performance. Continuous and binary sampling frames were divided into empirical sample-size terciles; binary endpoints were additionally divided into empirical terciles of minority-class fraction. Within each non-empty outcome-family × sample-size cell—and binary family × size × imbalance cell—the endpoint with the lowest salted SHA-256 rank was selected. The fixed rule yielded 12 continuous and 35 binary targets, including 14 screen-positive and 33 screen-negative endpoints. The complete sampling frame, salt, hashes and selected jobs are released. This is a representative metadata-stratified comparison, not an atlas-wide fit of ridge to every endpoint.</w:t>
      </w:r>
    </w:p>
    <w:p>
      <w:r>
        <w:t>Each selected target was fitted across five repeated nested partitions using PLS1 or PLS–LDA and ridge-penalised Gaussian or logistic regression. Within every repeat, both methods used identical patients, outer folds and inner folds. For continuous outcomes, both PLS component count and ridge penalty maximised pooled inner out-of-fold Q²; maximising Q² is equivalent to minimising pooled squared error because the validation outcome denominator is fixed. For binary outcomes, each method's operating threshold maximised balanced accuracy on its own inner out-of-fold continuous scores, without access to the outer test fold. Threshold-independent AUROC was the primary binary comparison metric and symmetrically thresholded balanced accuracy was secondary; continuous comparisons used Q² and Spearman correlation. For repeat r, d_r=M_r(ridge)−M_r(PLS) and Δ=(1/5)Σ_r d_r. Two thousand paired patient-resampling replicates sampled patients with replacement, retained both methods and all five matched predictions, and recalculated d_r and Δ; percentile 2.5 and 97.5 formed the interval. The interval does not repeat metadata-stratified target selection, generate new partitions or refit either algorithm. Ridge was chosen as a simple portable linear baseline; portability is not unique to PLS.</w:t>
      </w:r>
    </w:p>
    <w:p>
      <w:r>
        <w:t>No class under-sampling, over-sampling or synthetic augmentation was used. The prespecified atlas—not the secondary method benchmark—retained the fitted LDA class rule with observed training-fold class priors and returned a class plus an uncalibrated discriminant score, not a probability or clinical-risk threshold. The symmetric benchmark applied its nested threshold rule to both PLS–LDA and ridge and did not replace the primary atlas predictions or fitted models. Outcome tables were constructed independently of TITAN feature processing and joined only after patient-level aggregation.</w:t>
      </w:r>
    </w:p>
    <w:p>
      <w:r>
        <w:t>Nested performance was first checkpointed for the complete screen. Only models with Q²≥0.20 or chance-corrected balanced accuracy≥0.20 entered permutation testing. For every permutation, patient labels were reassigned and the complete modelling process was repeated: training-fold centering, five-fold inner selection of 1–10 components, outer-fold refitting and held-out prediction. Thus neither scaling parameters, component counts nor outer predictions were reused from the observed-label fit. A 99-permutation checkpoint was followed by refinement toward 999 permutations. During final refinement, evaluation stopped conservatively after 49 exceedances because raw p&lt;0.05 was then impossible even if every remaining null statistic were less extreme; stopped endpoints were assigned p=1. Early-stopped jobs resumed from the exact number attempted, so no permutation indices were skipped. Regression extremeness used lower RMSE, whereas classification used higher balanced accuracy. Completed finite p values were (b+1)/(B+1), giving minimum resolution 0.001. Exact two-sided 95% Clopper–Pearson intervals for the underlying null exceedance probability quantify Monte Carlo uncertainty; with zero exceedances among 999 permutations this interval is 0–0.003686.</w:t>
      </w:r>
    </w:p>
    <w:p>
      <w:r>
        <w:t>Because each disease defines a separate prediction and intended-use population, Benjamini–Hochberg FDR was controlled separately for continuous and binary screens within cancer and prespecified endpoint family [27]. Two stricter sensitivities were retained: BH across cancers within the same outcome type and family, and a single BH correction across all eligible continuous and binary cancer–endpoint tests in the atlas. Eight models were locked before high-resolution results were generated: four leading continuous immune programmes and four leading binary claims spanning mutation, strict MSI and fusion endpoints. Their saved first 999 permutations were extended without early stopping to 9,999 complete-process permutations. This targeted analysis improves Monte Carlo resolution for leading claims but was not substituted into the prespecified 999-permutation FDR screen. The screening statistic is Q² for continuous outcomes and 2×balanced accuracy−1 for binary outcomes. Screen-positive candidates were assigned to prespecified screening tier A (primary q&lt;0.05 and screening statistic≥0.40) or prespecified screening tier B (primary q&lt;0.05 and screening statistic from 0.20 to &lt;0.40). For binary outcomes these cut-offs correspond to balanced accuracy≥0.70 and 0.60 to &lt;0.70, respectively; for continuous outcomes they correspond to Q²≥0.40 and 0.20 to &lt;0.40. Screen-negative tested pairs and pairs ineligible by sample-size rules were reported separately. Models are ordered by the outcome-appropriate predictive metric, with repeated stability and stability under grouping by TCGA tissue-source-site code reported alongside; tied permutation q-values are not used for ranking. The tiers are prespecified prioritisation rules, not established clinical or statistical effect categories, and their numerical values are not interpreted as directly commensurate across outcome types.</w:t>
      </w:r>
    </w:p>
    <w:p>
      <w:pPr>
        <w:pStyle w:val="Heading2"/>
      </w:pPr>
      <w:r>
        <w:t>Robustness and saved models</w:t>
      </w:r>
    </w:p>
    <w:p>
      <w:r>
        <w:t>The initial nested-CV estimate used for candidate screening, permutation testing and tier assignment is termed the primary screening estimate. Only endpoints passing that initial atlas screen entered five additional independently seeded nested-CV partitions; their reported repeated-validation estimate is the arithmetic mean of the five repeat-specific metrics. The two estimates answer different questions and need not be numerically identical because they use different fold partitions and rSVD seeds. The primary screening estimate preserves the prespecified selection and multiplicity path, whereas the five-repeat estimate describes post-selection resampling stability; it does not replace or retroactively alter screen membership. For example, THYM–Th17 had primary screening Q²=0.638 and five-repeat mean Q²=0.594. Each repeat seed governed both fold construction and rSVD. Sensitivity, specificity, balanced accuracy and AUROC were calculated within each repeat for binary endpoints; Q², RMSE and Spearman correlation were calculated within each repeat for continuous endpoints. LDA scores from independently fitted repeats were never pooled onto an assumed common scale. For highlighted models, 1,000 patient-cluster bootstrap resamples retained all five existing held-out predictions for each sampled patient, recalculated the metric within repeat and then averaged the five repeat metrics; the 2.5th and 97.5th percentiles formed the reported 95% selection-conditioned patient-resampling interval for repeated out-of-fold predictions. This interval represents patient sampling variability conditional on the five fitted nested-CV prediction sets. It includes neither the initial screen and endpoint highlighting nor new partition generation, scaling or component reselection, model refitting inside bootstrap replicates, winner's-curse correction, or external cohort, institution, scanner and population variation. Validation grouped by TCGA tissue-source-site code assigned all patients sharing the same two-character code to one outer fold. The same constraint on TCGA tissue-source-site code was passed to every inner component-selection split within the outer training set; thus neither outer performance estimation nor inner tuning divided a code across folds. For every model and outer fold, we recorded test and training patients, TCGA tissue-source-site codes, and—where applicable—positive and negative cases.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For every screen-positive binary model, we recorded positive and negative counts in all 25 repeated outer test folds and reconstructed the exact five-fold inner component-selection partitions within every outer training set. We summarized the selected-component distribution across the resulting 25 fits. Repeat stability was quantified using pairwise Spearman correlations of patient-level standardized held-out scores and agreement of held-out class calls across repeats. For the limited-evidence subset, learning curves retained each repeat's original outer test fold while fitting on stratified 50%, 75% and 100% subsets of the outer training data; the five repeats were analysed separately. This design isolates training-size sensitivity without moving patients between training and evaluation. These analyses do not convert sparse internal validation into external evidence.</w:t>
      </w:r>
    </w:p>
    <w:p>
      <w:r>
        <w:t>To quantify whether TITAN itself retained information about TCGA tissue-source-site code, we treated that code as a multiclass outcome within each cancer. This dedicated confounding analysis retained codes represented by at least 10 patients, required at least two eligible codes per cancer, and used five independently seeded nested five-fold PLS–LDA validations with the same component range and rSVD controls. The primary metric was multiclass macro balanced accuracy (mean recall across TCGA tissue-source-site codes); chance was 1/k for k analysed codes, and a chance-normalised value, (balanced accuracy − 1/k)/(1 − 1/k), was calculated for cross-cancer description. Patients with rare codes excluded from this code-classification analysis remained in all eligible molecular-endpoint analyses. This analysis tests whether the representation encodes signatures associated with TCGA tissue-source-site code; it does not identify their scanner, laboratory, staining or population causes.</w:t>
      </w:r>
    </w:p>
    <w:p>
      <w:r>
        <w:t>For qualitative morphological context, we selected five representative models spanning an H&amp;E-derived TIL quantity, an RNA-derived CIBERSORT fraction, an RNA-expression signature, a copy-number burden and a sequence-supported mutation. Within each model, high and low anchors were chosen from concordant extremes of mean repeated out-of-fold predictions. The closest within-cancer patient was then retrieved by cosine similarity of patient-level mean TITAN representations. For display only, a report-covered slide closest to each patient mean was selected deterministically, and prespecified morphological terms were extracted from TITAN-generated TCGA-Slide-Reports text. Neither report text nor example selection entered model fitting. Only global 768-dimensional pooled representations were available; no patch embeddings, attention maps or slide pixels were retained. The analysis is therefore descriptive nearest-neighbour context, not patch-level relevance, causal attribution or blinded pathologist review.</w:t>
      </w:r>
    </w:p>
    <w:p>
      <w:r>
        <w:t>TITANPred retains the binary LDA score but does not convert it to a probability. In the research-software demonstration, its position is labelled 'TCGA out-of-fold score rank (not probability)' rather than percentile or risk. Binary output displays total training n, class counts and prevalence; balanced accuracy, AUROC and PR-AUC; TCGA-prevalence PPV and NPV; fold minima, component-selection variability and repeat stability; and sensitivity to grouping by TCGA tissue-source-site code. The 17 screen-positive models with fewer than 50 patients in either class are marked exploratory/limited evidence, omitted from default inference and available only through explicit opt-in with a warning. Probability calibration was not added post hoc because it would require an independently evaluated or fully nested calibration procedure, which is not available in this TCGA benchmark.</w:t>
      </w:r>
    </w:p>
    <w:p>
      <w:r>
        <w:t>The fitted PLS and PLS–LDA objects contain the learned transformations and coefficients needed for research inference but no patient-level training rows. They are distributed as prespecified reference models, not as models shown to outperform ridge. The access-controlled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target catalogues, out-of-fold prediction summaries, figures and the model registry are organized in the public companion analysis repository [30]. A separate access-controlled GPL-3 R package contains the fitted models, their SHA-256 registry, reference distributions, inference interface and research-software output template [32]. That repository is private and the manuscript does not claim public availability of the fitted artifacts. The artifacts contain learned parameters and training-range summaries but no patient-level training rows. No independent cohort with compatible TITAN features and the required labels was included; every performance estimate is an internally derived TCGA estimate.</w:t>
      </w:r>
    </w:p>
    <w:p>
      <w:pPr>
        <w:pStyle w:val="Heading2"/>
      </w:pPr>
      <w:r>
        <w:t>Prospectively locked protocol for future independent evaluation</w:t>
      </w:r>
    </w:p>
    <w:p>
      <w:r>
        <w:t>After the internal TCGA screen, but before accessing any external features, outcomes or predictions, we fixed a three-model UCEC subset for future independent evaluation: TP53 mutation, genome doubling and continuous aneuploidy score. The exact fitted-object SHA-256 hashes are c39ba2caeefc148e67412647f3e1835dbcd719088a4d379b53068482ebb2ede0, 8f9fd73578189bab5d5c88bb8005415a07b93a662f2b0adb893f0b04e1cc3604 and 0c520d8a9d57dd5af109416c5b82ffb0f0862e3505cd9888965fdeee4aa60f3b, respectively. Their internal performance is selection-conditioned; locking them now does not convert TCGA estimates into external evidence.</w:t>
      </w:r>
    </w:p>
    <w:p>
      <w:r>
        <w:t>A future evaluation must extract every eligible primary-tumour diagnostic slide with the documented CONCH v1.5–TITAN pipeline, apply the same deterministic patient mean pooling, preserve the 768-feature order and use the hashed artifacts without refitting, recalibration, class-prior changes or threshold adjustment. Outcomes must be constructed independently of image predictions using definitions compatible with the TCGA targets; an irreproducible endpoint must be reported as non-evaluable rather than replaced with an externally optimised surrogate. Binary primary performance is balanced accuracy, with AUROC, sensitivity and specificity secondary; continuous primary performance is Q², with RMSE, Spearman correlation, calibration intercept and calibration slope secondary. Patient/slide flow, molecular missingness, exclusions, denominators, uncertainty and all three outcomes—including failures—must be reported. The executable specification and machine-readable lock file are provided in the companion repository.</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S1–S14, Figures S1–S4 and the machine-readable-file inventory are provided in Additional file 1. The two post hoc illustrative COAD research-software outputs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TCGA-DX-AB2L (TCGA-SARC); its 30 slides each received weight 1/30 in the pooled vector, while the resulting patient vector had the same downstream observational weight as every other participant. No patient contributed slides from multiple primary sample barcodes. Exact slide-report coverage was 10,106/11,449 (88.3%). Cancer labels were available for 9,395 patients across 32 cancers. The benchmark evaluated 1,614 continuous and 459 binary cancer–endpoint pairs (Table 1).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structured pathology-QC audit confirmed that tumour percentage, tissue area, artefact, specimen procedure and slide quality were unavailable. Among the 10,106 matched generated slide narratives, tumour-content, tissue-area, artefact and explicit slide-quality phrases occurred in only 16, 9, 2 and 0 slides, respectively; these unvalidated text mentions did not alter inclusion or weights. All 30 generated narratives for TCGA-DX-AB2L stated that no residual sarcoma/myxofibrosarcoma was seen. This finding exposes a clinically important limitation of barcode-based eligibility and is not reinterpreted as an adjudicated exclusion because the narratives were generated from the same images rather than independently reviewed.</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and support the post hoc subgroup denominator audit below.</w:t>
      </w:r>
    </w:p>
    <w:p>
      <w:pPr>
        <w:pStyle w:val="Heading2"/>
      </w:pPr>
      <w:r>
        <w:t>Sex- and broad race-stratified performance audit</w:t>
      </w:r>
    </w:p>
    <w:p>
      <w:r>
        <w:t>Of 323 screen-positive models, 266 had at least 200 outcome-labelled patients. Using fixed repeated out-of-fold predictions, both recorded-sex groups met the prespecified subgroup denominator in 138 continuous and 56 binary models; at least two broad race groups were estimable in 98 continuous and 32 binary models. The complete audit contains 2,094 model–subgroup rows, including exact subgroup and binary class counts, 864 estimable performance rows and a specific non-estimability reason for every remaining row. Across estimable female–male comparisons, the median absolute difference was 0.099 in Q², 0.026 in AUROC and 0.019 in balanced accuracy. For White versus each estimable non-White category, the corresponding medians were 0.089 in Q², 0.023 in AUROC and 0.034 in balanced accuracy. These are descriptive, post hoc internal TCGA estimates from the same held-out predictions—not independently validated fairness estimates—and small differences should not be interpreted as evidence of demographic equivalence or disparity.</w:t>
      </w:r>
    </w:p>
    <w:p>
      <w:pPr>
        <w:pStyle w:val="Caption"/>
      </w:pPr>
      <w:r>
        <w:t>Table 1. Eligible cancer–endpoint models and within-cancer screening categories.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Screening tier A</w:t>
            </w:r>
          </w:p>
        </w:tc>
        <w:tc>
          <w:tcPr>
            <w:tcW w:type="dxa" w:w="850"/>
          </w:tcPr>
          <w:p>
            <w:r>
              <w:rPr>
                <w:b/>
                <w:sz w:val="17"/>
              </w:rPr>
              <w:t>Screening tier B</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Endpoint provenance and assay equivalence</w:t>
      </w:r>
    </w:p>
    <w:p>
      <w:r>
        <w:t>The target-level audit classified the 2,073 eligible tests as 265 directly observed genomic alteration; 439 sequencing-derived continuous burden; 685 computationally inferred immune-cell fraction; 299 transcriptomic signature; 13 pathology-associated quantity; 372 composite genomic-context score. These categories describe the label-generation modality, not the modality of the TITAN predictor. Only the 13 cancer-specific TIL Regional Fraction tests used an outcome derived from H&amp;E itself. Thus, apparent predictability of CIBERSORT fractions, leukocyte fraction or RNA signatures is agreement with another computational phenotype and cannot be interpreted as recovery of a directly measured immune-cell count. The complete target-level dictionary and the 194-definition dictionary are Supplementary Table S13 machine-readable companions.</w:t>
      </w:r>
    </w:p>
    <w:p>
      <w:pPr>
        <w:pStyle w:val="Heading2"/>
      </w:pPr>
      <w:r>
        <w:t>Continuous derived immune, genomic-context and instability phenotypes</w:t>
      </w:r>
    </w:p>
    <w:p>
      <w:r>
        <w:t>Among continuous targets, 37 were assigned to prespecified screening tier A and 182 to tier B. The largest primary screening Q² values were TGCT–TGF-beta Response (0.670); THYM–Th17 Cells (0.638); THCA–Lymphocyte Infiltration Signature Score (0.580); BRCA–Wound Healing (0.527); THCA–TGF-beta Response (0.522); SARC–Macrophage Regulation (0.520); KIRP–Proliferation (0.515); LUAD–Proliferation (0.512); BRCA–Proliferation (0.510); THCA–Th1 Cells (0.503). These initial nested-CV values determined screening and tier assignment; five-repeat means are reported separately for stability. These results were cancer specific: the same endpoint could be predictable in one tumour type and screen-negative in another.</w:t>
      </w:r>
    </w:p>
    <w:p>
      <w:r>
        <w:t>As an explicit example of the two reporting stages, THYM–Th17 had primary screening Q²=0.638 and a five-repeat mean repeated-validation Q²=0.594. This difference reflects independently seeded nested-CV partitions and is not a discrepancy or a change to the primary screen result.</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3655907"/>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3655907"/>
                    </a:xfrm>
                    <a:prstGeom prst="rect"/>
                  </pic:spPr>
                </pic:pic>
              </a:graphicData>
            </a:graphic>
          </wp:inline>
        </w:drawing>
      </w:r>
    </w:p>
    <w:p>
      <w:pPr>
        <w:pStyle w:val="Caption"/>
        <w:jc w:val="center"/>
      </w:pPr>
      <w:r>
        <w:t>Figure 2. Eighteen strongest within-cancer screen-positive continuous cancer–endpoint results, ranked by primary screening Q². The reduced set and larger typography improve readability; complete results and five-repeat estimates are in Supplementary Table S7 and machine-readable files. All Q² values use genuine patient-level outer-fold predictions.</w:t>
      </w:r>
    </w:p>
    <w:p>
      <w:pPr>
        <w:pStyle w:val="Heading2"/>
      </w:pPr>
      <w:r>
        <w:t>Binary molecular phenotypes</w:t>
      </w:r>
    </w:p>
    <w:p>
      <w:r>
        <w:t>The binary screen yielded 29 candidates in prespecified screening tier A and 75 in tier B. The largest primary screening balanced accuracies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These initial nested-CV values determined screening and tier assignment; five-repeat means are reported separately for stability.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pStyle w:val="Heading2"/>
      </w:pPr>
      <w:r>
        <w:t>Binary class-size sensitivity and development stability</w:t>
      </w:r>
    </w:p>
    <w:p>
      <w:r>
        <w:t>Of 459 binary pairs eligible at 20 patients per class, 244 (53.2%) also met a 50-per-class rule. Among the 104 screen-positive models, 87 (83.7%) met that stricter standard. The other 17 were designated exploratory/limited evidence; none of the highlighted binary models was in this group. The complete atlas retains these results for transparency, whereas default TITANPred inference now includes 87 binary and 219 continuous models and omits the limited subset unless explicitly requested.</w:t>
      </w:r>
    </w:p>
    <w:p>
      <w:r>
        <w:t>Across all 104 screen-positive binary models, the smallest repeated outer test fold contained 4 positive and 6 negative patients. Within the limited subset, exact reconstructed inner folds contained as few as 12 positive and 19 negative training patients and 3 positive and 4 negative validation patients. Selected components were therefore reported for every one of the 25 repeated outer fits: 7/17 limited models selected one component in at least one fit, 14/17 reached the ten-component ceiling, and 5 spanned both extremes.</w:t>
      </w:r>
    </w:p>
    <w:p>
      <w:r>
        <w:t>For the 17 limited models, median learning-curve balanced accuracy was 0.603, 0.640 and 0.636 at 50%, 75% and 100% of the outer-training data; median AUROC was 0.679, 0.730 and 0.738, and median PR-AUC was 0.304, 0.381 and 0.389. Median repeat score correlation was 0.674 in the limited subset versus 0.795 in the ≥50-per-class subset. Class-call agreement was also reported, but can appear high under marked imbalance and is not interpreted alone. Endpoint-level PR-AUC, TCGA-prevalence PPV/NPV, fold counts, component distributions, learning curves and stability are provided in Supplementary Table S10g and Figure S3.</w:t>
      </w:r>
    </w:p>
    <w:p>
      <w:pPr>
        <w:pStyle w:val="Heading2"/>
      </w:pPr>
      <w:r>
        <w:t>Permutation resolution and atlas-wide multiplicity sensitivity</w:t>
      </w:r>
    </w:p>
    <w:p>
      <w:r>
        <w:t>The primary within-cancer/family procedure identified 323 candidates. Of these, 321 passed BH within outcome type and endpoint family across cancers, 321 passed BH across all eligible tests within their outcome type, and 320 passed one BH correction across all 2,073 eligible continuous and binary atlas tests. The three local candidates not retaining atlas-wide q&lt;0.05 were READ genome doubling, OV–TP53 mutation and SKCM–BRAF mutation. The candidate count should therefore be read as a collection of locally controlled cancer-specific questions, with the atlas-wide result as a stricter sensitivity—not as if the primary procedure were one global 5% FDR analysis.</w:t>
      </w:r>
    </w:p>
    <w:p>
      <w:r>
        <w:t>Among completed 999-permutation tests, 308 had zero null statistics at least as extreme as observed. Their finite empirical p-value was 0.001, but the exact two-sided 95% Monte Carlo interval for the underlying exceedance probability was 0–0.003686. The prespecified high-resolution subset extended 8 leading models to 9,999 full nested permutations; 8 had zero exceedances and refined p-values were all 0.0001. The refined values are a targeted precision sensitivity and were not inserted into the primary FDR calculations. Because many primary p- and q-values remain tied at their attainable minimum, figures and tables are ordered by the outcome-appropriate predictive metric, with repeated stability and stability under grouping by TCGA tissue-source-site code reported alongside; q-values are not used for ranking.</w:t>
      </w:r>
    </w:p>
    <w:p>
      <w:pPr>
        <w:jc w:val="center"/>
      </w:pPr>
      <w:r>
        <w:drawing>
          <wp:inline xmlns:a="http://schemas.openxmlformats.org/drawingml/2006/main" xmlns:pic="http://schemas.openxmlformats.org/drawingml/2006/picture">
            <wp:extent cx="5806440" cy="3817197"/>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3817197"/>
                    </a:xfrm>
                    <a:prstGeom prst="rect"/>
                  </pic:spPr>
                </pic:pic>
              </a:graphicData>
            </a:graphic>
          </wp:inline>
        </w:drawing>
      </w:r>
    </w:p>
    <w:p>
      <w:pPr>
        <w:pStyle w:val="Caption"/>
        <w:jc w:val="center"/>
      </w:pPr>
      <w:r>
        <w:t>Figure 3. Eighteen strongest within-cancer screen-positive binary molecular predictions among the 87 models with at least 50 patients per class, ranked by primary screening balanced accuracy. Uniform point size and shortened labels reduce visual load; colour indicates endpoint family and symbols indicate across-cancer correction status. Complete BA, AUROC and PR-AUC results are in Supplementary Tables S6a, S7 and S10g. The 17 limited-evidence models appear in Figure S3.</w:t>
      </w:r>
    </w:p>
    <w:p>
      <w:r>
        <w:t>Precision–recall performance was reported for every screen-positive binary endpoint. Across all 104 models, median five-repeat PR-AUC was 0.592; each value should be read against its no-skill reference, the observed TCGA prevalence. The 13 mutation or fusion endpoints with prevalence below 0.20 had median prevalence 0.091, median PR-AUC 0.360 (range 0.196–0.452), despite median AUROC 0.790. This divergence illustrates why AUROC or balanced accuracy alone can overstate positive-class retrieval under low prevalence. Endpoint-level PR-AUC, prevalence, repeat variability and class counts are reported in Supplementary Tables S6a, S7 and S10g and the machine-readable registry.</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screening estimate from the initial patient-level nested-CV continuous screen (TGCT TGF-beta Response); each point is one patient's observed value and genuine held-out prediction. Panel B shows the binary model with the largest five-repeat mean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r>
        <w:t>Complete highlighted-model performance, uncertainty, class-size metrics and estimates grouped by TCGA tissue-source-site code are reported in Supplementary Table S6a and the machine-readable result files. The main text retains outcome-level summaries and illustrative figures.</w:t>
      </w:r>
    </w:p>
    <w:p>
      <w:pPr>
        <w:jc w:val="center"/>
      </w:pPr>
      <w:r>
        <w:drawing>
          <wp:inline xmlns:a="http://schemas.openxmlformats.org/drawingml/2006/main" xmlns:pic="http://schemas.openxmlformats.org/drawingml/2006/picture">
            <wp:extent cx="5806440" cy="3695007"/>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3695007"/>
                    </a:xfrm>
                    <a:prstGeom prst="rect"/>
                  </pic:spPr>
                </pic:pic>
              </a:graphicData>
            </a:graphic>
          </wp:inline>
        </w:drawing>
      </w:r>
    </w:p>
    <w:p>
      <w:pPr>
        <w:pStyle w:val="Caption"/>
        <w:jc w:val="center"/>
      </w:pPr>
      <w:r>
        <w:t>Figure 5. Breadth and family of screen-positive targets in the 15 cancers with the largest candidate counts. Restricting the display improves label size; complete cancer-level counts are in Supplementary Table S1. Absence of a target is distinct from a tested screen-negative result.</w:t>
      </w:r>
    </w:p>
    <w:p>
      <w:pPr>
        <w:pStyle w:val="Heading2"/>
      </w:pPr>
      <w:r>
        <w:t>Metadata-stratified linear-model comparison</w:t>
      </w:r>
    </w:p>
    <w:p>
      <w:r>
        <w:t>The deterministic representative benchmark contained 35 binary and 12 continuous targets selected from all eligible tests without reference to PLS performance; 14/47 happened to be screen-positive. For binary targets, the median ridge-minus-PLS AUROC difference was 0.008 (IQR -0.002 to 0.027); ridge had a selection-conditioned paired patient-resampling interval above zero for 8 models, PLS for 0, and 27 AUROC differences were uncertain. With the same inner-CV balanced-accuracy threshold rule applied to both methods, the median ridge-minus-PLS balanced-accuracy difference was 0.012 (IQR 0.005 to 0.025); ridge had a selection-conditioned paired patient-resampling interval above zero for 4 models, PLS for 0, and 31 were uncertain. For continuous targets, the median ridge-minus-PLS Q² difference was 0.053 (IQR 0.031 to 0.136); ridge was favoured for 10, PLS for 0, and 2 were uncertain. For continuous Spearman correlation, ridge was favoured for 3, PLS for 2 and 7 were uncertain. Thus the benchmark did not establish PLS superiority and more often favoured ridge, especially for continuous Q². These are representative paired comparisons rather than multiplicity-controlled algorithm discoveries or an atlas-wide ridge screen.</w:t>
      </w:r>
    </w:p>
    <w:p>
      <w:pPr>
        <w:pStyle w:val="Heading2"/>
      </w:pPr>
      <w:r>
        <w:t>Sensitivity to grouping by TCGA tissue-source-site code</w:t>
      </w:r>
    </w:p>
    <w:p>
      <w:r>
        <w:t xml:space="preserve">Internal validation grouped by TCGA tissue-source-site code was feasible for 323 screen-positive models. Although the median grouped-minus-random performance change was only -0.026, 83/323 models (25.7%) fell below the original prespecified screening threshold: 58/219 continuous models and 25/104 binary models. Prominent attenuations were READ–APC (balanced accuracy 0.862 to 0.495); COAD–APC (balanced accuracy 0.793 to 0.543); PCPG–Cell Cycle (balanced accuracy 0.686 to 0.476); LIHC–CTNNB1 (balanced accuracy 0.668 to 0.565); OV–TCR Shannon (Q² 0.206 to -0.551); COAD–SNV Neoantigens (Q² 0.239 to -0.013). Folds grouped by TCGA tissue-source-site code contain fewer and less evenly distributed training and test patients, so the decline cannot be attributed solely to confounding by that code; nevertheless, the near-chance colorectal APC results are not adequately summarised by the median and are prominently labelled as sensitive to grouping by TCGA tissue-source-site code in the registry and research-software output. </w:t>
      </w:r>
    </w:p>
    <w:p>
      <w:r>
        <w:t>Across 1,613 outer folds, test partitions contained 1–445 patients and 1–9 TCGA tissue-source-site codes; binary folds contained 0–130 positive and 0–269 negative patients. These imbalances are intrinsic to keeping complete code groups together and are reported model by model and fold by fold. The deterministic fold audit confirmed that no TCGA tissue-source-site code crossed an outer fold and that the same separation was maintained in every inner component-selection split.</w:t>
      </w:r>
    </w:p>
    <w:p>
      <w:r>
        <w:t>The dedicated within-cancer classification of TCGA tissue-source-site code analysis was evaluable in 27/32 cancers and included 7,863 patients from codes represented by at least 10 patients. All 27 observed macro balanced accuracies exceeded their cancer-specific 1/k chance reference; the median was 0.628 (range 0.425–0.966). The strongest chance-normalised code predictability occurred in UVM (macro balanced accuracy 0.966; 3 codes); OV (macro balanced accuracy 0.963; 2 codes); PAAD (macro balanced accuracy 0.911; 5 codes); ESCA (macro balanced accuracy 0.861; 7 codes); READ (macro balanced accuracy 0.862; 5 codes). ACC, CHOL, DLBC, MESO and UCS had fewer than two codes meeting the 10-patient requirement and were reported as ineligible. This result shows substantial information associated with TCGA tissue-source-site code in the fixed TITAN representation and strengthens the confounding concern; it does not identify a causal scanner, laboratory or staining effect.</w:t>
      </w:r>
    </w:p>
    <w:p>
      <w:pPr>
        <w:jc w:val="center"/>
      </w:pPr>
      <w:r>
        <w:drawing>
          <wp:inline xmlns:a="http://schemas.openxmlformats.org/drawingml/2006/main" xmlns:pic="http://schemas.openxmlformats.org/drawingml/2006/picture">
            <wp:extent cx="5806440" cy="4569002"/>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4569002"/>
                    </a:xfrm>
                    <a:prstGeom prst="rect"/>
                  </pic:spPr>
                </pic:pic>
              </a:graphicData>
            </a:graphic>
          </wp:inline>
        </w:drawing>
      </w:r>
    </w:p>
    <w:p>
      <w:pPr>
        <w:pStyle w:val="Caption"/>
        <w:jc w:val="center"/>
      </w:pPr>
      <w:r>
        <w:t>Figure 6. Sensitivity to grouping by TCGA tissue-source-site code as a principal result. Panel A compares all 323 random-fold estimates with estimates grouped by TCGA tissue-source-site code; Panel B shows the six largest attenuations; Panel C shows the 10 strongest chance-normalised within-cancer code-classification results. Larger typography and restricted ranked panels improve readability. This grouping remains internal to TCGA; the code is not an institutional, scanner or laboratory identifier, and the analysis is not external validation.</w:t>
      </w:r>
    </w:p>
    <w:p>
      <w:pPr>
        <w:pStyle w:val="Heading2"/>
      </w:pPr>
      <w:r>
        <w:t>Multiple-slide sensitivity</w:t>
      </w:r>
    </w:p>
    <w:p>
      <w:r>
        <w:t>Replacing each deterministic patient mean with the lexicographically first eligible diagnostic slide produced a median first-slide-minus-mean-pool performance change of -0.001 across screen-positive models. This patient-level sensitivity is distinct from the analysis grouped by TCGA tissue-source-site code.</w:t>
      </w:r>
    </w:p>
    <w:p>
      <w:r>
        <w:t>Mean pooling limits numerical dominance by heavily sampled participants because each participant remains one validation observation, but it cannot rescue a patient whose eligible slides are uniformly non-representative of the molecularly profiled tumour. The 30-slide SARC example therefore motivates future independent pathology QC and tumour-area-aware aggregation rather than a claim that equal pooling solved tissue adequacy.</w:t>
      </w:r>
    </w:p>
    <w:p>
      <w:pPr>
        <w:pStyle w:val="Heading2"/>
      </w:pPr>
      <w:r>
        <w:t>Qualitative morphology context</w:t>
      </w:r>
    </w:p>
    <w:p>
      <w:r>
        <w:t>Five representative models were examined using high/low repeated out-of-fold anchors and their nearest within-cancer patient-level TITAN neighbours. The anchors were BLCA–TIL Regional Fraction: high TCGA-FD-A5BS, low TCGA-BL-A0C8; TGCT–Macrophages M2: high TCGA-YU-A94D, low TCGA-2G-AAF6; BRCA–Wound Healing: high TCGA-AR-A1AH, low TCGA-E9-A5UO; UCEC–Aneuploidy score: high TCGA-AJ-A23M, low TCGA-D1-A1NS; THYM–GTF2I: high TCGA-ZB-A96H, low TCGA-4V-A9QS. Exact slide identifiers, observed values, original prediction values, prediction ranks, embedding cosine similarities and generated-report excerpts are reported in Supplementary Table S14 and the machine-readable file; Figure S4 places all held-out patients behind the selected examples. The BLCA TIL Regional Fraction example is explicitly a same-H&amp;E-modality concordance control. The remaining examples provide descriptive embedding context only. No patch-level attribution or blinded pathologist interpretation was possible from the released global embeddings and automated reports.</w:t>
      </w:r>
    </w:p>
    <w:p>
      <w:r>
        <w:t>No non-TCGA patient entered model evaluation, and no external performance result is reported. The prespecified targets and protocol for future independent evaluation are provided in Supplementary Table S6c and the software documentation.</w:t>
      </w:r>
    </w:p>
    <w:p>
      <w:pPr>
        <w:pStyle w:val="Heading2"/>
      </w:pPr>
      <w:r>
        <w:t>Illustrative COAD profiles</w:t>
      </w:r>
    </w:p>
    <w:p>
      <w:r>
        <w:t>Two COAD participants, TCGA-AA-A01F and TCGA-AA-3972, illustrate contrasting continuous and binary profiles (Figure 7). The pair was chosen post hoc after clinical-text and profile-saturation restrictions and then maximising Euclidean separation across continuous TCGA OOF prediction ranks; the procedure intentionally enhances visual contrast. Nodal status was not matched: TCGA-AA-A01F was reported as pN1, whereas the available slide summary for TCGA-AA-3972 did not state a nodal category. The cases are not presented as a matched clinical comparison, and treatment, response, recurrence, follow-up and survival are neither shown nor interpreted. This is an illustration, not performance, prevalence, prognosis or treatment-response evidence.</w:t>
      </w:r>
    </w:p>
    <w:p>
      <w:pPr>
        <w:jc w:val="center"/>
      </w:pPr>
      <w:r>
        <w:drawing>
          <wp:inline xmlns:a="http://schemas.openxmlformats.org/drawingml/2006/main" xmlns:pic="http://schemas.openxmlformats.org/drawingml/2006/picture">
            <wp:extent cx="6126480" cy="5039524"/>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5039524"/>
                    </a:xfrm>
                    <a:prstGeom prst="rect"/>
                  </pic:spPr>
                </pic:pic>
              </a:graphicData>
            </a:graphic>
          </wp:inline>
        </w:drawing>
      </w:r>
    </w:p>
    <w:p>
      <w:pPr>
        <w:pStyle w:val="Caption"/>
        <w:jc w:val="center"/>
      </w:pPr>
      <w:r>
        <w:t>Figure 7. Post hoc TITANPred research-software visualization for two COAD participants. Panel A replaces separate radar plots with a common-scale dumbbell comparison of eight continuous TCGA OOF ranks; the right column preserves each original prediction. Panel B compares six binary PLS-LDA score ranks and calls with development class counts. Complete outputs remain in the separate case reports. All ranks are explicitly not probabilities. The pair was selected after clinical-text and saturation restrictions by maximising continuous-profile separation, intentionally enhancing contrast. Treatment and outcomes are not displayed. This is an interface illustration, not external validation or representative case sampling.</w:t>
      </w:r>
    </w:p>
    <w:p>
      <w:pPr>
        <w:pStyle w:val="Heading1"/>
      </w:pPr>
      <w:r>
        <w:t>Discussion</w:t>
      </w:r>
    </w:p>
    <w:p>
      <w:r>
        <w:t>This study is best interpreted as a systematic patient-level benchmark and reusable fitted-model resource, not as the first pan-cancer molecular-prediction study or a catalogue of unprecedented mutation targets. It answers a target-by-target, cancer-specific question using one fixed pretrained TITAN representation. Selected immune programmes, mutations and higher-level genomic phenotypes were predictable, but most eligible pairs did not satisfy both multiplicity and prespecified screening-statistic thresholds. That heterogeneity—and transparent negative and ineligible reporting—is the primary empirical result. The primary analysis controls local cancer-specific families; it does not attach one global 5% FDR interpretation to the aggregate 323 candidates. In sensitivity analyses, 219 continuous and 39 mutation pairs passed the across-cancer family correction, and 320/323 local candidates passed a single BH correction across all eligible atlas tests. These large counts partly reflect extensive ties at the 0.001 empirical-p floor: a zero-exceedance 999-permutation result still has a 95% Monte Carlo interval extending to 0.003686. The 9,999-permutation refinement sharpened precision for eight leading claims but does not resolve the entire atlas or justify ranking by q-value; outcome-appropriate predictive magnitude and stability remain the appropriate ordering criteria.</w:t>
      </w:r>
    </w:p>
    <w:p>
      <w:r>
        <w:t>The closest breadth comparator is Arslan et al., who already trained 12,093 target-specific models for 4,031 multi-omic biomarkers in 8,890 TCGA patients across the same 32 cancers [13]. The present study is smaller in endpoint breadth and lacks external validation. Its differentiating elements are the fixed pretrained representation, deterministic pre-outcome patient aggregation, nested patient-level validation, complete tested-negative and ineligible outputs, target-level sensitivity to grouping by TCGA tissue-source-site code, continuous modelling of selected immune and genomic-context measures, and distribution of compact fitted linear predictors. These distinctions—not breadth or endpoint novelty—motivate the study.</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expanded primary-study audit substantially changes the novelty interpretation. 38/41 screen-positive cancer–gene pairs had already received statistical support in reviewed histology-prediction studies, including pooled colorectal evidence mapped to both COAD and READ where appropriate. Examples include LGG–CIC (prior mean AUROC 0.836, current balanced accuracy 0.779), LGG–ATRX (prior mean AUROC 0.816), THCA–NRAS (0.809), LIHC–BAP1 (0.825), PAAD–TP53 (0.672) and KIRC–VHL (0.631) [13]. Prior studies generally reported AUROC, whereas the present primary metric is balanced accuracy; these values are contextual and are not estimates of improvement or inferiority.</w:t>
      </w:r>
    </w:p>
    <w:p>
      <w:r>
        <w:t>Two current screen-positive pairs had been evaluated but were not statistically supported in the reviewed 2024 study: BLCA–PIK3CA (prior mean AUROC 0.588, corrected p=0.058; current balanced accuracy 0.601) and SKCM–BRAF (prior mean AUROC 0.579, corrected p=0.286; current balanced accuracy 0.626). Only THYM–GTF2I was not identified in the reviewed predictive-model literature; a strong direct GTF2I–thymoma morphology association is already established, so this result is presented as a prediction candidate requiring independent validation rather than a claim of biological novelty. The OV–TP53 entry is supported by a 2025 preprint reporting AUROC 0.82±0.02 and is labelled as preliminary evidence rather than peer-reviewed external validation [34]. The GTF2I morphology association itself was reported by Wells et al. [35]. Supplementary Table S10a and the machine-readable audit give the evidence scope, prior metric, source and note for every screen-positive pair.</w:t>
      </w:r>
    </w:p>
    <w:p>
      <w:r>
        <w:t>External results also caution against equating internal discrimination with transportability. For PAAD–TP53, the current TCGA balanced accuracy was 0.619 and Arslan et al. reported mean internal AUROC 0.672, whereas Saldanha et al. reported internal AUROC 0.554 and external CPTAC AUROC 0.443±0.064 [11,13]. Differences can arise from cohort composition, slide preparation, mutation definition, model class and validation design. The present result therefore supports further locked external testing, not clinical application.</w:t>
      </w:r>
    </w:p>
    <w:p>
      <w:r>
        <w:t>The non-mutation endpoints extend the analysis beyond the exact cancer–gene pairs used for the literature crosswalk, but they must not be collapsed under the phrase 'immune measurements'. Direct sequence-supported alterations, sequencing-derived burdens, inferred immune-cell fractions, transcriptomic signatures, pathology-derived quantities and composite genomic-context scores have different error models and biological meanings. In particular, prediction of a CIBERSORT fraction or RNA signature is agreement with a computational phenotype derived from a bulk specimen; it is not equivalent to flow cytometry, immunohistochemistry, a direct cell count or a clinically certified biomarker. TIL Regional Fraction is an even more specific same-modality case because both predictor and target originate from H&amp;E. Its result is best interpreted as concordance between two image-derived summaries rather than molecular inference.</w:t>
      </w:r>
    </w:p>
    <w:p>
      <w:r>
        <w:t>For continuous outcomes, prior work predicted RNA expression [6], tumour composition [4], continuous HRD and microenvironment features [12], and externally evaluated tumour-microenvironment composition in non-small cell lung cancer [15]. The present study instead screens the prespecified Thorsson-derived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is therefore not that TITAN plus PLS is an optimal algorithmic combination. It is the uniform, auditable patient-level screen over prespecified outcomes using one fixed representation, complete negative reporting and compact fitted reference models. PLS1 and PLS–LDA remain the prespecified reference analysis, but the released PLS objects should not be interpreted as the best available models.</w:t>
      </w:r>
    </w:p>
    <w:p>
      <w:r>
        <w:t>The metadata-stratified benchmark directly weakens any stronger PLS claim. Selection depended only on outcome family, sample size, binary minority-class fraction and a fixed hash, not on PLS performance. Both algorithms used matched outer and inner folds; continuous hyperparameters maximised the same pooled inner Q² and binary thresholds maximised the same inner balanced accuracy. Median ridge-minus-PLS differences were 0.008 AUROC and 0.053 Q². Paired intervals favoured ridge for 8/35 binary and 10/12 continuous targets, PLS for none, and were otherwise uncertain. Portability cannot justify PLS over ridge because both yield compact exportable parameters. We did not replace the locked primary analysis or add post hoc method switching; instead, we report PLS as the prespecified reference and make clear that future model-resource development should compare locked PLS and ridge candidates in independent cohorts.</w:t>
      </w:r>
    </w:p>
    <w:p>
      <w:r>
        <w:t>PLS2 addresses a different question. Its mean cancer-level ΔQ² relative to response-by-response PLS1 was 0.066 for inferred cell fractions, 0.017 for infiltration signatures and 0.056 for immune-repertoire measures, supporting shared inflammatory structure. It remains secondary because each joint fit uses only the complete-case intersection for a coherent continuous response block, shares one latent representation across a fixed ordered panel and cannot replace individual mutation, pathway, MSI, aneuploidy or fusion classifiers. The positive internal averages therefore nominate PLS2 for a future locked multiresponse immune resource; they do not establish a generally preferable main model without external validation and a matched multiresponse baseline.</w:t>
      </w:r>
    </w:p>
    <w:p>
      <w:r>
        <w:t>The prespecified 20-per-class rule supported an inclusive atlas screen, but it was too permissive for presenting every selected binary model as equally mature. Only 87/104 screen-positive binary models met the stricter 50-per-class criterion. The 17 smaller-class models had sparse inner validation folds, frequently selected components across a wide range and showed lower median repeat score correlation than the ≥50-per-class group. Their learning curves showed no uniformly monotonic performance gain, illustrating that the available data cannot establish a stable sample-size plateau. We therefore retain them only as transparently reported exploratory results and exclude them from default inference. PR-AUC adds prevalence-aware discrimination information, whereas PPV and NPV are explicitly conditional on each analysed TCGA prevalence and should not be exported to another population. High call agreement under imbalance can be misleading and does not supersede score stability, sensitivity, PR-AUC or external validation.</w:t>
      </w:r>
    </w:p>
    <w:p>
      <w:r>
        <w:t>Sensitivity to grouping by TCGA tissue-source-site code is a central result rather than a generic robustness footnote. Grouping revealed heterogeneity that the median attenuation concealed: 83/323 screen-positive models (25.7%) fell below their original prespecified screening threshold. READ–APC and COAD–APC declined from balanced accuracies 0.862 and 0.793 to 0.495 and 0.543, respectively. Smaller and less balanced training folds contribute to grouped-validation loss, but performance close to chance requires these models to carry a prominent warning rather than be described as robust biological signals. The model registry and inference output therefore expose the grouped metric, delta, number of TCGA tissue-source-site codes, threshold-retention status and warning for every affected endpoint.</w:t>
      </w:r>
    </w:p>
    <w:p>
      <w:r>
        <w:t>The complementary classification analysis of TCGA tissue-source-site code analysis strengthens this interpretation: the fixed TITAN representation predicted the code within 27/32 evaluable cancers, with median macro balanced accuracy 0.628 despite cancer-specific chance references from 0.053 to 0.500. This demonstrates that information about the TCGA tissue-source-site code is present in the representation and could support confounding. It does not show that each attenuated molecular model is wholly artifactual, because the code correlates with case mix and molecular prevalence as well as technical acquisition. Conversely, successful grouping by TCGA tissue-source-site code cannot prove transportability: the barcode-derived code is not an institution, scanner, staining laboratory or batch identifier.</w:t>
      </w:r>
    </w:p>
    <w:p>
      <w:r>
        <w:t>A further practical feature is data-minimising model portability. Preprocessing values, latent weights and coefficients are sufficient for continuous prediction, with compact LDA parameters added for binary classification. The access-controlled TITANPred package applies cancer-matched models to correctly ordered TITAN features without requiring the original patient embeddings or outcomes [32]. Its current private status is stated explicitly; the manuscript makes no public-artifact availability claim. This design reduces the patient-level data that would need to be exchanged in authorised research, although it does not itself confer privacy, satisfy local governance requirements or establish transportability. The synthetic smoke-test vector supports routine interface testing without creating a patient narrative. The two main-text COAD examples remain explicitly post hoc and cannot provide new accuracy, prognosis or response-prediction evidence.</w:t>
      </w:r>
    </w:p>
    <w:p>
      <w:r>
        <w:t>Strengths include primary-tumour matching across every data source, deterministic mean pooling of multiple slides, nested patient-level validation, FDR control within cancer and endpoint family, exact negative-result reporting, sensitivity analysis grouped by TCGA tissue-source-site code,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resampling—including the analysis termed 'internal validation grouped by TCGA tissue-source-site code'—cannot establish transportability to another institution, scanner, stain distribution or patient population. The TCGA tissue-source-site code is not an institution, scanner or laboratory identifier.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estimates cannot justify omitting a molecular assay. The three-model UCEC subset is locked only for future independent evaluation. Until that untouched analysis reports every target, the work should be evaluated as a computational pathology benchmark and research-software resource rather than a translational prediction study.</w:t>
      </w:r>
    </w:p>
    <w:p>
      <w:r>
        <w:t>CPTAC-UCEC illustrates both feasibility and the remaining work: the official collection provides pathology images and links to molecular data, but the approximately 154-GB slide archive requires de novo TITAN extraction and exact outcome harmonisation [36]. Neither the slides nor external labels were inspected here. The locked protocol prohibits model refitting, recalibration and threshold changes; mandates the same patient-level pooling; and requires failure or non-evaluability to be reported. This protocol improves readiness and guards against post hoc target selection, but it is not external validation evidence.</w:t>
      </w:r>
    </w:p>
    <w:p>
      <w:r>
        <w:t>The reported uncertainty is deliberately labelled a 95% selection-conditioned patient-resampling interval for repeated out-of-fold predictions. It represents patient sampling variability conditional on the five fitted nested-CV prediction sets and incorporates the five repeat-specific metrics into each bootstrap calculation. It does not repeat the initial screen or highlighting decision, generate new fold partitions, re-estimate scaling, reselect components, refit a model, correct winner's-curse optimism, or sample a new institution, scanner, staining process or population. It is therefore not a conventional confidence interval for model generalisation or an external-performance interval; locked-model evaluation in an untouched cohort is required for transportability assessment.</w:t>
      </w:r>
    </w:p>
    <w:p>
      <w:r>
        <w:t>Arithmetic mean pooling gives each eligible slide equal within-patient weight and prevents multiple-slide leakage, but it does not model tumour content, variable tissue area, artefact, specimen procedure, slide quality or within-patient morphological heterogeneity. No structured fields for those quantities were available, and no independent pathology review was performed. The maximum-slide participant (TCGA-DX-AB2L, SARC) is particularly cautionary: all 30 generated narratives described no residual sarcoma/myxofibrosarcoma, although those same-image automated narratives cannot serve as adjudicated ground truth. The first-slide sensitivity measures dependence on one deterministic alternative and should not be interpreted as a comparison with pathology-screened, learned or tissue-area-weighted aggregation.</w:t>
      </w:r>
    </w:p>
    <w:p>
      <w:r>
        <w:t>The 768-dimensional TITAN representation is not morphologically self-explanatory. The new high/low anchor and within-cancer nearest-neighbour analysis places representative predictions in the context of globally similar patient embeddings and preserves exact slide/report provenance, but it cannot determine which patch or tissue compartment drove a prediction. The available TCGA-Slide-Reports text was generated by TITAN from the same slides and is neither an independent annotation nor a blinded pathologist review. Consequently, descriptive terms such as lymphoid infiltrate, stromal pattern or necrosis are hypotheses for future review, not validated mechanisms. Tile-level representations or relevance maps retained prospectively, followed by blinded pathologist assessment, are required before morphological explanations can be claimed.</w:t>
      </w:r>
    </w:p>
    <w:p>
      <w:r>
        <w:t>The post hoc subgroup audit partially addresses demographic performance but does not establish algorithmic fairness. Among high-volume models, both recorded-sex groups were estimable for 138 continuous and 56 binary targets, whereas at least two broad race groups were estimable for only 98 continuous and 32 binary targets. Sparse Black or African American, Asian and other recorded-race groups—and, for binary endpoints, sparse positive or negative classes within those groups—were the dominant barriers. Race categories are heterogeneous administrative labels and are not substitutes for ancestry, socioeconomic context or exposure. The estimates condition on the same selected TCGA models and held-out predictions, have no external validation, and were not accompanied by formal between-group tests or multiplicity correction. Apparent similarity therefore cannot be interpreted as demographic equivalence, and apparent differences may reflect sampling error, outcome prevalence, missingness or structure associated with TCGA tissue-source-site code. Any external evaluation should prespecify representative sampling, intersectional subgroups, calibration and failure analysis.</w:t>
      </w:r>
    </w:p>
    <w:p>
      <w:pPr>
        <w:pStyle w:val="Heading1"/>
      </w:pPr>
      <w:r>
        <w:t>Conclusions</w:t>
      </w:r>
    </w:p>
    <w:p>
      <w:r>
        <w:t>Using mean-pooled fixed pretrained TITAN representations, this study provides a systematic patient-level TCGA benchmark of direct genomic alterations and derived immune, genomic-context, MSI, aneuploidy and fusion phenotypes. The access-controlled TITANPred package demonstrates how fitted PLS and PLS–LDA objects can be applied without distributing patient-level training data. Its default interface includes all 219 continuous models and the 87 binary models meeting at least 50 patients per class; 17 smaller-class binary models require explicit exploratory opt-in. All reported performance and example outputs are internally derived TCGA estimates. Prediction of a computationally inferred target is not evidence that a direct assay has been reproduced, and the qualitative neighbour examples are not patch-level explanation. The contribution is a transparent computational pathology benchmark and research-software framework—not broad endpoint novelty, external performance evidence or clinical validation—and locked independent testing remains essential.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gated public TITAN TCGA feature artifact TCGA_TITAN_features.pkl, downloaded from https://huggingface.co/MahmoodLab/TITAN/blob/main/TCGA_TITAN_features.pkl and converted to the documented 768-feature CSV schema with tools/convert_tcga_titan_pickle.py in the companion repository [30]. The analysed CSV contained 11,658 slide rows (SHA-256 d3d91fb0f83a6de440eda5ff437a63e3ca13f50095e6841fb8efcc40e58763f0). TCGA molecular data and the cited public supplementary records remain available from their original repositories. Exact source locations, access conditions and checksums are recorded in the companion repository. Controlled-access whole-slide images are not redistributed. The model registry, hashes, inference example and future external-evaluation protocol are in the public analysis repository. The separate TITANPred package and 323 fitted research objects are currently maintained in a private access-controlled repository [32]; this manuscript does not claim that those artifacts are publicly downloadable.</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S1–S14, Figures S1–S4 and an inventory of the companion machine-readable result files.</w:t>
      </w:r>
    </w:p>
    <w:p>
      <w:r>
        <w:t>Additional file 2 (.pdf): COAD example A (TCGA-AA-A01F) TITANPred research-software output. Post hoc supplementary interface illustration containing internally derived full-cohort TCGA estimates; not probability-calibrated or externally validated.</w:t>
      </w:r>
    </w:p>
    <w:p>
      <w:r>
        <w:t>Additional file 3 (.pdf): COAD example B (TCGA-AA-3972) TITANPred research-software output. Post hoc supplementary interface illustration containing internally derived full-cohort TCGA estimates; not probability-calibrated or externally validated.</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patient-level benchmark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p>
      <w:r>
        <w:t>33. National Cancer Institute. Genomic Data Commons Cases API. https://api.gdc.cancer.gov/cases. Accessed 16 Aug 2026.</w:t>
      </w:r>
    </w:p>
    <w:p>
      <w:r>
        <w:t>34. Fernandes G. Morpho-genomic deep learning for ovarian cancer subtype and gene mutation prediction from histopathology. arXiv. 2025;arXiv:2511.03365. doi:10.48550/arXiv.2511.03365.</w:t>
      </w:r>
    </w:p>
    <w:p>
      <w:r>
        <w:t>35. Wells K, Lamrca A, Papaxoinis G, et al. Unique correlation between GTF2I mutation and spindle cell morphology in thymomas (type A and AB thymomas). J Clin Pathol. 2023;76:463–466. doi:10.1136/jclinpath-2021-207837.</w:t>
      </w:r>
    </w:p>
    <w:p>
      <w:r>
        <w:t>36. National Cancer Institute Clinical Proteomic Tumor Analysis Consortium. CPTAC-UCEC: The Clinical Proteomic Tumor Analysis Consortium Uterine Corpus Endometrial Carcinoma Collection. The Cancer Imaging Archive. doi:10.7937/K9/TCIA.2018.3R3JUISW. Accessed 24 Aug 2026.</w:t>
      </w:r>
    </w:p>
    <w:p>
      <w:r>
        <w:t>37. Newman AM, et al. Robust enumeration of cell subsets from tissue expression profiles. Nat Methods. 2015;12:453–457. doi:10.1038/nmeth.3337.</w:t>
      </w:r>
    </w:p>
    <w:p>
      <w:r>
        <w:t>38. Saltz J, et al. Spatial organization and molecular correlation of tumor-infiltrating lymphocytes using deep learning on pathology images. Cell Rep. 2018;23:181–193.e7. doi:10.1016/j.celrep.2018.03.086.</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TITAN patient-level benchmark and model resource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