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sensitivity to grouping by TCGA tissue-source-site code,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results grouped by TCGA tissue-source-site code; the largest target-level attenuations, including READ–APC (balanced accuracy 0.862 to 0.495) and COAD–APC (0.793 to 0.543); and the new within-cancer prediction analysis of TCGA tissue-source-site code. Complete highlighted-model grouped metrics and warning status are in Supplementary Table S6a rather than an oversized main-text table. The public analysis registry and access-controlled TITANPred registry contain the grouped metric, delta, number of TCGA tissue-source-site codes, threshold-retention flag, near-chance flag, validation scope and warning for all 323 models; inference outputs and reports display these fields and prominently warn about models sensitive to grouping by TCGA tissue-source-site code. We report that 83/323 models (25.7%) fell below the original threshold: 58/219 continuous and 25/104 binary. The fold audit provides all 1,613 outer-fold compositions with test/training patients, TCGA tissue-source-site codes, positive and negative cases, code identifiers and seeds; selected APC folds appear in Table S10c. We confirmed from both the implementation and deterministic fold reconstruction that the constraint on TCGA tissue-source-site code was passed to inner component selection as well as outer evaluation, with no code overlap. In the new five-repeat nested PLS–LDA analysis, TITAN predicted TCGA tissue-source-site code in 27/32 evaluable cancers; median multiclass macro balanced accuracy was 0.628. We consistently call the endpoint sensitivity 'internal validation grouped by TCGA tissue-source-site code' and state that the barcode-derived code is not an institution, scanner or laboratory identifier; neither retained performance nor code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stability and stability under grouping by TCGA tissue-source-site code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external-institution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sensitivity to grouping by TCGA tissue-source-site code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Supplementary Table S6c, docs/EXTERNAL_VALIDATION_PROTOCOL.md and data/reference/external_validation_locked_targets.csv rather than the main Results.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Validation grouped by TCGA tissue-source-site code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validation grouped by TCGA tissue-source-site code,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After further streamlining, the locked-target implementation table was moved to Supplementary Table S6c; the main manuscript now contains only Table 1 (analysis coverage).</w:t>
      </w:r>
    </w:p>
    <w:p>
      <w:pPr>
        <w:pStyle w:val="Heading1"/>
      </w:pPr>
      <w:r>
        <w:t>Report precision–recall metrics</w:t>
      </w:r>
    </w:p>
    <w:p>
      <w:r>
        <w:t>Agreed. PR-AUC is calculated as non-interpolated average precision from held-out continuous LDA scores in each repeated nested-CV run, and its no-skill reference is explicitly defined as the observed endpoint prevalence. The Abstract now reports PR-AUC for the highlighted binary model. The main Results summarize all 104 screen-positive binary models and show the prevalence-dependent contrast directly: the 13 mutation or fusion endpoints below 20% prevalence had median prevalence 0.091, median PR-AUC 0.360 and median AUROC 0.790. Endpoint-level PR-AUC, repeat variability, prevalence and class counts remain in Supplementary Tables S6a, S7 and S10g, the model registry and TITANPred output.</w:t>
      </w:r>
    </w:p>
    <w:p>
      <w:pPr>
        <w:pStyle w:val="Heading1"/>
      </w:pPr>
      <w:r>
        <w:t>Figure readability</w:t>
      </w:r>
    </w:p>
    <w:p>
      <w:r>
        <w:t>Agreed. Figures 2 and 3 now show the 12 strongest models rather than 30, with substantially larger fonts and points, minimal encodings and links to complete supplementary results. Figure 5 is restricted to the 15 cancers with the largest candidate counts and uses larger axis and legend typography. Figure 6 retains all 323 models only in the overview, limits the attenuation panel to six endpoints and the TCGA tissue-source-site code panel to 10 results, and enlarges all typography. Figure 7 no longer uses radar plots: its continuous panel is a shared-axis dumbbell comparison of eight endpoints with original predictions in a separate value column, and its binary panel is restricted to six endpoints. Complete case outputs remain in the two separate reports. Exact sample IDs and all non-probability and internal-validation warnings are retained.</w:t>
      </w:r>
    </w:p>
    <w:p>
      <w:pPr>
        <w:pStyle w:val="Heading1"/>
      </w:pPr>
      <w:r>
        <w:t>Move implementation detail out of the main Results</w:t>
      </w:r>
    </w:p>
    <w:p>
      <w:r>
        <w:t>Agreed. The TITANPred inventory, input schema, pooling behaviour, score-rank construction, checksums, class counts, reliability warnings, report-generation behaviour, synthetic smoke test, locked-target details and artifact metadata have been removed from the main Results. These materials remain in Supplementary Methods, Tables S6b–S6c and S13, the machine-readable registries and package documentation. The implementation-oriented 'External-validation readiness audit' subsection and the software-construction paragraph have been deleted. The main Results now contain one sentence stating the absence of external validation and a short 'Illustrative COAD profiles' section limited to the case-selection caveat and biological interpretation of Figure 7.</w:t>
      </w:r>
    </w:p>
    <w:p>
      <w:pPr>
        <w:pStyle w:val="Heading1"/>
      </w:pPr>
      <w:r>
        <w:t>Clarify the site variable</w:t>
      </w:r>
    </w:p>
    <w:p>
      <w:r>
        <w:t>Agreed. We now use 'TCGA tissue-source-site code' whenever referring to the two-character barcode field. Analyses are described as 'internal validation grouped by TCGA tissue-source-site code' and 'within-cancer classification of TCGA tissue-source-site code'; fold counts are counts of codes rather than sites. The Abstract, Methods, Results, Discussion, Figure 6 caption, Supplementary Tables S6a and S10b–S10d, reviewer report and response have been standardised. We state explicitly that this barcode-derived code is not an institution, scanner, laboratory or staining-batch identifier and that grouping by it is not external validation. Uses of 'site' with a different biological meaning, such as splice site or resection site, were retained.</w:t>
      </w:r>
    </w:p>
    <w:p>
      <w:pPr>
        <w:pStyle w:val="Heading1"/>
      </w:pPr>
      <w:r>
        <w:t>Additional change: TRIPOD+AI and fairness reporting</w:t>
      </w:r>
    </w:p>
    <w:p>
      <w:r>
        <w:t>Supplementary Table S12 maps every TRIPOD+AI item to the manuscript or repository. We now add a denominator-first post hoc subgroup audit using the fixed five-repeat held-out predictions. A high-volume model required at least 200 outcome-labelled patients; continuous subgroup metrics required at least 50 patients, and binary metrics required at least 20 positive and 20 negative patients. Both recorded-sex groups were estimable in 138 continuous and 56 binary models; at least two broad race groups were estimable in 98 continuous and 32 binary models. Supplementary Table S2b gives exact counts for highlighted models, while subgroup_performance_audit.csv reports exact counts, metrics or the specific non-estimability reason for every screen-positive model–subgroup row. The manuscript states that these post hoc internal estimates are not formal fairness validation and do not establish demographic equivalence.</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p>
      <w:pPr>
        <w:pStyle w:val="Heading1"/>
      </w:pPr>
      <w:r>
        <w:t>Pathology quality control</w:t>
      </w:r>
    </w:p>
    <w:p>
      <w:r>
        <w:t>Agreed and addressed with a structured-field audit and explicit limitation. Neither the TITAN feature table nor TCGA-Slide-Reports.csv supplied structured tumour content/cellularity, tissue area, artefact, biopsy-versus-resection status or slide/image-quality measurements. The field site_of_resection_or_biopsy is an anatomical-site variable and is no longer described as a specimen-procedure indicator. These quantities were therefore not used for exclusion or weighting. Generated narrative text was audited only as unvalidated same-image context: among 10,106 matched reports, tumour-content, tissue-area, artefact and explicit slide-quality phrases appeared in 16, 9, 2 and 0 slides, respectively. Mean pooling assigns each slide weight 1/n within a participant, after which every participant contributes one validation row; thus the 30-slide participant does not have 30-fold downstream weight. However, all 30 generated narratives for that participant, TCGA-DX-AB2L (SARC), mentioned no residual sarcoma/myxofibrosarcoma. We now highlight this as a clinically important inadequacy of barcode-only eligibility, not as an independently adjudicated exclusion. Methods, Results, Discussion, Supplementary Table S3b and four machine-readable pathology-QC files report the issue. The existing first-slide analysis remains a pooling-rule sensitivity, not a substitute for independent pathology review or tumour-area-aware aggregation.</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