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S2b. Sex- and broad race-stratified performance denominators</w:t>
      </w:r>
    </w:p>
    <w:p>
      <w:r>
        <w:t>The complete machine-readable subgroup_performance_audit.csv reports all 323 screen-positive models and every subgroup-specific metric or reason for non-estimability. This concise table gives exact counts for highlighted models. Recorded sex is derived from the TCGA CDR gender field. Binary counts are shown as n (positive/negative); continuous counts are n. Performance was estimated only for high-volume models (n≥200) with ≥50 patients per continuous subgroup or ≥20 positive and ≥20 negative patients per binary subgroup. These post hoc estimates reuse fixed held-out predictions and are not fairness validation.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w:t>
            </w:r>
          </w:p>
        </w:tc>
        <w:tc>
          <w:tcPr>
            <w:tcW w:type="dxa" w:w="1392"/>
          </w:tcPr>
          <w:p>
            <w:r>
              <w:rPr>
                <w:b/>
                <w:sz w:val="17"/>
              </w:rPr>
              <w:t>Endpoint</w:t>
            </w:r>
          </w:p>
        </w:tc>
        <w:tc>
          <w:tcPr>
            <w:tcW w:type="dxa" w:w="1392"/>
          </w:tcPr>
          <w:p>
            <w:r>
              <w:rPr>
                <w:b/>
                <w:sz w:val="17"/>
              </w:rPr>
              <w:t>n</w:t>
            </w:r>
          </w:p>
        </w:tc>
        <w:tc>
          <w:tcPr>
            <w:tcW w:type="dxa" w:w="1392"/>
          </w:tcPr>
          <w:p>
            <w:r>
              <w:rPr>
                <w:b/>
                <w:sz w:val="17"/>
              </w:rPr>
              <w:t>Sex F/M/missing</w:t>
            </w:r>
          </w:p>
        </w:tc>
        <w:tc>
          <w:tcPr>
            <w:tcW w:type="dxa" w:w="1392"/>
          </w:tcPr>
          <w:p>
            <w:r>
              <w:rPr>
                <w:b/>
                <w:sz w:val="17"/>
              </w:rPr>
              <w:t>Race W/B/A/O/missing</w:t>
            </w:r>
          </w:p>
        </w:tc>
        <w:tc>
          <w:tcPr>
            <w:tcW w:type="dxa" w:w="1392"/>
          </w:tcPr>
          <w:p>
            <w:r>
              <w:rPr>
                <w:b/>
                <w:sz w:val="17"/>
              </w:rPr>
              <w:t>Subgroups with performance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APC [driver mutation]</w:t>
            </w:r>
          </w:p>
        </w:tc>
        <w:tc>
          <w:tcPr>
            <w:tcW w:type="dxa" w:w="1392"/>
            <w:vAlign w:val="center"/>
          </w:tcPr>
          <w:p>
            <w:r>
              <w:rPr>
                <w:sz w:val="16"/>
              </w:rPr>
              <w:t>382</w:t>
            </w:r>
          </w:p>
        </w:tc>
        <w:tc>
          <w:tcPr>
            <w:tcW w:type="dxa" w:w="1392"/>
            <w:vAlign w:val="center"/>
          </w:tcPr>
          <w:p>
            <w:r>
              <w:rPr>
                <w:sz w:val="16"/>
              </w:rPr>
              <w:t>190 (95/95)/192 (101/91)/0</w:t>
            </w:r>
          </w:p>
        </w:tc>
        <w:tc>
          <w:tcPr>
            <w:tcW w:type="dxa" w:w="1392"/>
            <w:vAlign w:val="center"/>
          </w:tcPr>
          <w:p>
            <w:r>
              <w:rPr>
                <w:sz w:val="16"/>
              </w:rPr>
              <w:t>198 (143/55)/54 (42/12)/11 (6/5)/1 (0/1)/118 (5/113)</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TP53 [driver mutation]</w:t>
            </w:r>
          </w:p>
        </w:tc>
        <w:tc>
          <w:tcPr>
            <w:tcW w:type="dxa" w:w="1392"/>
            <w:vAlign w:val="center"/>
          </w:tcPr>
          <w:p>
            <w:r>
              <w:rPr>
                <w:sz w:val="16"/>
              </w:rPr>
              <w:t>382</w:t>
            </w:r>
          </w:p>
        </w:tc>
        <w:tc>
          <w:tcPr>
            <w:tcW w:type="dxa" w:w="1392"/>
            <w:vAlign w:val="center"/>
          </w:tcPr>
          <w:p>
            <w:r>
              <w:rPr>
                <w:sz w:val="16"/>
              </w:rPr>
              <w:t>190 (74/116)/192 (87/105)/0</w:t>
            </w:r>
          </w:p>
        </w:tc>
        <w:tc>
          <w:tcPr>
            <w:tcW w:type="dxa" w:w="1392"/>
            <w:vAlign w:val="center"/>
          </w:tcPr>
          <w:p>
            <w:r>
              <w:rPr>
                <w:sz w:val="16"/>
              </w:rPr>
              <w:t>198 (121/77)/54 (35/19)/11 (4/7)/1 (0/1)/118 (1/117)</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IDH1 [driver mutation]</w:t>
            </w:r>
          </w:p>
        </w:tc>
        <w:tc>
          <w:tcPr>
            <w:tcW w:type="dxa" w:w="1392"/>
            <w:vAlign w:val="center"/>
          </w:tcPr>
          <w:p>
            <w:r>
              <w:rPr>
                <w:sz w:val="16"/>
              </w:rPr>
              <w:t>485</w:t>
            </w:r>
          </w:p>
        </w:tc>
        <w:tc>
          <w:tcPr>
            <w:tcW w:type="dxa" w:w="1392"/>
            <w:vAlign w:val="center"/>
          </w:tcPr>
          <w:p>
            <w:r>
              <w:rPr>
                <w:sz w:val="16"/>
              </w:rPr>
              <w:t>216 (166/50)/269 (209/60)/0</w:t>
            </w:r>
          </w:p>
        </w:tc>
        <w:tc>
          <w:tcPr>
            <w:tcW w:type="dxa" w:w="1392"/>
            <w:vAlign w:val="center"/>
          </w:tcPr>
          <w:p>
            <w:r>
              <w:rPr>
                <w:sz w:val="16"/>
              </w:rPr>
              <w:t>447 (350/97)/20 (12/8)/7 (5/2)/1 (0/1)/10 (8/2)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[driver mutation]</w:t>
            </w:r>
          </w:p>
        </w:tc>
        <w:tc>
          <w:tcPr>
            <w:tcW w:type="dxa" w:w="1392"/>
            <w:vAlign w:val="center"/>
          </w:tcPr>
          <w:p>
            <w:r>
              <w:rPr>
                <w:sz w:val="16"/>
              </w:rPr>
              <w:t>485</w:t>
            </w:r>
          </w:p>
        </w:tc>
        <w:tc>
          <w:tcPr>
            <w:tcW w:type="dxa" w:w="1392"/>
            <w:vAlign w:val="center"/>
          </w:tcPr>
          <w:p>
            <w:r>
              <w:rPr>
                <w:sz w:val="16"/>
              </w:rPr>
              <w:t>216 (98/118)/269 (134/135)/0</w:t>
            </w:r>
          </w:p>
        </w:tc>
        <w:tc>
          <w:tcPr>
            <w:tcW w:type="dxa" w:w="1392"/>
            <w:vAlign w:val="center"/>
          </w:tcPr>
          <w:p>
            <w:r>
              <w:rPr>
                <w:sz w:val="16"/>
              </w:rPr>
              <w:t>447 (222/225)/20 (7/13)/7 (1/6)/1 (0/1)/10 (2/8)</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APC [driver mutation]</w:t>
            </w:r>
          </w:p>
        </w:tc>
        <w:tc>
          <w:tcPr>
            <w:tcW w:type="dxa" w:w="1392"/>
            <w:vAlign w:val="center"/>
          </w:tcPr>
          <w:p>
            <w:r>
              <w:rPr>
                <w:sz w:val="16"/>
              </w:rPr>
              <w:t>135</w:t>
            </w:r>
          </w:p>
        </w:tc>
        <w:tc>
          <w:tcPr>
            <w:tcW w:type="dxa" w:w="1392"/>
            <w:vAlign w:val="center"/>
          </w:tcPr>
          <w:p>
            <w:r>
              <w:rPr>
                <w:sz w:val="16"/>
              </w:rPr>
              <w:t>62 (30/32)/73 (35/38)/0</w:t>
            </w:r>
          </w:p>
        </w:tc>
        <w:tc>
          <w:tcPr>
            <w:tcW w:type="dxa" w:w="1392"/>
            <w:vAlign w:val="center"/>
          </w:tcPr>
          <w:p>
            <w:r>
              <w:rPr>
                <w:sz w:val="16"/>
              </w:rPr>
              <w:t>73 (58/15)/6 (5/1)/1 (0/1)/0/55 (2/53)</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TP53 [driver mutation]</w:t>
            </w:r>
          </w:p>
        </w:tc>
        <w:tc>
          <w:tcPr>
            <w:tcW w:type="dxa" w:w="1392"/>
            <w:vAlign w:val="center"/>
          </w:tcPr>
          <w:p>
            <w:r>
              <w:rPr>
                <w:sz w:val="16"/>
              </w:rPr>
              <w:t>135</w:t>
            </w:r>
          </w:p>
        </w:tc>
        <w:tc>
          <w:tcPr>
            <w:tcW w:type="dxa" w:w="1392"/>
            <w:vAlign w:val="center"/>
          </w:tcPr>
          <w:p>
            <w:r>
              <w:rPr>
                <w:sz w:val="16"/>
              </w:rPr>
              <w:t>62 (30/32)/73 (36/37)/0</w:t>
            </w:r>
          </w:p>
        </w:tc>
        <w:tc>
          <w:tcPr>
            <w:tcW w:type="dxa" w:w="1392"/>
            <w:vAlign w:val="center"/>
          </w:tcPr>
          <w:p>
            <w:r>
              <w:rPr>
                <w:sz w:val="16"/>
              </w:rPr>
              <w:t>73 (57/16)/6 (5/1)/1 (1/0)/0/55 (3/52)</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THCA</w:t>
            </w:r>
          </w:p>
        </w:tc>
        <w:tc>
          <w:tcPr>
            <w:tcW w:type="dxa" w:w="1392"/>
            <w:vAlign w:val="center"/>
          </w:tcPr>
          <w:p>
            <w:r>
              <w:rPr>
                <w:sz w:val="16"/>
              </w:rPr>
              <w:t>BRAF [driver mutation]</w:t>
            </w:r>
          </w:p>
        </w:tc>
        <w:tc>
          <w:tcPr>
            <w:tcW w:type="dxa" w:w="1392"/>
            <w:vAlign w:val="center"/>
          </w:tcPr>
          <w:p>
            <w:r>
              <w:rPr>
                <w:sz w:val="16"/>
              </w:rPr>
              <w:t>490</w:t>
            </w:r>
          </w:p>
        </w:tc>
        <w:tc>
          <w:tcPr>
            <w:tcW w:type="dxa" w:w="1392"/>
            <w:vAlign w:val="center"/>
          </w:tcPr>
          <w:p>
            <w:r>
              <w:rPr>
                <w:sz w:val="16"/>
              </w:rPr>
              <w:t>361 (212/149)/129 (77/52)/0</w:t>
            </w:r>
          </w:p>
        </w:tc>
        <w:tc>
          <w:tcPr>
            <w:tcW w:type="dxa" w:w="1392"/>
            <w:vAlign w:val="center"/>
          </w:tcPr>
          <w:p>
            <w:r>
              <w:rPr>
                <w:sz w:val="16"/>
              </w:rPr>
              <w:t>320 (204/116)/26 (15/11)/51 (31/20)/1 (1/0)/92 (38/54)</w:t>
            </w:r>
          </w:p>
        </w:tc>
        <w:tc>
          <w:tcPr>
            <w:tcW w:type="dxa" w:w="1392"/>
            <w:vAlign w:val="center"/>
          </w:tcPr>
          <w:p>
            <w:r>
              <w:rPr>
                <w:sz w:val="16"/>
              </w:rPr>
              <w:t>Asian, White, FEMALE, MALE</w:t>
            </w:r>
          </w:p>
        </w:tc>
      </w:tr>
      <w:tr>
        <w:trPr>
          <w:cantSplit/>
        </w:trPr>
        <w:tc>
          <w:tcPr>
            <w:tcW w:type="dxa" w:w="1392"/>
            <w:vAlign w:val="center"/>
          </w:tcPr>
          <w:p>
            <w:r>
              <w:rPr>
                <w:sz w:val="16"/>
              </w:rPr>
              <w:t>binary</w:t>
            </w:r>
          </w:p>
        </w:tc>
        <w:tc>
          <w:tcPr>
            <w:tcW w:type="dxa" w:w="1392"/>
            <w:vAlign w:val="center"/>
          </w:tcPr>
          <w:p>
            <w:r>
              <w:rPr>
                <w:sz w:val="16"/>
              </w:rPr>
              <w:t>THYM</w:t>
            </w:r>
          </w:p>
        </w:tc>
        <w:tc>
          <w:tcPr>
            <w:tcW w:type="dxa" w:w="1392"/>
            <w:vAlign w:val="center"/>
          </w:tcPr>
          <w:p>
            <w:r>
              <w:rPr>
                <w:sz w:val="16"/>
              </w:rPr>
              <w:t>GTF2I [driver mutation]</w:t>
            </w:r>
          </w:p>
        </w:tc>
        <w:tc>
          <w:tcPr>
            <w:tcW w:type="dxa" w:w="1392"/>
            <w:vAlign w:val="center"/>
          </w:tcPr>
          <w:p>
            <w:r>
              <w:rPr>
                <w:sz w:val="16"/>
              </w:rPr>
              <w:t>120</w:t>
            </w:r>
          </w:p>
        </w:tc>
        <w:tc>
          <w:tcPr>
            <w:tcW w:type="dxa" w:w="1392"/>
            <w:vAlign w:val="center"/>
          </w:tcPr>
          <w:p>
            <w:r>
              <w:rPr>
                <w:sz w:val="16"/>
              </w:rPr>
              <w:t>59 (28/31)/61 (31/30)/0</w:t>
            </w:r>
          </w:p>
        </w:tc>
        <w:tc>
          <w:tcPr>
            <w:tcW w:type="dxa" w:w="1392"/>
            <w:vAlign w:val="center"/>
          </w:tcPr>
          <w:p>
            <w:r>
              <w:rPr>
                <w:sz w:val="16"/>
              </w:rPr>
              <w:t>99 (48/51)/6 (3/3)/13 (7/6)/0/2 (1/1)</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UCEC</w:t>
            </w:r>
          </w:p>
        </w:tc>
        <w:tc>
          <w:tcPr>
            <w:tcW w:type="dxa" w:w="1392"/>
            <w:vAlign w:val="center"/>
          </w:tcPr>
          <w:p>
            <w:r>
              <w:rPr>
                <w:sz w:val="16"/>
              </w:rPr>
              <w:t>Any called fusion [fusion]</w:t>
            </w:r>
          </w:p>
        </w:tc>
        <w:tc>
          <w:tcPr>
            <w:tcW w:type="dxa" w:w="1392"/>
            <w:vAlign w:val="center"/>
          </w:tcPr>
          <w:p>
            <w:r>
              <w:rPr>
                <w:sz w:val="16"/>
              </w:rPr>
              <w:t>153</w:t>
            </w:r>
          </w:p>
        </w:tc>
        <w:tc>
          <w:tcPr>
            <w:tcW w:type="dxa" w:w="1392"/>
            <w:vAlign w:val="center"/>
          </w:tcPr>
          <w:p>
            <w:r>
              <w:rPr>
                <w:sz w:val="16"/>
              </w:rPr>
              <w:t>153 (80/73)/0/0</w:t>
            </w:r>
          </w:p>
        </w:tc>
        <w:tc>
          <w:tcPr>
            <w:tcW w:type="dxa" w:w="1392"/>
            <w:vAlign w:val="center"/>
          </w:tcPr>
          <w:p>
            <w:r>
              <w:rPr>
                <w:sz w:val="16"/>
              </w:rPr>
              <w:t>69 (39/30)/62 (32/30)/1 (0/1)/3 (1/2)/18 (8/10)</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MSI-H strict (MANTIS &gt;0.6) [microsatellite instability sensitivity]</w:t>
            </w:r>
          </w:p>
        </w:tc>
        <w:tc>
          <w:tcPr>
            <w:tcW w:type="dxa" w:w="1392"/>
            <w:vAlign w:val="center"/>
          </w:tcPr>
          <w:p>
            <w:r>
              <w:rPr>
                <w:sz w:val="16"/>
              </w:rPr>
              <w:t>374</w:t>
            </w:r>
          </w:p>
        </w:tc>
        <w:tc>
          <w:tcPr>
            <w:tcW w:type="dxa" w:w="1392"/>
            <w:vAlign w:val="center"/>
          </w:tcPr>
          <w:p>
            <w:r>
              <w:rPr>
                <w:sz w:val="16"/>
              </w:rPr>
              <w:t>186 (36/150)/187 (21/166)/1 (0/1)</w:t>
            </w:r>
          </w:p>
        </w:tc>
        <w:tc>
          <w:tcPr>
            <w:tcW w:type="dxa" w:w="1392"/>
            <w:vAlign w:val="center"/>
          </w:tcPr>
          <w:p>
            <w:r>
              <w:rPr>
                <w:sz w:val="16"/>
              </w:rPr>
              <w:t>188 (33/155)/53 (7/46)/11 (1/10)/1 (0/1)/121 (16/105)</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HIPPO [oncogenic pathway]</w:t>
            </w:r>
          </w:p>
        </w:tc>
        <w:tc>
          <w:tcPr>
            <w:tcW w:type="dxa" w:w="1392"/>
            <w:vAlign w:val="center"/>
          </w:tcPr>
          <w:p>
            <w:r>
              <w:rPr>
                <w:sz w:val="16"/>
              </w:rPr>
              <w:t>481</w:t>
            </w:r>
          </w:p>
        </w:tc>
        <w:tc>
          <w:tcPr>
            <w:tcW w:type="dxa" w:w="1392"/>
            <w:vAlign w:val="center"/>
          </w:tcPr>
          <w:p>
            <w:r>
              <w:rPr>
                <w:sz w:val="16"/>
              </w:rPr>
              <w:t>212 (167/45)/268 (211/57)/1 (1/0)</w:t>
            </w:r>
          </w:p>
        </w:tc>
        <w:tc>
          <w:tcPr>
            <w:tcW w:type="dxa" w:w="1392"/>
            <w:vAlign w:val="center"/>
          </w:tcPr>
          <w:p>
            <w:r>
              <w:rPr>
                <w:sz w:val="16"/>
              </w:rPr>
              <w:t>443 (354/89)/20 (13/7)/6 (3/3)/1 (0/1)/11 (9/2)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[oncogenic pathway]</w:t>
            </w:r>
          </w:p>
        </w:tc>
        <w:tc>
          <w:tcPr>
            <w:tcW w:type="dxa" w:w="1392"/>
            <w:vAlign w:val="center"/>
          </w:tcPr>
          <w:p>
            <w:r>
              <w:rPr>
                <w:sz w:val="16"/>
              </w:rPr>
              <w:t>481</w:t>
            </w:r>
          </w:p>
        </w:tc>
        <w:tc>
          <w:tcPr>
            <w:tcW w:type="dxa" w:w="1392"/>
            <w:vAlign w:val="center"/>
          </w:tcPr>
          <w:p>
            <w:r>
              <w:rPr>
                <w:sz w:val="16"/>
              </w:rPr>
              <w:t>212 (103/109)/268 (144/124)/1 (1/0)</w:t>
            </w:r>
          </w:p>
        </w:tc>
        <w:tc>
          <w:tcPr>
            <w:tcW w:type="dxa" w:w="1392"/>
            <w:vAlign w:val="center"/>
          </w:tcPr>
          <w:p>
            <w:r>
              <w:rPr>
                <w:sz w:val="16"/>
              </w:rPr>
              <w:t>443 (234/209)/20 (9/11)/6 (2/4)/1 (0/1)/11 (3/8)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Proliferation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Wound Healing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KIRP</w:t>
            </w:r>
          </w:p>
        </w:tc>
        <w:tc>
          <w:tcPr>
            <w:tcW w:type="dxa" w:w="1392"/>
            <w:vAlign w:val="center"/>
          </w:tcPr>
          <w:p>
            <w:r>
              <w:rPr>
                <w:sz w:val="16"/>
              </w:rPr>
              <w:t>Proliferation [thorsson]</w:t>
            </w:r>
          </w:p>
        </w:tc>
        <w:tc>
          <w:tcPr>
            <w:tcW w:type="dxa" w:w="1392"/>
            <w:vAlign w:val="center"/>
          </w:tcPr>
          <w:p>
            <w:r>
              <w:rPr>
                <w:sz w:val="16"/>
              </w:rPr>
              <w:t>261</w:t>
            </w:r>
          </w:p>
        </w:tc>
        <w:tc>
          <w:tcPr>
            <w:tcW w:type="dxa" w:w="1392"/>
            <w:vAlign w:val="center"/>
          </w:tcPr>
          <w:p>
            <w:r>
              <w:rPr>
                <w:sz w:val="16"/>
              </w:rPr>
              <w:t>63/198/0</w:t>
            </w:r>
          </w:p>
        </w:tc>
        <w:tc>
          <w:tcPr>
            <w:tcW w:type="dxa" w:w="1392"/>
            <w:vAlign w:val="center"/>
          </w:tcPr>
          <w:p>
            <w:r>
              <w:rPr>
                <w:sz w:val="16"/>
              </w:rPr>
              <w:t>185/57/6/2/11</w:t>
            </w:r>
          </w:p>
        </w:tc>
        <w:tc>
          <w:tcPr>
            <w:tcW w:type="dxa" w:w="1392"/>
            <w:vAlign w:val="center"/>
          </w:tcPr>
          <w:p>
            <w:r>
              <w:rPr>
                <w:sz w:val="16"/>
              </w:rPr>
              <w:t>Black or African American, White, FEMALE, MALE</w:t>
            </w:r>
          </w:p>
        </w:tc>
      </w:tr>
      <w:tr>
        <w:trPr>
          <w:cantSplit/>
        </w:trPr>
        <w:tc>
          <w:tcPr>
            <w:tcW w:type="dxa" w:w="1392"/>
            <w:vAlign w:val="center"/>
          </w:tcPr>
          <w:p>
            <w:r>
              <w:rPr>
                <w:sz w:val="16"/>
              </w:rPr>
              <w:t>continuous</w:t>
            </w:r>
          </w:p>
        </w:tc>
        <w:tc>
          <w:tcPr>
            <w:tcW w:type="dxa" w:w="1392"/>
            <w:vAlign w:val="center"/>
          </w:tcPr>
          <w:p>
            <w:r>
              <w:rPr>
                <w:sz w:val="16"/>
              </w:rPr>
              <w:t>LUAD</w:t>
            </w:r>
          </w:p>
        </w:tc>
        <w:tc>
          <w:tcPr>
            <w:tcW w:type="dxa" w:w="1392"/>
            <w:vAlign w:val="center"/>
          </w:tcPr>
          <w:p>
            <w:r>
              <w:rPr>
                <w:sz w:val="16"/>
              </w:rPr>
              <w:t>Proliferation [thorsson]</w:t>
            </w:r>
          </w:p>
        </w:tc>
        <w:tc>
          <w:tcPr>
            <w:tcW w:type="dxa" w:w="1392"/>
            <w:vAlign w:val="center"/>
          </w:tcPr>
          <w:p>
            <w:r>
              <w:rPr>
                <w:sz w:val="16"/>
              </w:rPr>
              <w:t>410</w:t>
            </w:r>
          </w:p>
        </w:tc>
        <w:tc>
          <w:tcPr>
            <w:tcW w:type="dxa" w:w="1392"/>
            <w:vAlign w:val="center"/>
          </w:tcPr>
          <w:p>
            <w:r>
              <w:rPr>
                <w:sz w:val="16"/>
              </w:rPr>
              <w:t>225/185/0</w:t>
            </w:r>
          </w:p>
        </w:tc>
        <w:tc>
          <w:tcPr>
            <w:tcW w:type="dxa" w:w="1392"/>
            <w:vAlign w:val="center"/>
          </w:tcPr>
          <w:p>
            <w:r>
              <w:rPr>
                <w:sz w:val="16"/>
              </w:rPr>
              <w:t>310/43/8/1/48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SARC</w:t>
            </w:r>
          </w:p>
        </w:tc>
        <w:tc>
          <w:tcPr>
            <w:tcW w:type="dxa" w:w="1392"/>
            <w:vAlign w:val="center"/>
          </w:tcPr>
          <w:p>
            <w:r>
              <w:rPr>
                <w:sz w:val="16"/>
              </w:rPr>
              <w:t>Macrophage Regulation [thorsson]</w:t>
            </w:r>
          </w:p>
        </w:tc>
        <w:tc>
          <w:tcPr>
            <w:tcW w:type="dxa" w:w="1392"/>
            <w:vAlign w:val="center"/>
          </w:tcPr>
          <w:p>
            <w:r>
              <w:rPr>
                <w:sz w:val="16"/>
              </w:rPr>
              <w:t>218</w:t>
            </w:r>
          </w:p>
        </w:tc>
        <w:tc>
          <w:tcPr>
            <w:tcW w:type="dxa" w:w="1392"/>
            <w:vAlign w:val="center"/>
          </w:tcPr>
          <w:p>
            <w:r>
              <w:rPr>
                <w:sz w:val="16"/>
              </w:rPr>
              <w:t>120/98/0</w:t>
            </w:r>
          </w:p>
        </w:tc>
        <w:tc>
          <w:tcPr>
            <w:tcW w:type="dxa" w:w="1392"/>
            <w:vAlign w:val="center"/>
          </w:tcPr>
          <w:p>
            <w:r>
              <w:rPr>
                <w:sz w:val="16"/>
              </w:rPr>
              <w:t>191/16/3/0/8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TGF-beta Response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Wound Healing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Lymphocyte Infiltration Signature Score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Macrophage Regulation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TGF-beta Response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Th1 Cells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THYM</w:t>
            </w:r>
          </w:p>
        </w:tc>
        <w:tc>
          <w:tcPr>
            <w:tcW w:type="dxa" w:w="1392"/>
            <w:vAlign w:val="center"/>
          </w:tcPr>
          <w:p>
            <w:r>
              <w:rPr>
                <w:sz w:val="16"/>
              </w:rPr>
              <w:t>Th17 Cells [thorsson]</w:t>
            </w:r>
          </w:p>
        </w:tc>
        <w:tc>
          <w:tcPr>
            <w:tcW w:type="dxa" w:w="1392"/>
            <w:vAlign w:val="center"/>
          </w:tcPr>
          <w:p>
            <w:r>
              <w:rPr>
                <w:sz w:val="16"/>
              </w:rPr>
              <w:t>117</w:t>
            </w:r>
          </w:p>
        </w:tc>
        <w:tc>
          <w:tcPr>
            <w:tcW w:type="dxa" w:w="1392"/>
            <w:vAlign w:val="center"/>
          </w:tcPr>
          <w:p>
            <w:r>
              <w:rPr>
                <w:sz w:val="16"/>
              </w:rPr>
              <w:t>57/60/0</w:t>
            </w:r>
          </w:p>
        </w:tc>
        <w:tc>
          <w:tcPr>
            <w:tcW w:type="dxa" w:w="1392"/>
            <w:vAlign w:val="center"/>
          </w:tcPr>
          <w:p>
            <w:r>
              <w:rPr>
                <w:sz w:val="16"/>
              </w:rPr>
              <w:t>97/6/12/0/2</w:t>
            </w:r>
          </w:p>
        </w:tc>
        <w:tc>
          <w:tcPr>
            <w:tcW w:type="dxa" w:w="1392"/>
            <w:vAlign w:val="center"/>
          </w:tcPr>
          <w:p>
            <w:r>
              <w:rPr>
                <w:sz w:val="16"/>
              </w:rPr>
              <w:t>None: denominator rule not met</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S3b. Pathology quality-control field availability</w:t>
      </w:r>
    </w:p>
    <w:p>
      <w:r>
        <w:t>This audit distinguishes structured metadata from unvalidated mentions in TITAN-generated narrative text. Narrative mentions were counted for transparency only and did not define exclusions, weights or outcomes. The maximum-slide participant was TCGA-DX-AB2L (TCGA-SARC), with 30 slides weighted 0.033 each within its patient mean; all 30 generated narratives mentioned no residual sarcoma/myxofibrosarcoma.</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Domain</w:t>
            </w:r>
          </w:p>
        </w:tc>
        <w:tc>
          <w:tcPr>
            <w:tcW w:type="dxa" w:w="2436"/>
          </w:tcPr>
          <w:p>
            <w:r>
              <w:rPr>
                <w:b/>
                <w:sz w:val="17"/>
              </w:rPr>
              <w:t>Structured field</w:t>
            </w:r>
          </w:p>
        </w:tc>
        <w:tc>
          <w:tcPr>
            <w:tcW w:type="dxa" w:w="2436"/>
          </w:tcPr>
          <w:p>
            <w:r>
              <w:rPr>
                <w:b/>
                <w:sz w:val="17"/>
              </w:rPr>
              <w:t>Field/evidence</w:t>
            </w:r>
          </w:p>
        </w:tc>
        <w:tc>
          <w:tcPr>
            <w:tcW w:type="dxa" w:w="2436"/>
          </w:tcPr>
          <w:p>
            <w:r>
              <w:rPr>
                <w:b/>
                <w:sz w:val="17"/>
              </w:rPr>
              <w:t>Interpretation</w:t>
            </w:r>
          </w:p>
        </w:tc>
      </w:tr>
      <w:tr>
        <w:trPr>
          <w:cantSplit/>
        </w:trPr>
        <w:tc>
          <w:tcPr>
            <w:tcW w:type="dxa" w:w="2436"/>
            <w:vAlign w:val="center"/>
          </w:tcPr>
          <w:p>
            <w:r>
              <w:rPr>
                <w:sz w:val="16"/>
              </w:rPr>
              <w:t>Tumour content/cellularity</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Tissue area</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Artefact</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Biopsy versus resection</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Slide/image quality</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Anatomical resection/biopsy site</w:t>
            </w:r>
          </w:p>
        </w:tc>
        <w:tc>
          <w:tcPr>
            <w:tcW w:type="dxa" w:w="2436"/>
            <w:vAlign w:val="center"/>
          </w:tcPr>
          <w:p>
            <w:r>
              <w:rPr>
                <w:sz w:val="16"/>
              </w:rPr>
              <w:t>TRUE</w:t>
            </w:r>
          </w:p>
        </w:tc>
        <w:tc>
          <w:tcPr>
            <w:tcW w:type="dxa" w:w="2436"/>
            <w:vAlign w:val="center"/>
          </w:tcPr>
          <w:p>
            <w:r>
              <w:rPr>
                <w:sz w:val="16"/>
              </w:rPr>
              <w:t>site_of_resection_or_biopsy</w:t>
            </w:r>
          </w:p>
        </w:tc>
        <w:tc>
          <w:tcPr>
            <w:tcW w:type="dxa" w:w="2436"/>
            <w:vAlign w:val="center"/>
          </w:tcPr>
          <w:p>
            <w:r>
              <w:rPr>
                <w:sz w:val="16"/>
              </w:rPr>
              <w:t>Anatomical site only; it does not encode whether the specimen was a biopsy or resection.</w:t>
            </w:r>
          </w:p>
        </w:tc>
      </w:tr>
    </w:tbl>
    <w:p/>
    <w:p>
      <w:r>
        <w:t>Narrative audit among 10,106 exact report matches: tumour-content mentions 16; tissue-area mentions 9; artefact mentions 2; procedure mentions 1286; explicit slide-quality mentions 0; no-residual-tumour mentions 35. Complete slide-multiplicity and audit outputs are in pathology_qc_patient_multiplicity_audit.csv, pathology_qc_narrative_audit.csv and pathology_qc_maximum_slide_patient.csv.</w:t>
      </w:r>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tissue-source-site codes</w:t>
            </w:r>
          </w:p>
        </w:tc>
        <w:tc>
          <w:tcPr>
            <w:tcW w:type="dxa" w:w="1083"/>
          </w:tcPr>
          <w:p>
            <w:r>
              <w:rPr>
                <w:b/>
                <w:sz w:val="17"/>
              </w:rPr>
              <w:t>Primary screen metric</w:t>
            </w:r>
          </w:p>
        </w:tc>
        <w:tc>
          <w:tcPr>
            <w:tcW w:type="dxa" w:w="1083"/>
          </w:tcPr>
          <w:p>
            <w:r>
              <w:rPr>
                <w:b/>
                <w:sz w:val="17"/>
              </w:rPr>
              <w:t>Metric grouped by TCGA tissue-source-site code</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tissue-source-site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tissue-source-site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tissue-source-site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Methods; Results - subgroup audit; Discussion - Limitations</w:t>
            </w:r>
          </w:p>
        </w:tc>
        <w:tc>
          <w:tcPr>
            <w:tcW w:type="dxa" w:w="2353"/>
            <w:vAlign w:val="center"/>
          </w:tcPr>
          <w:p>
            <w:r>
              <w:rPr>
                <w:sz w:val="16"/>
              </w:rPr>
              <w:t>Post hoc denominator-first sex and broad race audit of fixed held-out predictions; no fairness intervention or equivalence claim</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 recorded gender, race and stage plus analytic and molecular missingness are reported; exact subgroup counts, performance metrics and non-estimability reasons are supplied in Supplementary Table S2b and subgroup_performance_audit.csv</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