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Balanced accuracy</w:t>
            </w:r>
          </w:p>
        </w:tc>
        <w:tc>
          <w:tcPr>
            <w:tcW w:type="dxa" w:w="1083"/>
          </w:tcPr>
          <w:p>
            <w:r>
              <w:rPr>
                <w:b/>
                <w:sz w:val="17"/>
              </w:rPr>
              <w:t>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Effect-eligible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Discussion - Limitations</w:t>
            </w:r>
          </w:p>
        </w:tc>
        <w:tc>
          <w:tcPr>
            <w:tcW w:type="dxa" w:w="2353"/>
            <w:vAlign w:val="center"/>
          </w:tcPr>
          <w:p>
            <w:r>
              <w:rPr>
                <w:sz w:val="16"/>
              </w:rPr>
              <w:t>No fairness intervention or subgroup evaluation; explicitly limited</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