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atlas of molecular and immune predictability from frozen TITAN whole-slide embeddings across 32 cancers</w:t>
      </w:r>
    </w:p>
    <w:p>
      <w:pPr>
        <w:jc w:val="center"/>
      </w:pPr>
      <w:r>
        <w:rPr>
          <w:b/>
        </w:rPr>
        <w:t>Aamilah Ismail</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Dupe Ojo</w:t>
      </w:r>
      <w:r>
        <w:rPr>
          <w:vertAlign w:val="superscript"/>
        </w:rPr>
        <w:t>1</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i/>
        </w:rPr>
        <w:t>* These authors contributed equally.</w:t>
      </w:r>
    </w:p>
    <w:p>
      <w:pPr>
        <w:jc w:val="center"/>
      </w:pPr>
      <w:r>
        <w:rPr>
          <w:i/>
        </w:rPr>
        <w:t>† Corresponding author: Stefano Cacciatore (stefano.cacciatore@icgeb.org).</w:t>
      </w:r>
    </w:p>
    <w:p>
      <w:pPr>
        <w:jc w:val="center"/>
      </w:pPr>
      <w:r>
        <w:t>Author emails: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Histology can encode molecular and microenvironmental phenotypes, but conventional convolutional-neural-network workflows require repeated task-specific training. We evaluated whether reusable TITAN whole-slide embeddings enable rapid, cancer-specific screening of individual molecular, genomic-instability and immune endpoints.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up to 99 permutations with Benjamini–Hochberg control within cancer and endpoint family; a global-across-cancers q-value was retained as sensitivity.</w:t>
      </w:r>
    </w:p>
    <w:p>
      <w:r>
        <w:rPr>
          <w:b/>
        </w:rPr>
        <w:t xml:space="preserve">Results. </w:t>
      </w:r>
      <w:r>
        <w:t>Across all families, 152 continuous and 73 binary pairs met Tier A/B criteria. Leading continuous results included TGCT–TGF-beta Response (0.644); THYM–Th17 Cells (0.624); THCA–Lymphocyte Infiltration Signature Score (0.580); TGCT–Macrophage Regulation (0.556). Leading binary results included THYM–GTF2I [mutation] (0.876); READ–APC [mutation] (0.860); READ–TP53 [mutation] (0.847); LGG–TP53 [mutation] (0.830). Site-grouped and first-slide sensitivity quantified centre and slide-selection dependence.</w:t>
      </w:r>
    </w:p>
    <w:p>
      <w:r>
        <w:rPr>
          <w:b/>
        </w:rPr>
        <w:t xml:space="preserve">Conclusions. </w:t>
      </w:r>
      <w:r>
        <w:t>Frozen TITAN features provide a fast hypothesis-generation layer for selected cancer-specific immune and molecular phenotypes, but predictability is heterogeneous and does not replace molecular assays. The internally validated models and negative results require independent external validation before clinical interpretation.</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trained an Inception-v3 convolutional neural network (CNN) to predict six recurrently mutated genes in lung adenocarcinoma, and subsequent pan-cancer studies expanded image-derived inference to mutations, molecular biomarkers and expression programmes [1–5]. These studies established biological plausibility, but their tile extraction, annotation and target-specific optimization make exhaustive updating expensive.</w:t>
      </w:r>
    </w:p>
    <w:p>
      <w:r>
        <w:t>TITAN is a multimodal whole-slide foundation model pretrained on 335,645 slides using visual self-supervision and vision–language alignment [6]. Its frozen 768-dimensional slide representation can be reused without back-propagation through millions of tiles. PLS is computationally light and well suited to correlated, high-dimensional predictors [7,8]. The advantage tested here is therefore speed and reuse after TITAN extraction—not an assumption that PLS is intrinsically more accurate than a task-optimized CNN.</w:t>
      </w:r>
    </w:p>
    <w:p>
      <w:r>
        <w:t>A second practical advantage is model portability. A fitted PLS or PLS–LDA predictor can be distributed as a compact set of preprocessing parameters, latent-variable weights, regression coefficients and LDA parameters. Prediction therefore does not require release of the patient-level training embeddings or outcomes. This differs from reference-set methods such as k-nearest neighbours, which require access to stored training examples at inference [19]. Model sharing remains subject to upstream licences, governance and external validation.</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The slide-report file was used only to audit identifiers, cancer provenance and resection site; no report text entered a model. Nine participants without a resolvable cancer label did not enter cancer-specific modelling. All molecular sources were independently restricted to TCGA sample type 01 before patient aggregation.</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pPr>
        <w:jc w:val="center"/>
      </w:pPr>
      <w:r>
        <w:drawing>
          <wp:inline xmlns:a="http://schemas.openxmlformats.org/drawingml/2006/main" xmlns:pic="http://schemas.openxmlformats.org/drawingml/2006/picture">
            <wp:extent cx="5806440" cy="302418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2418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frozen TITAN dimensions [6]. Continuous outcomes comprised 39 immune/inflammatory measures and 11 genomic-context scores from Thorsson et al. [9], three aneuploidy burdens from Taylor et al. [10], log-transformed fusion burden from Gao et al. [11], and MANTIS/MSIsensor scores from Bonneville et al. and the cBioPortal TCGA PanCancer Atlas files [12,13]. Binary outcomes comprised qualifying protein-altering PASS mutations in tissue-specific consensus cancer genes from MC3 and Bailey et al. [14,15], ten oncogenic-pathway alteration indicators [16], genome doubling [10], any called fusion and eligible recurrent fusion pairs [11], and MSI-H definitions at MANTIS &gt;0.4 and a strict &gt;0.6 sensitivity threshold [12]. A mutation target denotes a qualifying alteration in a cancer gene; it does not assert that every allele is a functionally validated driver.</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Continuous performance was out-of-fold Q², with RMSE and Spearman correlation secondary. Binary models supplied PLS latent scores to ridge-stabilised LDA; balanced accuracy was primary and AUROC from continuous LDA scores was secondary in repeated validation.</w:t>
      </w:r>
    </w:p>
    <w:p>
      <w:r>
        <w:t>Nested performance was first checkpointed for the complete atlas. Only models capable of Tier B (Q²≥0.20 or chance-corrected balanced accuracy≥0.20) received up to 99 patient-label permutations. Evaluation stopped conservatively after five exceedances because raw p&lt;0.05 was then impossible even if every remaining null statistic were less extreme; stopped endpoints were assigned p=1. Regression extremeness used lower RMSD, whereas classification used higher balanced accuracy. Completed finite p values were (b+1)/(B+1). Because each disease defines a separate prediction and intended-use population, Benjamini–Hochberg FDR was controlled within cancer and prespecified endpoint family; an across-cancer family q-value was retained as a stricter sensitivity. Tier A required primary q&lt;0.05 and effect≥0.40; Tier B required primary q&lt;0.05 and effect 0.20–0.39. An optional 999-permutation extension is implemented in the public code but was not required for primary tiering.</w:t>
      </w:r>
    </w:p>
    <w:p>
      <w:pPr>
        <w:pStyle w:val="Heading2"/>
      </w:pPr>
      <w:r>
        <w:t>Robustness and saved models</w:t>
      </w:r>
    </w:p>
    <w:p>
      <w:r>
        <w:t>Supported models were repeated under five independently seeded nested-CV partitions. Site-grouped folds kept two-character TCGA tissue-source-site codes out of both training and test partitions. A first-slide sensitivity replaced the primary mean-pooled vector while preserving patients and seeds. Full-data research models were tuned by ten-fold CV, saved with feature order, aggregation rule, class counts, software version and intended-use metadata, and tested through a public inference example that mean-pools user slides.</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 and fastPLS 0.99.20 (Git commit dcf45cc). Complete code, source manifests, target catalogues, checkpoints, out-of-fold predictions, figures, model registry and inference example are organized at https://github.com/tkcaccia/titan-prediction. Fitted TITAN-derived model objects are generated locally; their public redistribution remains subject to TITAN's upstream terms. No external cohort with compatible precomputed TITAN features and the required multi-omic labels was identified, so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Cancer labels were available for 9,395 patients across 32 cancers. The atlas evaluated 1,614 continuous and 459 binary cancer–endpoint pairs (Table 1).</w:t>
      </w:r>
    </w:p>
    <w:p>
      <w:pPr>
        <w:pStyle w:val="Caption"/>
      </w:pPr>
      <w:r>
        <w:t>Table 1. Eligible cancer–endpoint models and evidence tiers.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Tier A</w:t>
            </w:r>
          </w:p>
        </w:tc>
        <w:tc>
          <w:tcPr>
            <w:tcW w:type="dxa" w:w="850"/>
          </w:tcPr>
          <w:p>
            <w:r>
              <w:rPr>
                <w:b/>
                <w:sz w:val="17"/>
              </w:rPr>
              <w:t>Tier B</w:t>
            </w:r>
          </w:p>
        </w:tc>
        <w:tc>
          <w:tcPr>
            <w:tcW w:type="dxa" w:w="850"/>
          </w:tcPr>
          <w:p>
            <w:r>
              <w:rPr>
                <w:b/>
                <w:sz w:val="17"/>
              </w:rPr>
              <w:t>Tier C</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8</w:t>
            </w:r>
          </w:p>
        </w:tc>
        <w:tc>
          <w:tcPr>
            <w:tcW w:type="dxa" w:w="850"/>
            <w:vAlign w:val="center"/>
          </w:tcPr>
          <w:p>
            <w:r>
              <w:rPr>
                <w:sz w:val="16"/>
              </w:rPr>
              <w:t>82</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12</w:t>
            </w:r>
          </w:p>
        </w:tc>
        <w:tc>
          <w:tcPr>
            <w:tcW w:type="dxa" w:w="850"/>
            <w:vAlign w:val="center"/>
          </w:tcPr>
          <w:p>
            <w:r>
              <w:rPr>
                <w:sz w:val="16"/>
              </w:rPr>
              <w:t>4</w:t>
            </w:r>
          </w:p>
        </w:tc>
        <w:tc>
          <w:tcPr>
            <w:tcW w:type="dxa" w:w="850"/>
            <w:vAlign w:val="center"/>
          </w:tcPr>
          <w:p>
            <w:r>
              <w:rPr>
                <w:sz w:val="16"/>
              </w:rPr>
              <w:t>222</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6</w:t>
            </w:r>
          </w:p>
        </w:tc>
        <w:tc>
          <w:tcPr>
            <w:tcW w:type="dxa" w:w="850"/>
            <w:vAlign w:val="center"/>
          </w:tcPr>
          <w:p>
            <w:r>
              <w:rPr>
                <w:sz w:val="16"/>
              </w:rPr>
              <w:t>24</w:t>
            </w:r>
          </w:p>
        </w:tc>
        <w:tc>
          <w:tcPr>
            <w:tcW w:type="dxa" w:w="850"/>
            <w:vAlign w:val="center"/>
          </w:tcPr>
          <w:p>
            <w:r>
              <w:rPr>
                <w:sz w:val="16"/>
              </w:rPr>
              <w:t>136</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36</w:t>
            </w:r>
          </w:p>
        </w:tc>
        <w:tc>
          <w:tcPr>
            <w:tcW w:type="dxa" w:w="850"/>
            <w:vAlign w:val="center"/>
          </w:tcPr>
          <w:p>
            <w:r>
              <w:rPr>
                <w:sz w:val="16"/>
              </w:rPr>
              <w:t>103</w:t>
            </w:r>
          </w:p>
        </w:tc>
        <w:tc>
          <w:tcPr>
            <w:tcW w:type="dxa" w:w="850"/>
            <w:vAlign w:val="center"/>
          </w:tcPr>
          <w:p>
            <w:r>
              <w:rPr>
                <w:sz w:val="16"/>
              </w:rPr>
              <w:t>1295</w:t>
            </w:r>
          </w:p>
        </w:tc>
      </w:tr>
    </w:tbl>
    <w:p/>
    <w:p>
      <w:pPr>
        <w:pStyle w:val="Heading2"/>
      </w:pPr>
      <w:r>
        <w:t>Continuous immune, genomic-context and instability phenotypes</w:t>
      </w:r>
    </w:p>
    <w:p>
      <w:r>
        <w:t>Among continuous targets, 36 were Tier A and 116 Tier B. The strongest effects were TGCT–TGF-beta Response (0.644); THYM–Th17 Cells (0.624); THCA–Lymphocyte Infiltration Signature Score (0.580); TGCT–Macrophage Regulation (0.556); BRCA–Wound Healing (0.528); SARC–Leukocyte Fraction (0.524); THCA–TGF-beta Response (0.524); TGCT–Macrophages M2 (0.517); LUAD–Proliferation (0.513); SARC–Macrophage Regulation (0.509). These results were cancer specific: the same endpoint could be strongly predictable in one tumour type and unsupported in another.</w:t>
      </w:r>
    </w:p>
    <w:p>
      <w:r>
        <w:t>None of the 152 primary continuous Tier-A/B pairs met q&lt;0.05 under the stricter across-cancer family sensitivity at the 99-permutation resolution. Continuous findings should therefore be interpreted as disease-specific screens rather than globally FDR-supported pan-cancer discoveries.</w:t>
      </w:r>
    </w:p>
    <w:p>
      <w:pPr>
        <w:jc w:val="center"/>
      </w:pPr>
      <w:r>
        <w:drawing>
          <wp:inline xmlns:a="http://schemas.openxmlformats.org/drawingml/2006/main" xmlns:pic="http://schemas.openxmlformats.org/drawingml/2006/picture">
            <wp:extent cx="5806440" cy="5364646"/>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5364646"/>
                    </a:xfrm>
                    <a:prstGeom prst="rect"/>
                  </pic:spPr>
                </pic:pic>
              </a:graphicData>
            </a:graphic>
          </wp:inline>
        </w:drawing>
      </w:r>
    </w:p>
    <w:p>
      <w:pPr>
        <w:pStyle w:val="Caption"/>
        <w:jc w:val="center"/>
      </w:pPr>
      <w:r>
        <w:t>Figure 2. Strongest supported continuous cancer–endpoint results. Q² is calculated from genuine patient-level outer-fold predictions; all tests remain available in the machine-readable atlas.</w:t>
      </w:r>
    </w:p>
    <w:p>
      <w:pPr>
        <w:pStyle w:val="Heading2"/>
      </w:pPr>
      <w:r>
        <w:t>Binary molecular phenotypes</w:t>
      </w:r>
    </w:p>
    <w:p>
      <w:r>
        <w:t>The binary atlas yielded 24 Tier-A and 49 Tier-B pairs. Leading results were THYM–GTF2I [mutation] (0.876); READ–APC [mutation] (0.860); READ–TP53 [mutation] (0.847); LGG–TP53 [mutation] (0.830); THCA–BRAF [mutation] (0.828); LGG–TP53 [pathway] (0.822); LGG–HIPPO [pathway] (0.811); COAD–APC [mutation] (0.792); UCEC–Any called fusion [fusion] (0.792); COAD–MSI-H strict (MANTIS &gt;0.6) [strict MSI] (0.784); LGG–ATRX [mutation] (0.784); COAD–TP53 [mutation] (0.777). The complete table includes tested-negative and ineligible distinctions for mutations, pathways, genome doubling, MSI and fusions.</w:t>
      </w:r>
    </w:p>
    <w:p>
      <w:r>
        <w:t>Of 73 primary binary Tier-A/B pairs, 56 also met the stricter across-cancer family q&lt;0.05. No cancer–gene mutation pair passed that global sensitivity, whereas supported pathway, MSI and fusion signals generally did; mutation results are consequently described as cancer-screen-specific findings.</w:t>
      </w:r>
    </w:p>
    <w:p>
      <w:pPr>
        <w:jc w:val="center"/>
      </w:pPr>
      <w:r>
        <w:drawing>
          <wp:inline xmlns:a="http://schemas.openxmlformats.org/drawingml/2006/main" xmlns:pic="http://schemas.openxmlformats.org/drawingml/2006/picture">
            <wp:extent cx="5806440" cy="608293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6082937"/>
                    </a:xfrm>
                    <a:prstGeom prst="rect"/>
                  </pic:spPr>
                </pic:pic>
              </a:graphicData>
            </a:graphic>
          </wp:inline>
        </w:drawing>
      </w:r>
    </w:p>
    <w:p>
      <w:pPr>
        <w:pStyle w:val="Caption"/>
        <w:jc w:val="center"/>
      </w:pPr>
      <w:r>
        <w:t>Figure 3. Strongest supported binary molecular predictions using PLS latent scores and LDA. Point size represents the number of positive patients.</w:t>
      </w:r>
    </w:p>
    <w:p>
      <w:pPr>
        <w:jc w:val="center"/>
      </w:pPr>
      <w:r>
        <w:drawing>
          <wp:inline xmlns:a="http://schemas.openxmlformats.org/drawingml/2006/main" xmlns:pic="http://schemas.openxmlformats.org/drawingml/2006/picture">
            <wp:extent cx="5806440" cy="4589853"/>
            <wp:docPr id="4" name="Picture 4"/>
            <wp:cNvGraphicFramePr>
              <a:graphicFrameLocks noChangeAspect="1"/>
            </wp:cNvGraphicFramePr>
            <a:graphic>
              <a:graphicData uri="http://schemas.openxmlformats.org/drawingml/2006/picture">
                <pic:pic>
                  <pic:nvPicPr>
                    <pic:cNvPr id="0" name="Figure4_supported_counts.png"/>
                    <pic:cNvPicPr/>
                  </pic:nvPicPr>
                  <pic:blipFill>
                    <a:blip r:embed="rId14"/>
                    <a:stretch>
                      <a:fillRect/>
                    </a:stretch>
                  </pic:blipFill>
                  <pic:spPr>
                    <a:xfrm>
                      <a:off x="0" y="0"/>
                      <a:ext cx="5806440" cy="4589853"/>
                    </a:xfrm>
                    <a:prstGeom prst="rect"/>
                  </pic:spPr>
                </pic:pic>
              </a:graphicData>
            </a:graphic>
          </wp:inline>
        </w:drawing>
      </w:r>
    </w:p>
    <w:p>
      <w:pPr>
        <w:pStyle w:val="Caption"/>
        <w:jc w:val="center"/>
      </w:pPr>
      <w:r>
        <w:t>Figure 4. Number and family of Tier-A/B prediction targets within each cancer. Absence of an eligible target is distinct from a tested negative result.</w:t>
      </w:r>
    </w:p>
    <w:p>
      <w:pPr>
        <w:pStyle w:val="Heading2"/>
      </w:pPr>
      <w:r>
        <w:t>Site and multiple-slide sensitivity</w:t>
      </w:r>
    </w:p>
    <w:p>
      <w:r>
        <w:t>Site-grouped validation was feasible for 225 supported models. The median grouped-minus-random performance change was -0.026. The first-slide-minus-mean-pool median change across supported models was -0.002.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35478"/>
            <wp:docPr id="5" name="Picture 5"/>
            <wp:cNvGraphicFramePr>
              <a:graphicFrameLocks noChangeAspect="1"/>
            </wp:cNvGraphicFramePr>
            <a:graphic>
              <a:graphicData uri="http://schemas.openxmlformats.org/drawingml/2006/picture">
                <pic:pic>
                  <pic:nvPicPr>
                    <pic:cNvPr id="0" name="Figure5_site_grouped_sensitivity.png"/>
                    <pic:cNvPicPr/>
                  </pic:nvPicPr>
                  <pic:blipFill>
                    <a:blip r:embed="rId15"/>
                    <a:stretch>
                      <a:fillRect/>
                    </a:stretch>
                  </pic:blipFill>
                  <pic:spPr>
                    <a:xfrm>
                      <a:off x="0" y="0"/>
                      <a:ext cx="5806440" cy="3135478"/>
                    </a:xfrm>
                    <a:prstGeom prst="rect"/>
                  </pic:spPr>
                </pic:pic>
              </a:graphicData>
            </a:graphic>
          </wp:inline>
        </w:drawing>
      </w:r>
    </w:p>
    <w:p>
      <w:pPr>
        <w:pStyle w:val="Caption"/>
        <w:jc w:val="center"/>
      </w:pPr>
      <w:r>
        <w:t>Figure 5. Random-fold versus tissue-source-site-grouped internal validation. Values below the diagonal indicate attenuation when submitting sites are separated.</w:t>
      </w:r>
    </w:p>
    <w:p>
      <w:pPr>
        <w:pStyle w:val="Heading1"/>
      </w:pPr>
      <w:r>
        <w:t>Discussion</w:t>
      </w:r>
    </w:p>
    <w:p>
      <w:r>
        <w:t>This study answers a target-by-target, cancer-specific question rather than asking whether molecular subtype and mutation status are associated. Frozen TITAN features contain useful signal for selected immune programmes, mutations and higher-level genomic phenotypes, but most eligible pairs do not satisfy both multiplicity and effect thresholds. That heterogeneity—and transparent negative reporting—is the primary result.</w:t>
      </w:r>
    </w:p>
    <w:p>
      <w:pPr>
        <w:pStyle w:val="Heading2"/>
      </w:pPr>
      <w:r>
        <w:t>Previously reported and atlas-nominated predictors</w:t>
      </w:r>
    </w:p>
    <w:p>
      <w:r>
        <w:t>The mutation results divide into two evidence groups. Three of the 16 Tier-A/B cancer–gene pairs were exact pairs in the prespecified CNN literature crosswalk and were recovered here: LGG–IDH1: prior AUROC 0.764, current balanced accuracy 0.772 (q=0.022); LGG–TP53: prior AUROC 0.787, current balanced accuracy 0.830 (q=0.022); THCA–BRAF: prior AUROC 0.860, current balanced accuracy 0.828 (q=0.010). Prior studies reported AUROC, whereas the present primary metric is balanced accuracy; the side-by-side values describe consistency of discrimination but are not numerical estimates of improvement or inferiority.</w:t>
      </w:r>
    </w:p>
    <w:p>
      <w:r>
        <w:t>Several published pairs retained moderate discrimination but did not satisfy the current within-cancer mutation-family FDR criterion: BRCA–TP53: prior AUROC 0.768 [0.735–0.781], current balanced accuracy 0.717 (q=0.100); UCEC–TP53: prior AUROC 0.764, current balanced accuracy 0.739 (q=0.069); LIHC–CTNNB1: prior AUROC 0.682 [0.635–0.688], current balanced accuracy 0.643 (q=0.070); PAAD–KRAS: prior AUROC 0.670 [0.570–0.712], current balanced accuracy 0.546 (q=1.000). Other reported pairs were weaker or ineligible under the present primary-tumour and minimum-class-count rules. Differences can arise from cohort composition, primary-versus-metastatic sampling, slide preparation, mutation definition, model class and validation design. Supplementary Table S4 provides the report-level comparison and the complete machine-readable crosswalk preserves original evidence notes and URLs.</w:t>
      </w:r>
    </w:p>
    <w:p>
      <w:r>
        <w:t>The remaining 13 supported mutation pairs were not present in the prespecified exact-pair crosswalk and are therefore atlas-nominated candidates rather than replications. Leading examples were THYM–GTF2I (balanced accuracy 0.876, q=0.010); READ–APC (balanced accuracy 0.860, q=0.010); READ–TP53 (balanced accuracy 0.847, q=0.010); COAD–APC (balanced accuracy 0.792, q=0.043); LGG–ATRX (balanced accuracy 0.784, q=0.022); COAD–TP53 (balanced accuracy 0.777, q=0.043); LGG–CIC (balanced accuracy 0.770, q=0.022); SKCM–BRAF (balanced accuracy 0.765, q=0.010). Absence from this targeted crosswalk is not a claim that no publication has ever evaluated the pair; a systematic endpoint-level review would be required to establish bibliographic novelty. Supplementary Table S5 classifies all 16 supported mutation pairs explicitly.</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pPr>
        <w:pStyle w:val="Heading2"/>
      </w:pPr>
      <w:r>
        <w:t>Practical novelty of the PLS framework</w:t>
      </w:r>
    </w:p>
    <w:p>
      <w:r>
        <w:t>The first practical advantage of TITAN plus PLS is rapid reuse. Once slide embeddings exist, hundreds of new outcomes can be screened without retraining a CNN encoder. This is useful for discovery and triage when new genomic annotations become available. It does not eliminate the one-time TITAN extraction cost and is not a hardware-matched claim of superior accuracy.</w:t>
      </w:r>
    </w:p>
    <w:p>
      <w:r>
        <w:t>The second advantage is data-minimising model portability. A trained PLS predictor is parametric: preprocessing values, latent weights and coefficients are sufficient for continuous prediction, with compact LDA parameters added for binary classification. External users can therefore apply a frozen model to correctly ordered TITAN features without receiving the original patient embeddings, outcomes or neighbour reference set. By contrast, k-nearest-neighbour inference depends directly on stored training examples [19]. This reduces the data that must be distributed, although it does not by itself confer privacy, overcome TITAN licensing restrictions or establish transportability.</w:t>
      </w:r>
    </w:p>
    <w:p>
      <w:r>
        <w:t>Strengths include primary-tumour matching across every data source, deterministic mean pooling of multiple slides, nested patient-level validation, family-wise FDR,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TITAN used report alignment during pretraining, predictability does not establish biological causality, and image-derived predictions cannot justify omitting a molecular assay. External feature extraction and prospective evaluation are required before clinical use.</w:t>
      </w:r>
    </w:p>
    <w:p>
      <w:pPr>
        <w:pStyle w:val="Heading1"/>
      </w:pPr>
      <w:r>
        <w:t>Conclusions</w:t>
      </w:r>
    </w:p>
    <w:p>
      <w:r>
        <w:t>Mean-pooled, frozen TITAN embeddings enable a rapid cancer-specific atlas of selected immune, mutation, pathway, MSI, aneuploidy and fusion phenotypes. Compact fitted PLS and PLS–LDA models can be applied without distributing patient-level training data, providing a practical route to external research validation when licensing permits. The resource prioritises hypotheses and exposes unsupported targets, but remains internally validated and non-clinical.</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Availability of data and materials</w:t>
      </w:r>
    </w:p>
    <w:p>
      <w:r>
        <w:t>Source locations and checksums are recorded in the repository: https://github.com/tkcaccia/titan-prediction. TCGA data are available from the Genomic Data Commons; TITAN resources are available from MahmoodLab. Model-object redistribution is subject to TITAN's upstream terms.</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References</w:t>
      </w:r>
    </w:p>
    <w:p>
      <w:r>
        <w:t>1. Coudray N, et al. Classification and mutation prediction from non-small cell lung cancer histopathology images using deep learning. Nat Med. 2018;24:1559–1567. doi:10.1038/s41591-018-0177-5.</w:t>
      </w:r>
    </w:p>
    <w:p>
      <w:r>
        <w:t>2. Fu Y, et al. Pan-cancer computational histopathology reveals mutations, tumor composition and prognosis. Nat Cancer. 2020;1:800–810. doi:10.1038/s43018-020-0085-8.</w:t>
      </w:r>
    </w:p>
    <w:p>
      <w:r>
        <w:t>3. Kather JN, et al. Pan-cancer image-based detection of clinically actionable genetic alterations. Nat Cancer. 2020;1:789–799. doi:10.1038/s43018-020-0087-6.</w:t>
      </w:r>
    </w:p>
    <w:p>
      <w:r>
        <w:t>4. Schmauch B, et al. A deep learning model to predict RNA-Seq expression of tumours from whole slide images. Nat Commun. 2020;11:3877. doi:10.1038/s41467-020-17678-4.</w:t>
      </w:r>
    </w:p>
    <w:p>
      <w:r>
        <w:t>5. Loeffler CML, et al. Predicting mutational status of driver and suppressor genes directly from histopathology with deep learning. Front Genet. 2022;12:806386. doi:10.3389/fgene.2021.806386.</w:t>
      </w:r>
    </w:p>
    <w:p>
      <w:r>
        <w:t>6. Ding T, et al. A multimodal whole-slide foundation model for pathology. Nat Med. 2025;31:3749–3761. doi:10.1038/s41591-025-03982-3.</w:t>
      </w:r>
    </w:p>
    <w:p>
      <w:r>
        <w:t>7. Wold S, Sjöström M, Eriksson L. PLS-regression: a basic tool of chemometrics. Chemometr Intell Lab Syst. 2001;58:109–130. doi:10.1016/S0169-7439(01)00155-1.</w:t>
      </w:r>
    </w:p>
    <w:p>
      <w:r>
        <w:t>8. Szymańska E, et al. Double-check: validation of diagnostic statistics for PLS-DA models. Metabolomics. 2012;8(Suppl 1):3–16. doi:10.1007/s11306-011-0330-3.</w:t>
      </w:r>
    </w:p>
    <w:p>
      <w:r>
        <w:t>9. Thorsson V, et al. The Immune Landscape of Cancer. Immunity. 2018;48:812–830.e14. doi:10.1016/j.immuni.2018.03.023.</w:t>
      </w:r>
    </w:p>
    <w:p>
      <w:r>
        <w:t>10. Taylor AM, et al. Genomic and functional approaches to understanding cancer aneuploidy. Cancer Cell. 2018;33:676–689.e3. doi:10.1016/j.ccell.2018.03.007.</w:t>
      </w:r>
    </w:p>
    <w:p>
      <w:r>
        <w:t>11. Gao Q, et al. Driver fusions and their implications in the development and treatment of human cancers. Cell Rep. 2018;23:227–238.e3. doi:10.1016/j.celrep.2018.03.050.</w:t>
      </w:r>
    </w:p>
    <w:p>
      <w:r>
        <w:t>12. Bonneville R, et al. Landscape of microsatellite instability across 39 cancer types. JCO Precis Oncol. 2017;2017:PO.17.00073. doi:10.1200/PO.17.00073.</w:t>
      </w:r>
    </w:p>
    <w:p>
      <w:r>
        <w:t>13. Cerami E, et al. The cBio cancer genomics portal. Cancer Discov. 2012;2:401–404. doi:10.1158/2159-8290.CD-12-0095.</w:t>
      </w:r>
    </w:p>
    <w:p>
      <w:r>
        <w:t>14. Ellrott K, et al. Scalable open science approach for mutation calling of tumor exomes. Cell Syst. 2018;6:271–281.e7. doi:10.1016/j.cels.2018.03.002.</w:t>
      </w:r>
    </w:p>
    <w:p>
      <w:r>
        <w:t>15. Bailey MH, et al. Comprehensive characterization of cancer driver genes and mutations. Cell. 2018;173:371–385.e18. doi:10.1016/j.cell.2018.02.060.</w:t>
      </w:r>
    </w:p>
    <w:p>
      <w:r>
        <w:t>16. Sanchez-Vega F, et al. Oncogenic signaling pathways in The Cancer Genome Atlas. Cell. 2018;173:321–337.e10. doi:10.1016/j.cell.2018.03.035.</w:t>
      </w:r>
    </w:p>
    <w:p>
      <w:r>
        <w:t>17. Benjamini Y, Hochberg Y. Controlling the false discovery rate. J R Stat Soc B. 1995;57:289–300. doi:10.1111/j.2517-6161.1995.tb02031.x.</w:t>
      </w:r>
    </w:p>
    <w:p>
      <w:r>
        <w:t>18. Collins GS, et al. TRIPOD+AI statement. BMJ. 2024;385:e078378. doi:10.1136/bmj-2023-078378.</w:t>
      </w:r>
    </w:p>
    <w:p>
      <w:r>
        <w:t>19. Cover TM, Hart PE. Nearest neighbor pattern classification. IEEE Trans Inf Theory. 1967;13:21–27. doi:10.1109/TIT.1967.1053964.</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TITAN molecular and immune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