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w:t>
      </w:r>
    </w:p>
    <w:p>
      <w:r>
        <w:t>Manuscript: A patient-level atlas of molecular and immune predictability from frozen TITAN whole-slide embeddings across 32 cancers</w:t>
      </w:r>
    </w:p>
    <w:p>
      <w:r>
        <w:t>We thank the reviewer for identifying validation and reproducibility as the principal issues. The analysis has been rebuilt from the original files with patient-first slide aggregation and primary-tumour molecular matching.</w:t>
      </w:r>
    </w:p>
    <w:p>
      <w:pPr>
        <w:pStyle w:val="Heading1"/>
      </w:pPr>
      <w:r>
        <w:t>1. External validation is the principal unresolved limitation</w:t>
      </w:r>
    </w:p>
    <w:p>
      <w:r>
        <w:t>We agree. No independent cohort containing compatible precomputed TITAN embeddings together with the mutation, immune, pathway, MSI, aneuploidy and fusion labels was identified. We therefore do not describe the models as externally validated. The title, abstract, intended-use statement, Discussion and Conclusions explicitly frame the work as an internally validated hypothesis-generation resource. We added site-grouped validation, saved research models and executable inference code to facilitate future external testing, but state that these do not substitute for external validation.</w:t>
      </w:r>
    </w:p>
    <w:p>
      <w:pPr>
        <w:pStyle w:val="Heading1"/>
      </w:pPr>
      <w:r>
        <w:t>2. Site robustness is incomplete for the inflammatory atlas</w:t>
      </w:r>
    </w:p>
    <w:p>
      <w:r>
        <w:t>Addressed. Tissue-source-site-grouped validation is now attempted for every supported continuous and binary endpoint, not only mutations. It was feasible for 225 models. Figure 5 and the complete machine-readable tables report target-level attenuation; the manuscript does not claim that repeated random folds exclude site confounding.</w:t>
      </w:r>
    </w:p>
    <w:p>
      <w:pPr>
        <w:pStyle w:val="Heading1"/>
      </w:pPr>
      <w:r>
        <w:t>3. Reproducibility materials must be deposited before submission</w:t>
      </w:r>
    </w:p>
    <w:p>
      <w:r>
        <w:t>Addressed in a public repository (https://github.com/tkcaccia/titan-prediction) containing the exact analysis plan, source URLs/checksums, software commit, eligibility tables, code for every analysis and figure, out-of-fold prediction outputs, model registry, inference example and literature crosswalk. An archived versioned release with a persistent DOI remains to be created before submission.</w:t>
      </w:r>
    </w:p>
    <w:p>
      <w:pPr>
        <w:pStyle w:val="Heading1"/>
      </w:pPr>
      <w:r>
        <w:t>4. Distinguish cancer genes from functional driver alleles</w:t>
      </w:r>
    </w:p>
    <w:p>
      <w:r>
        <w:t>Addressed throughout. Mutation targets are described as qualifying protein-altering PASS mutations in tissue-specific consensus cancer genes; the manuscript explicitly states that not every allele is functionally validated.</w:t>
      </w:r>
    </w:p>
    <w:p>
      <w:pPr>
        <w:pStyle w:val="Heading1"/>
      </w:pPr>
      <w:r>
        <w:t>5. Preserve effect-size-first interpretation of PLS2</w:t>
      </w:r>
    </w:p>
    <w:p>
      <w:r>
        <w:t>Addressed. The PLS1–PLS2 comparison is now confined to the Supplementary Methods, results and Figures S1–S2. It remains restricted to coherent inflammatory blocks, uses identical patients and folds, and is interpreted by cancer-level ΔQ² with bootstrap intervals rather than win counts. Binary molecular endpoints retain one-at-a-time PLS–LDA as the primary analysis.</w:t>
      </w:r>
    </w:p>
    <w:p>
      <w:pPr>
        <w:pStyle w:val="Heading1"/>
      </w:pPr>
      <w:r>
        <w:t>6. Complete submission-specific fields</w:t>
      </w:r>
    </w:p>
    <w:p>
      <w:r>
        <w:t>Partly outstanding. The supplied author list, affiliations, equal-contribution statement and corresponding-author details have been entered. Aamilah Ismail's affiliation markers and email address, together with funding, competing interests and contribution statements, still require author confirmation and remain visibly marked where applicable. No scientific values are placeholder text.</w:t>
      </w:r>
    </w:p>
    <w:p>
      <w:pPr>
        <w:pStyle w:val="Heading1"/>
      </w:pPr>
      <w:r>
        <w:t>7. Presentation and runtime claims</w:t>
      </w:r>
    </w:p>
    <w:p>
      <w:r>
        <w:t>Addressed. High-resolution figures and machine-readable tables accompany the Word documents. The text states that speed applies after TITAN embeddings have been computed and does not claim a hardware-matched accuracy or runtime comparison with CNN pipelines.</w:t>
      </w:r>
    </w:p>
    <w:p>
      <w:pPr>
        <w:pStyle w:val="Heading1"/>
      </w:pPr>
      <w:r>
        <w:t>Additional change: distinguish replication from atlas-nominated predictors</w:t>
      </w:r>
    </w:p>
    <w:p>
      <w:r>
        <w:t>The Discussion now identifies the three exact published cancer–gene pairs recovered by the current screen, gives prior AUROC and current balanced accuracy side by side without treating the metrics as directly comparable, discusses selected published pairs that were not supported, and labels the remaining supported mutations as atlas-nominated candidates absent from the prespecified crosswalk. Supplementary Tables S4–S5 provide the complete comparison and explicit evidence classification.</w:t>
      </w:r>
    </w:p>
    <w:p>
      <w:pPr>
        <w:pStyle w:val="Heading1"/>
      </w:pPr>
      <w:r>
        <w:t>Additional change: clarify model portability without training-data release</w:t>
      </w:r>
    </w:p>
    <w:p>
      <w:r>
        <w:t>The Background, Methods, Discussion and Conclusions now explain that fitted PLS and PLS–LDA models contain compact learned transformations and coefficients and can be applied without distributing patient-level training embeddings or outcomes. The contrast with reference-set methods such as k-nearest neighbours is stated explicitly, while licensing, privacy, governance and external-validation limitations are retained.</w:t>
      </w:r>
    </w:p>
    <w:p>
      <w:pPr>
        <w:pStyle w:val="Heading1"/>
      </w:pPr>
      <w:r>
        <w:t>Additional change: multiple slides and molecular specimen matching</w:t>
      </w:r>
    </w:p>
    <w:p>
      <w:r>
        <w:t>The primary predictor is now the feature-wise mean of every eligible diagnostic slide per patient; 843 multi-slide patients are retained in a single validation fold. We also audited every molecular source and excluded non-primary TCGA sample types before aggregation. A matched first-slide sensitivity quantifies dependence on the pooling rule.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Response to reviewer — TITAN atlas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