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TCGA discovery atlas of molecular and immune predictability from pretrained TITAN whole-slide representations across 32 cancers</w:t>
      </w:r>
    </w:p>
    <w:p>
      <w:pPr>
        <w:jc w:val="center"/>
      </w:pPr>
      <w:r>
        <w:rPr>
          <w:b/>
        </w:rPr>
        <w:t>Aamilah Ismail</w:t>
      </w:r>
      <w:r>
        <w:rPr>
          <w:vertAlign w:val="superscript"/>
        </w:rPr>
        <w:t>3,*</w:t>
      </w:r>
      <w:r>
        <w:t xml:space="preserve">, </w:t>
      </w:r>
      <w:r>
        <w:rPr>
          <w:b/>
        </w:rPr>
        <w:t>Martin Ocharo</w:t>
      </w:r>
      <w:r>
        <w:rPr>
          <w:vertAlign w:val="superscript"/>
        </w:rPr>
        <w:t>1,*</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Deep-learning studies have shown that haematoxylin-and-eosin images encode mutations, microsatellite instability, transcriptomic programmes and tumour-microenvironment phenotypes. We evaluated which individual molecular, genomic-instability and immune endpoints are predictable within cancer type from reusable TITAN whole-slide representations.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a 999-permutation refinement with conservative sequential stopping, Benjamini–Hochberg control within cancer and endpoint family, and a stricter across-cancer family correction.</w:t>
      </w:r>
    </w:p>
    <w:p>
      <w:r>
        <w:rPr>
          <w:b/>
        </w:rPr>
        <w:t xml:space="preserve">Results. </w:t>
      </w:r>
      <w:r>
        <w:t>Within-cancer screening identified 219 continuous and 104 binary higher- or moderate-effect candidates. Highlighted repeated-CV results included BRCA–Wound Healing (Q² -0.169, 95% bootstrap interval -0.196–-0.148; RMSE 0.174, Spearman -0.002) and LGG–TP53 (sensitivity 0.839, specificity 0.885, balanced accuracy 0.862, 95% bootstrap interval 0.833–0.888; AUROC 0.908). Under the multiplicity sensitivity, 219 continuous and 39 cancer–mutation pairs passed the stricter across-cancer correction; its attainable q-values in large families were limited by the 0.001 empirical-p resolution. Repeated nested validation, site-grouped folds and first-slide sensitivity quantified uncertainty, centre dependence and slide-aggregation dependence.</w:t>
      </w:r>
    </w:p>
    <w:p>
      <w:r>
        <w:rPr>
          <w:b/>
        </w:rPr>
        <w:t xml:space="preserve">Conclusions. </w:t>
      </w:r>
      <w:r>
        <w:t>Pretrained TITAN representations support a cancer-specific TCGA discovery atlas spanning immune and molecular phenotypes. The models are internally validated research candidates, do not replace molecular assays, and require independent external validation before clinical interpretation.</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 latent-variable method suited to correlated high-dimensional predictors [17,18].</w:t>
      </w:r>
    </w:p>
    <w:p>
      <w:r>
        <w:t>A practical feature of the fitted analysis is model portability. A PLS or PLS–LDA predictor can be distributed as preprocessing parameters, latent-variable weights, regression coefficients and LDA parameters. Prediction therefore does not require release of the patient-level training embeddings or outcomes. This supports external research testing while minimising distribution of patient-level data, but does not itself establish privacy, licensing compatibility or transportability.</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immune measurements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and AUROC from continuous LDA scores was secondary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Spearman correlation used observed and held-out continuous predictions.</w:t>
      </w:r>
    </w:p>
    <w:p>
      <w:r>
        <w:t>No class under-sampling, over-sampling or synthetic augmentation was used. LDA used the observed training-fold class priors and returned a class plus an uncalibrated discriminant score, not a probability or clinical-risk threshold. Outcome tables were constructed independently of TITAN feature processing and joined only after patient-level aggregation.</w:t>
      </w:r>
    </w:p>
    <w:p>
      <w:r>
        <w:t>Nested performance was first checkpointed for the complete atlas. Only models with Q²≥0.20 or chance-corrected balanced accuracy≥0.20 entered permutation testing. A 99-permutation checkpoint was followed by refinement toward 999 patient-label permutations. During final refinement, evaluation stopped conservatively after 49 exceedances because raw p&lt;0.05 was then impossible even if every remaining null statistic were less extreme; stopped endpoints were assigned p=1. Early-stopped checkpoint jobs resumed from the exact number attempted, so no permutation indices were skipped. Regression extremeness used lower RMSE, whereas classification used higher balanced accuracy. Completed finite p values were (b+1)/(B+1), giving minimum resolution 0.001. Because each disease defines a separate prediction and intended-use population, Benjamini–Hochberg FDR was controlled separately for continuous and binary screens within cancer and prespecified endpoint family [27]; a q-value across cancers within the same outcome type and family was retained as a stricter multiplicity sensitivity. Effect denotes Q² for continuous outcomes and 2×balanced accuracy−1 for binary outcomes. Screen-positive candidates were described as higher effect (primary q&lt;0.05 and effect≥0.40) or moderate effect (primary q&lt;0.05 and effect 0.20–0.39). Screen-negative tested pairs and pairs ineligible by sample-size rules were reported separately. These categories prioritise discovery candidates and are not clinical grades.</w:t>
      </w:r>
    </w:p>
    <w:p>
      <w:pPr>
        <w:pStyle w:val="Heading2"/>
      </w:pPr>
      <w:r>
        <w:t>Robustness and saved models</w:t>
      </w:r>
    </w:p>
    <w:p>
      <w:r>
        <w:t>Screen-positive models were repeated under five independently seeded nested-CV partitions; each repeat seed governed both fold construction and rSVD. Sensitivity, specificity, balanced accuracy and AUROC were calculated within each repeat for binary endpoints; Q², RMSE and Spearman correlation were calculated within each repeat for continuous endpoints. Reported repeated-CV point estimates were the arithmetic mean of the five repeat-specific metrics, so LDA scores from independently fitted repeats were never pooled onto an assumed common scale. For highlighted models, 1,000 patient-cluster bootstrap resamples retained all five held-out predictions for each sampled patient, recalculated metrics within repeat and then averaged them; percentile 2.5th and 97.5th quantiles formed the 95% intervals. Site-grouped validation assigned all patients sharing a two-character TCGA tissue-source-site code to the same outer fold, preventing a site from appearing in both training and test partitions for that fold.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released target catalogues, out-of-fold prediction summaries, figures and model registry are organized in the companion analysis repository [30]. A separate GPL-3 R package bundles all fitted models, their SHA-256 registry, reference distributions, inference interface and report template [32]. The bundled artifacts contain learned parameters and training-range summaries but no patient-level training rows. No independent cohort with compatible TITAN features and the required labels was included;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S1–S12, Figures S1–S2 and the machine-readable-file inventory are provided in Additional file 1.</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atlas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Higher effect</w:t>
            </w:r>
          </w:p>
        </w:tc>
        <w:tc>
          <w:tcPr>
            <w:tcW w:type="dxa" w:w="850"/>
          </w:tcPr>
          <w:p>
            <w:r>
              <w:rPr>
                <w:b/>
                <w:sz w:val="17"/>
              </w:rPr>
              <w:t>Moderate effect</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Continuous immune, genomic-context and instability phenotypes</w:t>
      </w:r>
    </w:p>
    <w:p>
      <w:r>
        <w:t>Among continuous targets, 37 were within-cancer screen-positive with higher effects and 182 with moderate effects. The strongest effects were TGCT–TGF-beta Response (0.670); THYM–Th17 Cells (0.638); THCA–Lymphocyte Infiltration Signature Score (0.580); BRCA–Wound Healing (0.527); THCA–TGF-beta Response (0.522); SARC–Macrophage Regulation (0.520); KIRP–Proliferation (0.515); LUAD–Proliferation (0.512); BRCA–Proliferation (0.510); THCA–Th1 Cells (0.503). These results were cancer specific: the same endpoint could be strongly predictable in one tumour type and screen-negative in another.</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4952551"/>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4952551"/>
                    </a:xfrm>
                    <a:prstGeom prst="rect"/>
                  </pic:spPr>
                </pic:pic>
              </a:graphicData>
            </a:graphic>
          </wp:inline>
        </w:drawing>
      </w:r>
    </w:p>
    <w:p>
      <w:pPr>
        <w:pStyle w:val="Caption"/>
        <w:jc w:val="center"/>
      </w:pPr>
      <w:r>
        <w:t>Figure 2. Strongest within-cancer screen-positive continuous cancer–endpoint results. Q² is calculated from genuine patient-level outer-fold predictions; all tests remain available in the machine-readable atlas.</w:t>
      </w:r>
    </w:p>
    <w:p>
      <w:pPr>
        <w:pStyle w:val="Heading2"/>
      </w:pPr>
      <w:r>
        <w:t>Binary molecular phenotypes</w:t>
      </w:r>
    </w:p>
    <w:p>
      <w:r>
        <w:t>The binary atlas yielded 29 within-cancer higher-effect and 75 moderate-effect candidates. Leading results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jc w:val="center"/>
      </w:pPr>
      <w:r>
        <w:drawing>
          <wp:inline xmlns:a="http://schemas.openxmlformats.org/drawingml/2006/main" xmlns:pic="http://schemas.openxmlformats.org/drawingml/2006/picture">
            <wp:extent cx="5806440" cy="4873262"/>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873262"/>
                    </a:xfrm>
                    <a:prstGeom prst="rect"/>
                  </pic:spPr>
                </pic:pic>
              </a:graphicData>
            </a:graphic>
          </wp:inline>
        </w:drawing>
      </w:r>
    </w:p>
    <w:p>
      <w:pPr>
        <w:pStyle w:val="Caption"/>
        <w:jc w:val="center"/>
      </w:pPr>
      <w:r>
        <w:t>Figure 3. Strongest within-cancer screen-positive binary molecular predictions using PLS latent scores and LDA. Point size represents the number of positive patients; colour indicates endpoint family and symbols report across-cancer correction status.</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patient-level nested-CV continuous result (TGCT TGF-beta Response); each point is one patient's observed value and genuine held-out prediction. Panel B shows the binary model with the largest mean repeated-CV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pPr>
        <w:pStyle w:val="Caption"/>
      </w:pPr>
      <w:r>
        <w:t>Table 2. Highlighted repeated nested-cross-validation performance with 95% patient-cluster bootstrap intervals.</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Cancer–endpoint</w:t>
            </w:r>
          </w:p>
        </w:tc>
        <w:tc>
          <w:tcPr>
            <w:tcW w:type="dxa" w:w="1949"/>
          </w:tcPr>
          <w:p>
            <w:r>
              <w:rPr>
                <w:b/>
                <w:sz w:val="17"/>
              </w:rPr>
              <w:t>Type</w:t>
            </w:r>
          </w:p>
        </w:tc>
        <w:tc>
          <w:tcPr>
            <w:tcW w:type="dxa" w:w="1949"/>
          </w:tcPr>
          <w:p>
            <w:r>
              <w:rPr>
                <w:b/>
                <w:sz w:val="17"/>
              </w:rPr>
              <w:t>Q² or Se/Sp (95% CI)</w:t>
            </w:r>
          </w:p>
        </w:tc>
        <w:tc>
          <w:tcPr>
            <w:tcW w:type="dxa" w:w="1949"/>
          </w:tcPr>
          <w:p>
            <w:r>
              <w:rPr>
                <w:b/>
                <w:sz w:val="17"/>
              </w:rPr>
              <w:t>RMSE or BA (95% CI)</w:t>
            </w:r>
          </w:p>
        </w:tc>
        <w:tc>
          <w:tcPr>
            <w:tcW w:type="dxa" w:w="1949"/>
          </w:tcPr>
          <w:p>
            <w:r>
              <w:rPr>
                <w:b/>
                <w:sz w:val="17"/>
              </w:rPr>
              <w:t>Spearman or AUROC (95% CI)</w:t>
            </w:r>
          </w:p>
        </w:tc>
      </w:tr>
      <w:tr>
        <w:trPr>
          <w:cantSplit/>
        </w:trPr>
        <w:tc>
          <w:tcPr>
            <w:tcW w:type="dxa" w:w="1949"/>
            <w:vAlign w:val="center"/>
          </w:tcPr>
          <w:p>
            <w:r>
              <w:rPr>
                <w:sz w:val="16"/>
              </w:rPr>
              <w:t>BRCA–Wound Healing</w:t>
            </w:r>
          </w:p>
        </w:tc>
        <w:tc>
          <w:tcPr>
            <w:tcW w:type="dxa" w:w="1949"/>
            <w:vAlign w:val="center"/>
          </w:tcPr>
          <w:p>
            <w:r>
              <w:rPr>
                <w:sz w:val="16"/>
              </w:rPr>
              <w:t>continuous</w:t>
            </w:r>
          </w:p>
        </w:tc>
        <w:tc>
          <w:tcPr>
            <w:tcW w:type="dxa" w:w="1949"/>
            <w:vAlign w:val="center"/>
          </w:tcPr>
          <w:p>
            <w:r>
              <w:rPr>
                <w:sz w:val="16"/>
              </w:rPr>
              <w:t>-0.169 (-0.196–-0.148)</w:t>
            </w:r>
          </w:p>
        </w:tc>
        <w:tc>
          <w:tcPr>
            <w:tcW w:type="dxa" w:w="1949"/>
            <w:vAlign w:val="center"/>
          </w:tcPr>
          <w:p>
            <w:r>
              <w:rPr>
                <w:sz w:val="16"/>
              </w:rPr>
              <w:t>0.174 (0.168–0.181)</w:t>
            </w:r>
          </w:p>
        </w:tc>
        <w:tc>
          <w:tcPr>
            <w:tcW w:type="dxa" w:w="1949"/>
            <w:vAlign w:val="center"/>
          </w:tcPr>
          <w:p>
            <w:r>
              <w:rPr>
                <w:sz w:val="16"/>
              </w:rPr>
              <w:t>-0.002 (-0.030–0.026)</w:t>
            </w:r>
          </w:p>
        </w:tc>
      </w:tr>
      <w:tr>
        <w:trPr>
          <w:cantSplit/>
        </w:trPr>
        <w:tc>
          <w:tcPr>
            <w:tcW w:type="dxa" w:w="1949"/>
            <w:vAlign w:val="center"/>
          </w:tcPr>
          <w:p>
            <w:r>
              <w:rPr>
                <w:sz w:val="16"/>
              </w:rPr>
              <w:t>KIRP–Proliferation</w:t>
            </w:r>
          </w:p>
        </w:tc>
        <w:tc>
          <w:tcPr>
            <w:tcW w:type="dxa" w:w="1949"/>
            <w:vAlign w:val="center"/>
          </w:tcPr>
          <w:p>
            <w:r>
              <w:rPr>
                <w:sz w:val="16"/>
              </w:rPr>
              <w:t>continuous</w:t>
            </w:r>
          </w:p>
        </w:tc>
        <w:tc>
          <w:tcPr>
            <w:tcW w:type="dxa" w:w="1949"/>
            <w:vAlign w:val="center"/>
          </w:tcPr>
          <w:p>
            <w:r>
              <w:rPr>
                <w:sz w:val="16"/>
              </w:rPr>
              <w:t>-0.205 (-0.269–-0.157)</w:t>
            </w:r>
          </w:p>
        </w:tc>
        <w:tc>
          <w:tcPr>
            <w:tcW w:type="dxa" w:w="1949"/>
            <w:vAlign w:val="center"/>
          </w:tcPr>
          <w:p>
            <w:r>
              <w:rPr>
                <w:sz w:val="16"/>
              </w:rPr>
              <w:t>0.620 (0.560–0.673)</w:t>
            </w:r>
          </w:p>
        </w:tc>
        <w:tc>
          <w:tcPr>
            <w:tcW w:type="dxa" w:w="1949"/>
            <w:vAlign w:val="center"/>
          </w:tcPr>
          <w:p>
            <w:r>
              <w:rPr>
                <w:sz w:val="16"/>
              </w:rPr>
              <w:t>0.010 (-0.040–0.066)</w:t>
            </w:r>
          </w:p>
        </w:tc>
      </w:tr>
      <w:tr>
        <w:trPr>
          <w:cantSplit/>
        </w:trPr>
        <w:tc>
          <w:tcPr>
            <w:tcW w:type="dxa" w:w="1949"/>
            <w:vAlign w:val="center"/>
          </w:tcPr>
          <w:p>
            <w:r>
              <w:rPr>
                <w:sz w:val="16"/>
              </w:rPr>
              <w:t>BRCA–Proliferation</w:t>
            </w:r>
          </w:p>
        </w:tc>
        <w:tc>
          <w:tcPr>
            <w:tcW w:type="dxa" w:w="1949"/>
            <w:vAlign w:val="center"/>
          </w:tcPr>
          <w:p>
            <w:r>
              <w:rPr>
                <w:sz w:val="16"/>
              </w:rPr>
              <w:t>continuous</w:t>
            </w:r>
          </w:p>
        </w:tc>
        <w:tc>
          <w:tcPr>
            <w:tcW w:type="dxa" w:w="1949"/>
            <w:vAlign w:val="center"/>
          </w:tcPr>
          <w:p>
            <w:r>
              <w:rPr>
                <w:sz w:val="16"/>
              </w:rPr>
              <w:t>-0.239 (-0.279–-0.206)</w:t>
            </w:r>
          </w:p>
        </w:tc>
        <w:tc>
          <w:tcPr>
            <w:tcW w:type="dxa" w:w="1949"/>
            <w:vAlign w:val="center"/>
          </w:tcPr>
          <w:p>
            <w:r>
              <w:rPr>
                <w:sz w:val="16"/>
              </w:rPr>
              <w:t>0.704 (0.679–0.729)</w:t>
            </w:r>
          </w:p>
        </w:tc>
        <w:tc>
          <w:tcPr>
            <w:tcW w:type="dxa" w:w="1949"/>
            <w:vAlign w:val="center"/>
          </w:tcPr>
          <w:p>
            <w:r>
              <w:rPr>
                <w:sz w:val="16"/>
              </w:rPr>
              <w:t>0.012 (-0.014–0.040)</w:t>
            </w:r>
          </w:p>
        </w:tc>
      </w:tr>
      <w:tr>
        <w:trPr>
          <w:cantSplit/>
        </w:trPr>
        <w:tc>
          <w:tcPr>
            <w:tcW w:type="dxa" w:w="1949"/>
            <w:vAlign w:val="center"/>
          </w:tcPr>
          <w:p>
            <w:r>
              <w:rPr>
                <w:sz w:val="16"/>
              </w:rPr>
              <w:t>TGCT–Wound Healing</w:t>
            </w:r>
          </w:p>
        </w:tc>
        <w:tc>
          <w:tcPr>
            <w:tcW w:type="dxa" w:w="1949"/>
            <w:vAlign w:val="center"/>
          </w:tcPr>
          <w:p>
            <w:r>
              <w:rPr>
                <w:sz w:val="16"/>
              </w:rPr>
              <w:t>continuous</w:t>
            </w:r>
          </w:p>
        </w:tc>
        <w:tc>
          <w:tcPr>
            <w:tcW w:type="dxa" w:w="1949"/>
            <w:vAlign w:val="center"/>
          </w:tcPr>
          <w:p>
            <w:r>
              <w:rPr>
                <w:sz w:val="16"/>
              </w:rPr>
              <w:t>-0.368 (-0.553–-0.247)</w:t>
            </w:r>
          </w:p>
        </w:tc>
        <w:tc>
          <w:tcPr>
            <w:tcW w:type="dxa" w:w="1949"/>
            <w:vAlign w:val="center"/>
          </w:tcPr>
          <w:p>
            <w:r>
              <w:rPr>
                <w:sz w:val="16"/>
              </w:rPr>
              <w:t>0.227 (0.208–0.244)</w:t>
            </w:r>
          </w:p>
        </w:tc>
        <w:tc>
          <w:tcPr>
            <w:tcW w:type="dxa" w:w="1949"/>
            <w:vAlign w:val="center"/>
          </w:tcPr>
          <w:p>
            <w:r>
              <w:rPr>
                <w:sz w:val="16"/>
              </w:rPr>
              <w:t>0.008 (-0.062–0.080)</w:t>
            </w:r>
          </w:p>
        </w:tc>
      </w:tr>
      <w:tr>
        <w:trPr>
          <w:cantSplit/>
        </w:trPr>
        <w:tc>
          <w:tcPr>
            <w:tcW w:type="dxa" w:w="1949"/>
            <w:vAlign w:val="center"/>
          </w:tcPr>
          <w:p>
            <w:r>
              <w:rPr>
                <w:sz w:val="16"/>
              </w:rPr>
              <w:t>LGG–TP53</w:t>
            </w:r>
          </w:p>
        </w:tc>
        <w:tc>
          <w:tcPr>
            <w:tcW w:type="dxa" w:w="1949"/>
            <w:vAlign w:val="center"/>
          </w:tcPr>
          <w:p>
            <w:r>
              <w:rPr>
                <w:sz w:val="16"/>
              </w:rPr>
              <w:t>binary</w:t>
            </w:r>
          </w:p>
        </w:tc>
        <w:tc>
          <w:tcPr>
            <w:tcW w:type="dxa" w:w="1949"/>
            <w:vAlign w:val="center"/>
          </w:tcPr>
          <w:p>
            <w:r>
              <w:rPr>
                <w:sz w:val="16"/>
              </w:rPr>
              <w:t>Se 0.839 (0.795–0.877); Sp 0.885 (0.848–0.920)</w:t>
            </w:r>
          </w:p>
        </w:tc>
        <w:tc>
          <w:tcPr>
            <w:tcW w:type="dxa" w:w="1949"/>
            <w:vAlign w:val="center"/>
          </w:tcPr>
          <w:p>
            <w:r>
              <w:rPr>
                <w:sz w:val="16"/>
              </w:rPr>
              <w:t>BA 0.862 (0.833–0.888)</w:t>
            </w:r>
          </w:p>
        </w:tc>
        <w:tc>
          <w:tcPr>
            <w:tcW w:type="dxa" w:w="1949"/>
            <w:vAlign w:val="center"/>
          </w:tcPr>
          <w:p>
            <w:r>
              <w:rPr>
                <w:sz w:val="16"/>
              </w:rPr>
              <w:t>AUROC 0.908 (0.880–0.932)</w:t>
            </w:r>
          </w:p>
        </w:tc>
      </w:tr>
      <w:tr>
        <w:trPr>
          <w:cantSplit/>
        </w:trPr>
        <w:tc>
          <w:tcPr>
            <w:tcW w:type="dxa" w:w="1949"/>
            <w:vAlign w:val="center"/>
          </w:tcPr>
          <w:p>
            <w:r>
              <w:rPr>
                <w:sz w:val="16"/>
              </w:rPr>
              <w:t>THYM–GTF2I</w:t>
            </w:r>
          </w:p>
        </w:tc>
        <w:tc>
          <w:tcPr>
            <w:tcW w:type="dxa" w:w="1949"/>
            <w:vAlign w:val="center"/>
          </w:tcPr>
          <w:p>
            <w:r>
              <w:rPr>
                <w:sz w:val="16"/>
              </w:rPr>
              <w:t>binary</w:t>
            </w:r>
          </w:p>
        </w:tc>
        <w:tc>
          <w:tcPr>
            <w:tcW w:type="dxa" w:w="1949"/>
            <w:vAlign w:val="center"/>
          </w:tcPr>
          <w:p>
            <w:r>
              <w:rPr>
                <w:sz w:val="16"/>
              </w:rPr>
              <w:t>Se 0.878 (0.804–0.940); Sp 0.839 (0.748–0.916)</w:t>
            </w:r>
          </w:p>
        </w:tc>
        <w:tc>
          <w:tcPr>
            <w:tcW w:type="dxa" w:w="1949"/>
            <w:vAlign w:val="center"/>
          </w:tcPr>
          <w:p>
            <w:r>
              <w:rPr>
                <w:sz w:val="16"/>
              </w:rPr>
              <w:t>BA 0.859 (0.803–0.905)</w:t>
            </w:r>
          </w:p>
        </w:tc>
        <w:tc>
          <w:tcPr>
            <w:tcW w:type="dxa" w:w="1949"/>
            <w:vAlign w:val="center"/>
          </w:tcPr>
          <w:p>
            <w:r>
              <w:rPr>
                <w:sz w:val="16"/>
              </w:rPr>
              <w:t>AUROC 0.907 (0.852–0.955)</w:t>
            </w:r>
          </w:p>
        </w:tc>
      </w:tr>
      <w:tr>
        <w:trPr>
          <w:cantSplit/>
        </w:trPr>
        <w:tc>
          <w:tcPr>
            <w:tcW w:type="dxa" w:w="1949"/>
            <w:vAlign w:val="center"/>
          </w:tcPr>
          <w:p>
            <w:r>
              <w:rPr>
                <w:sz w:val="16"/>
              </w:rPr>
              <w:t>READ–TP53</w:t>
            </w:r>
          </w:p>
        </w:tc>
        <w:tc>
          <w:tcPr>
            <w:tcW w:type="dxa" w:w="1949"/>
            <w:vAlign w:val="center"/>
          </w:tcPr>
          <w:p>
            <w:r>
              <w:rPr>
                <w:sz w:val="16"/>
              </w:rPr>
              <w:t>binary</w:t>
            </w:r>
          </w:p>
        </w:tc>
        <w:tc>
          <w:tcPr>
            <w:tcW w:type="dxa" w:w="1949"/>
            <w:vAlign w:val="center"/>
          </w:tcPr>
          <w:p>
            <w:r>
              <w:rPr>
                <w:sz w:val="16"/>
              </w:rPr>
              <w:t>Se 0.912 (0.855–0.966); Sp 0.803 (0.704–0.890)</w:t>
            </w:r>
          </w:p>
        </w:tc>
        <w:tc>
          <w:tcPr>
            <w:tcW w:type="dxa" w:w="1949"/>
            <w:vAlign w:val="center"/>
          </w:tcPr>
          <w:p>
            <w:r>
              <w:rPr>
                <w:sz w:val="16"/>
              </w:rPr>
              <w:t>BA 0.858 (0.801–0.910)</w:t>
            </w:r>
          </w:p>
        </w:tc>
        <w:tc>
          <w:tcPr>
            <w:tcW w:type="dxa" w:w="1949"/>
            <w:vAlign w:val="center"/>
          </w:tcPr>
          <w:p>
            <w:r>
              <w:rPr>
                <w:sz w:val="16"/>
              </w:rPr>
              <w:t>AUROC 0.912 (0.860–0.956)</w:t>
            </w:r>
          </w:p>
        </w:tc>
      </w:tr>
      <w:tr>
        <w:trPr>
          <w:cantSplit/>
        </w:trPr>
        <w:tc>
          <w:tcPr>
            <w:tcW w:type="dxa" w:w="1949"/>
            <w:vAlign w:val="center"/>
          </w:tcPr>
          <w:p>
            <w:r>
              <w:rPr>
                <w:sz w:val="16"/>
              </w:rPr>
              <w:t>THCA–BRAF</w:t>
            </w:r>
          </w:p>
        </w:tc>
        <w:tc>
          <w:tcPr>
            <w:tcW w:type="dxa" w:w="1949"/>
            <w:vAlign w:val="center"/>
          </w:tcPr>
          <w:p>
            <w:r>
              <w:rPr>
                <w:sz w:val="16"/>
              </w:rPr>
              <w:t>binary</w:t>
            </w:r>
          </w:p>
        </w:tc>
        <w:tc>
          <w:tcPr>
            <w:tcW w:type="dxa" w:w="1949"/>
            <w:vAlign w:val="center"/>
          </w:tcPr>
          <w:p>
            <w:r>
              <w:rPr>
                <w:sz w:val="16"/>
              </w:rPr>
              <w:t>Se 0.926 (0.897–0.952); Sp 0.747 (0.688–0.801)</w:t>
            </w:r>
          </w:p>
        </w:tc>
        <w:tc>
          <w:tcPr>
            <w:tcW w:type="dxa" w:w="1949"/>
            <w:vAlign w:val="center"/>
          </w:tcPr>
          <w:p>
            <w:r>
              <w:rPr>
                <w:sz w:val="16"/>
              </w:rPr>
              <w:t>BA 0.837 (0.805–0.866)</w:t>
            </w:r>
          </w:p>
        </w:tc>
        <w:tc>
          <w:tcPr>
            <w:tcW w:type="dxa" w:w="1949"/>
            <w:vAlign w:val="center"/>
          </w:tcPr>
          <w:p>
            <w:r>
              <w:rPr>
                <w:sz w:val="16"/>
              </w:rPr>
              <w:t>AUROC 0.894 (0.862–0.924)</w:t>
            </w:r>
          </w:p>
        </w:tc>
      </w:tr>
    </w:tbl>
    <w:p/>
    <w:p>
      <w:pPr>
        <w:jc w:val="center"/>
      </w:pPr>
      <w:r>
        <w:drawing>
          <wp:inline xmlns:a="http://schemas.openxmlformats.org/drawingml/2006/main" xmlns:pic="http://schemas.openxmlformats.org/drawingml/2006/picture">
            <wp:extent cx="5806440" cy="4125628"/>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4125628"/>
                    </a:xfrm>
                    <a:prstGeom prst="rect"/>
                  </pic:spPr>
                </pic:pic>
              </a:graphicData>
            </a:graphic>
          </wp:inline>
        </w:drawing>
      </w:r>
    </w:p>
    <w:p>
      <w:pPr>
        <w:pStyle w:val="Caption"/>
        <w:jc w:val="center"/>
      </w:pPr>
      <w:r>
        <w:t>Figure 5. Breadth and family of within-cancer screen-positive prediction targets. Absence of an eligible target is distinct from a tested screen-negative result.</w:t>
      </w:r>
    </w:p>
    <w:p>
      <w:pPr>
        <w:pStyle w:val="Heading2"/>
      </w:pPr>
      <w:r>
        <w:t>Site and multiple-slide sensitivity</w:t>
      </w:r>
    </w:p>
    <w:p>
      <w:r>
        <w:t>Site-grouped validation was feasible for 323 screen-positive models. The median grouped-minus-random performance change was -0.026. The first-slide-minus-mean-pool median change across screen-positive models was -0.001.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82376"/>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3182376"/>
                    </a:xfrm>
                    <a:prstGeom prst="rect"/>
                  </pic:spPr>
                </pic:pic>
              </a:graphicData>
            </a:graphic>
          </wp:inline>
        </w:drawing>
      </w:r>
    </w:p>
    <w:p>
      <w:pPr>
        <w:pStyle w:val="Caption"/>
        <w:jc w:val="center"/>
      </w:pPr>
      <w:r>
        <w:t>Figure 6. Random-fold versus tissue-source-site-grouped internal validation. Values below the diagonal indicate attenuation when submitting tissue-source sites are separated.</w:t>
      </w:r>
    </w:p>
    <w:p>
      <w:pPr>
        <w:pStyle w:val="Heading2"/>
      </w:pPr>
      <w:r>
        <w:t>Reusable multi-endpoint inference and COAD illustration</w:t>
      </w:r>
    </w:p>
    <w:p>
      <w:r>
        <w:t>The TITANPred R package exposes 323 fitted models (219 continuous and 104 binary) across 27 cancers [32]. Users supply a cancer vector and correctly named 768-dimensional TITAN features; the interface applies every bundled model available for that cancer. Repeated patient identifiers are mean-pooled before inference. Continuous outputs retain source endpoint units and are positioned against repeated out-of-fold reference distributions; binary outputs comprise the fitted PLS-LDA class and uncalibrated LDA score. A single-sample report renders continuous percentiles as a radar profile and displays binary calls with provenance and out-of-distribution diagnostics.</w:t>
      </w:r>
    </w:p>
    <w:p>
      <w:r>
        <w:t>COAD was chosen as a deployment illustration because colorectal cancer, of which colon adenocarcinoma is a major component, accounted for 1,926,425 new cases worldwide in 2022 [31], and COAD contributed 20 supported models (10 continuous and 10 binary). Its APC, TP53, KRAS and BRAF mutation models were absent from the prespecified exact-pair literature crosswalk, which nominates them for follow-up without establishing bibliographic novelty. For visualization, the two COAD patients with the greatest Euclidean separation across the complete continuous prediction-percentile profile were selected. Example A was MSI-, mutation-rate- and lymphocyte/TIL-high but aneuploidy-low, whereas example B was aneuploidy-high but MSI- and immune-low (Figure 7). This selection deliberately accentuates contrast and is an internal deployment demonstration, not a validation analysis or estimate of clinical prevalence.</w:t>
      </w:r>
    </w:p>
    <w:p>
      <w:pPr>
        <w:jc w:val="center"/>
      </w:pPr>
      <w:r>
        <w:drawing>
          <wp:inline xmlns:a="http://schemas.openxmlformats.org/drawingml/2006/main" xmlns:pic="http://schemas.openxmlformats.org/drawingml/2006/picture">
            <wp:extent cx="6126480" cy="3341716"/>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3341716"/>
                    </a:xfrm>
                    <a:prstGeom prst="rect"/>
                  </pic:spPr>
                </pic:pic>
              </a:graphicData>
            </a:graphic>
          </wp:inline>
        </w:drawing>
      </w:r>
    </w:p>
    <w:p>
      <w:pPr>
        <w:pStyle w:val="Caption"/>
        <w:jc w:val="center"/>
      </w:pPr>
      <w:r>
        <w:t>Figure 7. TITANPred deployment illustration in COAD. Panel A compares continuous prediction percentiles for the two TCGA patients with maximal separation across the complete COAD continuous profile; percentiles are relative to repeated out-of-fold TCGA predictions, not clinical reference ranges. Panel B shows the corresponding binary PLS-LDA calls and LDA-score percentiles; filled points denote positive calls, and scores are not calibrated probabilities. Examples were selected to demonstrate report contrast and do not provide external validation.</w:t>
      </w:r>
    </w:p>
    <w:p>
      <w:pPr>
        <w:pStyle w:val="Heading1"/>
      </w:pPr>
      <w:r>
        <w:t>Discussion</w:t>
      </w:r>
    </w:p>
    <w:p>
      <w:r>
        <w:t>This study answers a target-by-target, cancer-specific question rather than asking whether molecular subtype and mutation status are associated. Fixed pretrained TITAN representations contain useful signal for selected immune programmes, mutations and higher-level genomic phenotypes, but most eligible pairs do not satisfy both multiplicity and effect thresholds. That heterogeneity—and transparent negative reporting—is the primary result. Under the stricter across-cancer family correction, 219 continuous and 39 mutation pairs passed; the remaining within-cancer candidates should not be interpreted as pan-cancer biomarkers. Conversely, global non-passage cannot be interpreted as evidence of no signal because the 0.001 empirical-p resolution restricts attainable q-values in large families.</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mutation results divide into two evidence groups. 24 of the 41 within-cancer screen-positive cancer–gene pairs were exact pairs in the prespecified histology literature crosswalk and were recovered here: BLCA–FGFR3: prior AUROC 0.780, current balanced accuracy 0.729 (q=0.010); BRCA–CDH1: prior AUROC 0.810, current balanced accuracy 0.731 (q=0.007); BRCA–TP53: prior AUROC 0.768 [0.735–0.781], current balanced accuracy 0.744 (q=0.007); BRCA–TP53: prior AUROC &gt;0.611, current balanced accuracy 0.744 (q=0.007); LGG–IDH1: prior AUROC 0.764, current balanced accuracy 0.786 (q=0.002); LGG–TP53: prior AUROC 0.787, current balanced accuracy 0.846 (q=0.002); THCA–BRAF: prior AUROC 0.860, current balanced accuracy 0.830 (q=0.001); UCEC–PTEN: prior reported histopathological association, current balanced accuracy 0.726 (q=0.016); UCEC–PTEN: prior AUROC 0.773, current balanced accuracy 0.726 (q=0.016); UCEC–TP53: prior AUROC 0.764, current balanced accuracy 0.764 (q=0.016); BRCA–PIK3CA: prior AUROC 0.625 [0.605–0.659], current balanced accuracy 0.631 (q=0.007); BRCA–PIK3CA: prior AUROC &gt;0.611, current balanced accuracy 0.631 (q=0.007); CESC–TP53: prior AUROC 0.673 [0.628–0.749], current balanced accuracy 0.604 (q=0.024); HNSC–NSD1: prior AUROC 0.668 [0.597–0.737], current balanced accuracy 0.630 (q=0.009); HNSC–TP53: prior AUROC 0.699 [0.687–0.732], current balanced accuracy 0.636 (q=0.009); LIHC–CTNNB1: prior AUROC 0.682 [0.635–0.688], current balanced accuracy 0.668 (q=0.002); LIHC–TP53: prior reported histopathological association, current balanced accuracy 0.633 (q=0.002); LIHC–TP53: prior AUROC 0.606 [0.572–0.656], current balanced accuracy 0.633 (q=0.002); LIHC–TP53: prior AUROC 0.597, current balanced accuracy 0.633 (q=0.002); LUAD–EGFR: prior AUROC 0.733–0.856 across six reported genes, current balanced accuracy 0.617 (q=0.007); LUAD–EGFR: prior AUROC 0.624 [0.598–0.670], current balanced accuracy 0.617 (q=0.007); LUAD–TP53: prior AUROC 0.733–0.856 across six reported genes, current balanced accuracy 0.699 (q=0.007); LUAD–TP53: prior AUROC 0.720 [0.700–0.746], current balanced accuracy 0.699 (q=0.007); STAD–PIK3CA: prior AUROC 0.636 [0.581–0.662], current balanced accuracy 0.637 (q=0.009). Prior studies generally reported AUROC, whereas the present primary metric is balanced accuracy; the side-by-side values describe consistency of discrimination but are not numerical estimates of improvement or inferiority.</w:t>
      </w:r>
    </w:p>
    <w:p>
      <w:r>
        <w:t>Several published pairs retained moderate discrimination but did not satisfy the current within-cancer mutation-family FDR criterion: BRCA–TP53: prior AUROC 0.768 [0.735–0.781], current balanced accuracy 0.744 (q=0.007); UCEC–TP53: prior AUROC 0.764, current balanced accuracy 0.764 (q=0.016); LIHC–CTNNB1: prior AUROC 0.682 [0.635–0.688], current balanced accuracy 0.668 (q=0.002); PAAD–KRAS: prior AUROC 0.670 [0.570–0.712], current balanced accuracy 0.588 (q=1.000). Other reported pairs were weaker or ineligible under the present primary-tumour and minimum-class-count rules. Differences can arise from cohort composition, primary-versus-metastatic sampling, slide preparation, mutation definition, model class and validation design. Supplementary Table S9 provides the report-level comparison and the complete machine-readable crosswalk preserves original evidence notes and URLs.</w:t>
      </w:r>
    </w:p>
    <w:p>
      <w:r>
        <w:t>The remaining 24 screen-positive mutation pairs were not present in the prespecified exact-pair crosswalk and are therefore atlas-nominated candidates rather than replications. Leading examples were THYM–GTF2I (balanced accuracy 0.883, q=0.001); READ–APC (balanced accuracy 0.862, q=0.002); READ–TP53 (balanced accuracy 0.861, q=0.002); COAD–APC (balanced accuracy 0.793, q=0.003); COAD–TP53 (balanced accuracy 0.779, q=0.003); LGG–CIC (balanced accuracy 0.779, q=0.002); LGG–ATRX (balanced accuracy 0.761, q=0.002); THCA–NRAS (balanced accuracy 0.703, q=0.001). Absence from this targeted crosswalk is not a claim that no publication has ever evaluated the pair; a systematic endpoint-level review would be required to establish bibliographic novelty. Supplementary Table S10 classifies every screen-positive mutation pair explicitly.</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r>
        <w:t>For continuous outcomes, prior work predicted RNA expression [6], tumour composition [4], continuous HRD and microenvironment measures [12], and externally evaluated tumour-microenvironment composition in non-small cell lung cancer [15]. The present study instead screens the prespecified Thorsson immune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of TITAN plus PLS is a uniform, auditable screen over many prespecified outcomes using one fixed pretrained representation, with one-at-a-time PLS–LDA retained for the prespecified individual binary endpoints and PLS2 examined secondarily for correlated inflammatory panels.</w:t>
      </w:r>
    </w:p>
    <w:p>
      <w:r>
        <w:t>A further practical feature is data-minimising model portability. Preprocessing values, latent weights and coefficients are sufficient for continuous prediction, with compact LDA parameters added for binary classification. TITANPred publicly distributes these fitted objects and applies every cancer-matched model to correctly ordered TITAN features without distributing the original patient embeddings or outcomes [32]. This reduces the patient-level data that must be exchanged, although it does not itself confer privacy, satisfy local governance requirements or establish transportability. The COAD examples show how the package summarizes divergent multi-endpoint profiles; because the examples were selected for maximal separation within TCGA and were predicted by full-cohort fits, they must not be interpreted as new accuracy evidence.</w:t>
      </w:r>
    </w:p>
    <w:p>
      <w:r>
        <w:t>Strengths include primary-tumour matching across every data source, deterministic mean pooling of multiple slides, nested patient-level validation, FDR control within cancer and endpoint family,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predictions cannot justify omitting a molecular assay. External feature extraction and prospective evaluation are required before clinical use.</w:t>
      </w:r>
    </w:p>
    <w:p>
      <w:r>
        <w:t>The repeated nested-CV estimates and patient-cluster bootstrap intervals are also conditional on selecting endpoints in this same TCGA atlas. They quantify partition and sampling variability for highlighted candidates but do not correct winner's-curse optimism from highlighting the strongest screen results. Consequently, the intervals should not be read as external-performance intervals; locked-model evaluation in an untouched cohort is required for unbiased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Tissue-source-site grouping probes one form of institutional heterogeneity but cannot establish fairness across ancestry, sex, age or access-to-care groups. Any external evaluation should prespecify representative sampling and subgroup performance, calibration and failure analysis.</w:t>
      </w:r>
    </w:p>
    <w:p>
      <w:pPr>
        <w:pStyle w:val="Heading1"/>
      </w:pPr>
      <w:r>
        <w:t>Conclusions</w:t>
      </w:r>
    </w:p>
    <w:p>
      <w:r>
        <w:t>Mean-pooled TITAN representations enable a cancer-specific TCGA discovery atlas of selected immune, mutation, pathway, MSI, aneuploidy and fusion phenotypes. The public TITANPred package applies all cancer-matched fitted PLS and PLS–LDA models without distributing patient-level training data, providing a practical route to independent external research validation. The resource prioritises hypotheses and exposes screen-negative targets, but remains internally validated and non-clinical.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public TITAN TCGA feature artifact (TCGA_TITAN_features.pkl) through its supplied 768-feature CSV export. TCGA molecular data and the cited public supplementary records remain available from their original repositories. Exact source locations, access information and SHA-256 checksums are recorded in the companion analysis repository [30]. Controlled-access whole-slide images are not redistributed. All 323 fitted research models, their registry, inference code and HTML/PDF report template are distributed in the separate TITANPred repository [32].</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w:t>
      </w:r>
    </w:p>
    <w:p>
      <w:r>
        <w:t>Additional file 1 (.docx): Supplementary material. Contains Supplementary Methods, Tables S1–S12, Figures S1–S2 and an inventory of the companion machine-readable result files.</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prediction atlas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TCGA TITAN molecular and immune discovery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