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w:t>
      </w:r>
    </w:p>
    <w:p>
      <w:r>
        <w:t>Patient-level comparison of three released pathology representation pipelines with a common PLS-based probe across TCGA cancers</w:t>
      </w:r>
    </w:p>
    <w:p>
      <w:r>
        <w:t>This document is Additional file 1, supplementary_material_JTM.docx. Additional_file_2_COAD_example_A_PathoFMPred_report.pdf and Additional_file_3_COAD_example_B_PathoFMPred_report.pdf contain the separate COAD research-software examples.</w:t>
      </w:r>
    </w:p>
    <w:p>
      <w:pPr>
        <w:pStyle w:val="Heading1"/>
      </w:pPr>
      <w:r>
        <w:t>Contents</w:t>
      </w:r>
    </w:p>
    <w:p>
      <w:r>
        <w:t>This shortened Supplement retains interpretation-critical methods, compact three-representation biological summaries and four supporting figures. Complete target-level, fold-level and fitted-model records remain in the synchronized machine-readable companions.</w:t>
      </w:r>
    </w:p>
    <w:p>
      <w:pPr>
        <w:pStyle w:val="ListBullet"/>
      </w:pPr>
      <w:r>
        <w:t>Supplementary Methods: outcome construction, validation, reliability, literature and endpoint provenance</w:t>
      </w:r>
    </w:p>
    <w:p>
      <w:pPr>
        <w:pStyle w:val="ListBullet"/>
      </w:pPr>
      <w:r>
        <w:t>Tables S1-S3: cohort, pathology and molecular linkage</w:t>
      </w:r>
    </w:p>
    <w:p>
      <w:pPr>
        <w:pStyle w:val="ListBullet"/>
      </w:pPr>
      <w:r>
        <w:t>Tables S4-S7: three-representation binary, continuous, family-level and literature summaries</w:t>
      </w:r>
    </w:p>
    <w:p>
      <w:pPr>
        <w:pStyle w:val="ListBullet"/>
      </w:pPr>
      <w:r>
        <w:t>Tables S8-S13: statistical audits, endpoint provenance, matched benchmark, slide intersection and normalized breadth</w:t>
      </w:r>
    </w:p>
    <w:p>
      <w:pPr>
        <w:pStyle w:val="ListBullet"/>
      </w:pPr>
      <w:r>
        <w:t>Figures S1-S4: binary reliability, continuous reliability, TCGA tissue-source-site code sensitivity and paired representation effects</w:t>
      </w:r>
    </w:p>
    <w:p>
      <w:pPr>
        <w:pStyle w:val="ListBullet"/>
      </w:pPr>
      <w:r>
        <w:t>Machine-readable companion inventory by analysis domain</w:t>
      </w:r>
    </w:p>
    <w:p>
      <w:pPr>
        <w:pStyle w:val="Heading1"/>
      </w:pPr>
      <w:r>
        <w:t>Supplementary Methods</w:t>
      </w:r>
    </w:p>
    <w:p>
      <w:r>
        <w:t>Reference numbers in this Supplement refer to the main-manuscript bibliography. The analysis used the established histology-prediction literature [1-15,17], PLS and discriminant-analysis methodology [33-34], published TCGA phenotype sources [20,25-31], false-discovery-rate and reporting guidance [35-36], the TCGA Clinical Data Resource [37], analysis and software repositories [32,38], global-incidence and GDC resources [39-40], targeted literature and planned external-cohort sources [41-43], immune-deconvolution and H&amp;E TIL methods [21-22], the evaluated representation publications and released artifacts [18-19,44-45], DINOv2 as a general self-supervised vision example [16], UCSC Xena [23] and the MSigDB Hallmark collection [24].</w:t>
      </w:r>
    </w:p>
    <w:p>
      <w:r>
        <w:t>The executable analysis plan, source manifest, eligibility catalogues, checkpoint-capable scripts and released out-of-fold prediction tables are available in the public GPL-3.0-or-later companion analysis repository. PathoFMPred contributor-authored source code and documentation are released under the MIT License. The public package contains a minimal Giga-SSL fixture and explicit, checksum-verified post-install download functions for the permitted Giga-SSL and Prov-GigaPath fitted collections. Those assets carry separate notices and upstream attribution. The TITAN fitted collection is excluded from the public repository because redistribution requires upstream permission; authorized users can construct and apply a local object with the generic builder and object-level prediction function. Large local restart checkpoints and patient-level source data are not redistributed. Tables below are concise views; synchronized machine-readable files provide the complete-resolution companion records.</w:t>
      </w:r>
    </w:p>
    <w:p>
      <w:r>
        <w:t>For the selected cancer and representation, PathoFMPred prediction, plotting and reporting include only fitted objects that met the recorded predictability rule. In the matched atlas this is Q² at least 0.20 for continuous endpoints or AUROC at least 0.60 for binary endpoints. TITAN objects outside the three-representation common cohort retain the supporting permutation/FDR-qualified TITAN status. Smaller-sample crossings require explicit opt-in, while tested-below-threshold objects never enter prediction or reports and remain visible only in the raw audit registry.</w:t>
      </w:r>
    </w:p>
    <w:p>
      <w:r>
        <w:t>Terminology: predictability denotes held-out cross-validated statistical association under the specified model, folds, target definition and performance criterion. It does not denote causal biology, mechanistic interpretation, direct reconstruction of an assay, analytical or clinical equivalence, or permission to replace the originating measurement.</w:t>
      </w:r>
    </w:p>
    <w:p>
      <w:r>
        <w:t>Metric definitions: Q² is the cross-validated coefficient of determination; a q-value is a false-discovery-rate-adjusted empirical p-value; out-of-fold (OOF) denotes predictions generated for patients excluded from model fitting; a selection-conditioned (SC) interval is the patient-resampling interval calculated from the five fixed repeated OOF prediction sets; and TCGA tissue-source-site code is the barcode-derived submitting-centre field used as an internal cohort-structure variable.</w:t>
      </w:r>
    </w:p>
    <w:p>
      <w:r>
        <w:t>Representation-artifact audit: the downloaded Prov-GigaPath Parquet contained 1,406 excess rows across 1,402 duplicated slide identifiers. The repeated final-layer vectors were exactly identical. Conversion retained the first occurrence and removed all 1,406 exact duplicate Prov-GigaPath rows before slide filtering and patient pooling, so repeated source rows could not alter slide or patient weights. The source dataset card does not document why the duplicate rows were present.</w:t>
      </w:r>
    </w:p>
    <w:p>
      <w:pPr>
        <w:pStyle w:val="Heading2"/>
      </w:pPr>
      <w:r>
        <w:t>Outcome acquisition, participant linkage and label construction</w:t>
      </w:r>
    </w:p>
    <w:p>
      <w:r>
        <w:t>The published supplementary workbooks or public TCGA PanCancer files identified below were downloaded, and values were imported with the source-specific rules implemented in R/02_build_nonmutation_targets.R and R/03_build_mutation_targets.R. Outcomes were joined after slide pooling. A 12-character TCGA participant barcode was used for every analysis row, and 15-character sample barcodes were retained when supplied by the source. Source absence was treated as missing rather than negative. The exception was a documented assayed denominator: MC3-profiled patients without a qualifying mutation and Gao study samples without a fusion call were assigned negative according to the rules below. Filenames, DOI identifiers and SHA-256 digests are recorded in the source manifest; cancer-specific denominators are reported in molecular_source_coverage_audit.csv and mutation_coverage_audit.csv.</w:t>
      </w:r>
    </w:p>
    <w:p>
      <w:r>
        <w:rPr>
          <w:b/>
        </w:rPr>
        <w:t xml:space="preserve">Thorsson PanImmune. </w:t>
      </w:r>
      <w:r>
        <w:t xml:space="preserve"> 22 CIBERSORT LM22 fractions; methylation-derived leukocyte fraction; 10 RNA inflammatory or immune signatures; six BCR/TCR repertoire metrics; two mutation rates; two predicted neoantigen burdens; six genomic-context quantities; H&amp;E-derived TIL Regional Fraction Source: immunology_paper.xlsx; sheet PanImmune_MS (Thorsson et al. 2018; doi:10.1016/j.immuni.2018.03.023). Identifier: 12-character TCGA Participant Barcode only. Processing: Selected 50 non-survival, non-subtype, non-aggregate fields; imported published values rather than recomputing them. Participant rule: One published participant row; endpoint-specific missing values retained. Missing or negative rule: Not applicable to continuous endpoints; absence from the table remained missing. Transformation: Natural log of one plus the source value for silent and nonsilent mutation rates, SNV and indel neoantigens, and number of segments; all other values used as supplied.</w:t>
      </w:r>
    </w:p>
    <w:p>
      <w:r>
        <w:rPr>
          <w:b/>
        </w:rPr>
        <w:t xml:space="preserve">MC3 mutations with Bailey driver catalogue. </w:t>
      </w:r>
      <w:r>
        <w:t xml:space="preserve"> Binary tissue-specific driver-gene mutation status Source: TCGAmutations MC3 objects; Bailey mmc1.xlsx sheet Table S1 (Ellrott et al. 2018 and Bailey et al. 2018; doi:10.1016/j.cels.2018.03.002 and 10.1016/j.cell.2018.02.060). Identifier: 15-character TCGA Tumor Sample Barcode from MC3 clinical metadata. Processing: Retained primary-tumour sample type 01, FILTER=PASS and protein-altering missense, nonsense, nonstop, splice-site, translation-start, frameshift or in-frame variants; COADREAD drivers mapped to COAD and READ. Participant rule: Any qualifying variant in any matched profiled primary sample defined mutated. Missing or negative rule: Wild type assigned only to patients with an MC3-profiled primary tumour and no qualifying variant in that gene; patients without MC3 profiling remained missing. Transformation: None.</w:t>
      </w:r>
    </w:p>
    <w:p>
      <w:r>
        <w:rPr>
          <w:b/>
        </w:rPr>
        <w:t xml:space="preserve">Sanchez-Vega oncogenic pathways. </w:t>
      </w:r>
      <w:r>
        <w:t xml:space="preserve"> Binary alteration status for ten oncogenic signalling pathways Source: oncogenic_mmc4.xlsx; sheet Pathway level (Sanchez-Vega et al. 2018; doi:10.1016/j.cell.2018.03.035). Identifier: 15-character SAMPLE_BARCODE. Processing: Retained primary-tumour sample type 01 and the published pathway-level binary matrix. Participant rule: Any altered primary sample defined the patient-level pathway as altered. Missing or negative rule: Covered primary samples without the pathway alteration were negative; participants absent from the source remained missing. Transformation: None.</w:t>
      </w:r>
    </w:p>
    <w:p>
      <w:r>
        <w:rPr>
          <w:b/>
        </w:rPr>
        <w:t xml:space="preserve">Taylor aneuploidy. </w:t>
      </w:r>
      <w:r>
        <w:t xml:space="preserve"> Aneuploidy score, deleted-arm count, amplified-arm count and genome doubling Source: aneuploidy_mmc2.xlsx; Table S2 (Taylor et al. 2018; doi:10.1016/j.ccell.2018.03.007). Identifier: 15-character Sample barcode. Processing: Retained primary-tumour sample type 01 and the published aneuploidy fields. Participant rule: Continuous values were averaged across primary samples; any positive primary sample defined genome doubling. Missing or negative rule: Participants absent from the source remained missing. Transformation: None.</w:t>
      </w:r>
    </w:p>
    <w:p>
      <w:r>
        <w:rPr>
          <w:b/>
        </w:rPr>
        <w:t xml:space="preserve">Gao fusions. </w:t>
      </w:r>
      <w:r>
        <w:t xml:space="preserve"> Fusion burden, any called fusion and eligible recurrent fusion-pair indicators Source: fusion_mmc2.xlsx; sheets TCGA samples used in this study and Final fusion call set (Gao et al. 2018; doi:10.1016/j.celrep.2018.03.050). Identifier: 15-character Sample barcode. Processing: Retained primary-tumour sample type 01; the study sample sheet defined assay coverage and the final-call sheet defined unique fusions. Participant rule: Unique fusion calls were collapsed by participant. Missing or negative rule: Within the assayed denominator, no fusion call meant zero; participants outside the study sample list remained missing. Transformation: Natural log of one plus the unique fusion count for fusion burden.</w:t>
      </w:r>
    </w:p>
    <w:p>
      <w:r>
        <w:rPr>
          <w:b/>
        </w:rPr>
        <w:t xml:space="preserve">cBioPortal TCGA PanCancer MSI. </w:t>
      </w:r>
      <w:r>
        <w:t xml:space="preserve"> MANTIS score, MSIsensor score and two MANTIS-based MSI-H definitions Source: data_clinical_sample.txt downloaded for 31 TCGA PanCancer Atlas studies (cBioPortal TCGA PanCancer Atlas and Bonneville et al. 2017; doi:10.1200/PO.17.00073). Identifier: 15-character SAMPLE_ID. Processing: Retained primary-tumour sample type 01 and finite MSI_SCORE_MANTIS or MSI_SENSOR_SCORE values. Participant rule: Finite scores were averaged across primary samples. Missing or negative rule: All missing primary-sample scores remained missing; MANTIS greater than 0.4 defined MSI-H in the main binary definition; the strict sensitivity used greater than 0.6 as MSI-H, less than 0.4 as MSS and excluded 0.4 to 0.6. Transformation: None.</w:t>
      </w:r>
    </w:p>
    <w:p>
      <w:r>
        <w:rPr>
          <w:b/>
        </w:rPr>
        <w:t xml:space="preserve">UCSC Xena RNA pathway activity. </w:t>
      </w:r>
      <w:r>
        <w:t xml:space="preserve"> 50 MSigDB Hallmark pathways; Reactome glutathione synthesis and recycling; Gene Ontology vitamin B6 metabolic process Source: data/external/xena/EB++AdjustPANCAN_IlluminaHiSeq_RNASeqV2.geneExp.xena.gz and data/reference/pathway_gene_sets_msigdbr_2026.1.Hs.csv (UCSC Xena TCGA Pan-Cancer RNA-seq and MSigDB 2026.1.Hs). Identifier: 15-character TCGA RNA-seq sample barcode. Processing: Retained primary-tumour sample type 01; standardized each measured gene within cancer; scored each set as mean standardized expression of measured member genes. Participant rule: Expression was averaged across multiple primary-tumour aliquots before pathway scoring. Missing or negative rule: Participants without a matched primary-tumour RNA sample remained missing; a pathway required at least two measured member genes. Transformation: None beyond within-cancer gene standardization.</w:t>
      </w:r>
    </w:p>
    <w:p>
      <w:pPr>
        <w:pStyle w:val="Heading2"/>
      </w:pPr>
      <w:r>
        <w:t>Binary class-size, fold-composition and stability analyses</w:t>
      </w:r>
    </w:p>
    <w:p>
      <w:r>
        <w:t>The primary screening estimate is the initial nested-CV value used for candidate selection and permutation testing. The repeated-validation estimate is the mean across five additional independently seeded nested-CV partitions and is reported as a post-selection stability estimate. The values need not be identical because the fold partitions and rSVD seeds differ. The supporting screen retained a minimum of 20 positive and 20 negative participants so that rare cancer-specific endpoints were not silently discarded; a separate 50-per-class analysis was used only as a sample-size sensitivity. For all 99 binary candidates, every repeated outer fold and the corresponding inner partitions used to select 1 to 20 components were audited for class counts. Component distributions summarize the 25 outer fits generated by five repeats of five-fold nested validation. PR-AUC is non-interpolated average precision; PPV and NPV use held-out calls and the observed TCGA prevalence and are not calibrated or transportable probabilities.</w:t>
      </w:r>
    </w:p>
    <w:p>
      <w:r>
        <w:t>Prediction stability used standardized held-out LDA scores because independently fitted discriminant scales are not directly comparable. For each pair of repeats, Spearman correlation was calculated over patient scores and agreement over class calls, then averaged. Limited-evidence learning curves used the original outer test fold at every fraction and fitted the model to deterministic stratified 50%, 75% and 100% subsets of that fold's training patients. The full-data point exactly reproduces the original repeated nested-CV result. Small-class screen-positive models remain in the complete analysis registry but are excluded from default PathoFMPred inference; an explicit include_limited_evidence=TRUE opt-in emits a warning.</w:t>
      </w:r>
    </w:p>
    <w:p>
      <w:pPr>
        <w:pStyle w:val="Heading2"/>
      </w:pPr>
      <w:r>
        <w:t>Continuous sample-size and stability audit</w:t>
      </w:r>
    </w:p>
    <w:p>
      <w:r>
        <w:t>For all 770 continuous TITAN candidates, the outcome-labelled sample size, five-repeat Q² distribution and patient-level prediction stability were summarized. Stability was the mean of all ten pairwise Spearman correlations between the five repeated out-of-fold prediction vectors. The deterministic seed schedule was rerun to persist the component selected in each of 25 outer fits per target. A 20-component selection was recorded as reaching the fixed search ceiling. Ninety-one models had fewer than 100 labelled patients and were assigned to the smaller sample-size maturity stratum; the corresponding binary stratum contained 19 models with fewer than 50 patients in one class. These descriptive cutoffs do not change eligibility, screening, multiplicity or the complete atlas and are not evidence grades.</w:t>
      </w:r>
    </w:p>
    <w:p>
      <w:pPr>
        <w:pStyle w:val="Heading2"/>
      </w:pPr>
      <w:r>
        <w:t>Targeted narrative literature audit</w:t>
      </w:r>
    </w:p>
    <w:p>
      <w:r>
        <w:t>A targeted narrative audit rather than a systematic review was conducted. PubMed was last searched on 24 August 2026 with: (1) ‘(histology OR H&amp;E OR whole-slide image) AND (mutation OR genomic alteration) AND (prediction OR deep learning) AND cancer’; (2) ‘(computational pathology OR digital pathology) AND molecular biomarker prediction AND cancer’; (3) ‘pan-cancer AND histology AND mutation prediction AND TCGA’; and (4) ‘thymoma AND GTF2I AND (histology OR morphology OR prediction)’. Backward and forward citations of the principal pan-cancer and endpoint-specific reports were checked, and primary-study supplementary tables were inspected when available.</w:t>
      </w:r>
    </w:p>
    <w:p>
      <w:r>
        <w:t>Human tumour studies were included when they predicted a mutation or molecular feature from routine histological whole-slide images and reported a cancer–endpoint result mappable to the present atlas. Morphology-only associations without a predictive model, non-histological predictors, prognosis-only studies, reviews without primary performance estimates and non-mappable targets were excluded. Preprints were retained in a separate preliminary-evidence category. A pooled colorectal/CRC result was mapped to both COAD and READ but retained the scope label ‘pooled colorectal’; exact COAD or READ evidence took precedence. One investigator screened and extracted the study, cancer, endpoint, metric, statistical-support status, cohort scope and source URL. There was no duplicate independent screening, protocol registration or formal risk-of-bias assessment. Accordingly, ‘not identified’ means not found in this targeted cross-check and is not a claim of bibliographic novelty. The machine-readable method and pair-level decisions are literature_crosscheck_method.csv and supported_mutation_literature_audit.csv.</w:t>
      </w:r>
    </w:p>
    <w:p>
      <w:pPr>
        <w:pStyle w:val="Heading2"/>
      </w:pPr>
      <w:r>
        <w:t>Endpoint provenance and qualitative morphology context</w:t>
      </w:r>
    </w:p>
    <w:p>
      <w:r>
        <w:t>Every eligible cancer-endpoint target was assigned a label-generation class before interpretation: directly observed genomic alteration, sequencing-derived continuous burden, computationally inferred immune-cell fraction, transcriptomic signature, pathology-associated quantity or composite genomic-context score. The machine-readable endpoint_dictionary.csv contains one row for every target, including source modality, direct or inferred status, derivation algorithm, original scale, analysis transformation, missingness, expected measurement error, biological interpretation and an assay-equivalence caveat. endpoint_definition_dictionary.csv collapses these rows to unique endpoint definitions. TIL Regional Fraction alone is flagged as a same-H&amp;E-modality target.</w:t>
      </w:r>
    </w:p>
    <w:p>
      <w:r>
        <w:t>For the morphology-context sensitivity, five models were selected to represent different label modalities rather than to imply exhaustive interpretability. High and low anchors were restricted to report-covered concordant extremes of mean repeated out-of-fold predictions. Their nearest within-cancer neighbours were selected by cosine similarity of patient-level mean TITAN representations within the corresponding high/low prediction stratum. A representative report-covered slide was chosen by minimum squared distance to the patient mean. Exact prediction values and ranks were retained without dichotomising continuous outputs. A fixed term list and excerpts were extracted from TITAN-generated slide reports only for contextual audit. This analysis cannot localise patches or support causal morphology because tile representations, pixels and independent blinded pathology annotations were unavailable.</w:t>
      </w:r>
    </w:p>
    <w:p>
      <w:pPr>
        <w:pStyle w:val="Heading2"/>
      </w:pPr>
      <w:r>
        <w:t>Secondary comparison of single-outcome and multi-outcome PLS</w:t>
      </w:r>
    </w:p>
    <w:p>
      <w:r>
        <w:t>The documented secondary comparison jointly modelled three inflammatory blocks: infiltration/signatures, immune repertoire and inferred immune-cell fractions. Separate single-outcome PLS models and joint multi-outcome PLS used identical complete-case patients and outer folds, training-fold outcome scaling, separately selected component counts and three independently seeded nested-CV repeats. Changes in Q² were aggregated first within cancer; uncertainty was estimated by resampling cancers. Endpoint win counts were not treated as inferential evidence. Multi-outcome PLS was not substituted into the main resource because it applies only to coherent continuous panels, requires the intersection of patients with every response observed, shares a latent representation across a fixed ordered response set and changes the estimand from one endpoint to a joint panel. It cannot replace the individual binary PLS-LDA models. Its positive average results motivate a future multi-outcome immune resource whose evaluation rules should be committed before outcome inspection, but no external validation or matched multi-outcome ridge baseline was available.</w:t>
      </w:r>
    </w:p>
    <w:p>
      <w:pPr>
        <w:pStyle w:val="Heading1"/>
      </w:pPr>
      <w:r>
        <w:t>Table S1. Analysis coverage and evidence layers</w:t>
      </w:r>
    </w:p>
    <w:tbl>
      <w:tblPr>
        <w:tblStyle w:val="TableGrid"/>
        <w:tblW w:type="dxa" w:w="9637"/>
        <w:jc w:val="left"/>
        <w:tblLayout w:type="fixed"/>
        <w:tblLook w:firstColumn="1" w:firstRow="1" w:lastColumn="0" w:lastRow="0" w:noHBand="0" w:noVBand="1" w:val="04A0"/>
        <w:tblLayout w:type="fixed"/>
        <w:tblInd w:type="dxa" w:w="0"/>
      </w:tblPr>
      <w:tblGrid>
        <w:gridCol w:w="1814"/>
        <w:gridCol w:w="1134"/>
        <w:gridCol w:w="1474"/>
        <w:gridCol w:w="1984"/>
        <w:gridCol w:w="3231"/>
      </w:tblGrid>
      <w:tr>
        <w:trPr>
          <w:tblHeader w:val="true"/>
          <w:cantSplit/>
        </w:trPr>
        <w:tc>
          <w:tcPr>
            <w:tcW w:type="dxa" w:w="1814"/>
          </w:tcPr>
          <w:p>
            <w:pPr>
              <w:spacing w:line="240" w:lineRule="auto" w:after="0"/>
            </w:pPr>
            <w:r>
              <w:rPr>
                <w:b/>
                <w:sz w:val="15"/>
              </w:rPr>
              <w:t>Layer</w:t>
            </w:r>
          </w:p>
        </w:tc>
        <w:tc>
          <w:tcPr>
            <w:tcW w:type="dxa" w:w="1134"/>
          </w:tcPr>
          <w:p>
            <w:pPr>
              <w:spacing w:line="240" w:lineRule="auto" w:after="0"/>
            </w:pPr>
            <w:r>
              <w:rPr>
                <w:b/>
                <w:sz w:val="15"/>
              </w:rPr>
              <w:t>Patients</w:t>
            </w:r>
          </w:p>
        </w:tc>
        <w:tc>
          <w:tcPr>
            <w:tcW w:type="dxa" w:w="1474"/>
          </w:tcPr>
          <w:p>
            <w:pPr>
              <w:spacing w:line="240" w:lineRule="auto" w:after="0"/>
            </w:pPr>
            <w:r>
              <w:rPr>
                <w:b/>
                <w:sz w:val="15"/>
              </w:rPr>
              <w:t>Cancer-endpoint tasks</w:t>
            </w:r>
          </w:p>
        </w:tc>
        <w:tc>
          <w:tcPr>
            <w:tcW w:type="dxa" w:w="1984"/>
          </w:tcPr>
          <w:p>
            <w:pPr>
              <w:spacing w:line="240" w:lineRule="auto" w:after="0"/>
            </w:pPr>
            <w:r>
              <w:rPr>
                <w:b/>
                <w:sz w:val="15"/>
              </w:rPr>
              <w:t>Representations</w:t>
            </w:r>
          </w:p>
        </w:tc>
        <w:tc>
          <w:tcPr>
            <w:tcW w:type="dxa" w:w="3231"/>
          </w:tcPr>
          <w:p>
            <w:pPr>
              <w:spacing w:line="240" w:lineRule="auto" w:after="0"/>
            </w:pPr>
            <w:r>
              <w:rPr>
                <w:b/>
                <w:sz w:val="15"/>
              </w:rPr>
              <w:t>Qualification</w:t>
            </w:r>
          </w:p>
        </w:tc>
      </w:tr>
      <w:tr>
        <w:trPr>
          <w:cantSplit/>
        </w:trPr>
        <w:tc>
          <w:tcPr>
            <w:tcW w:type="dxa" w:w="1814"/>
            <w:vAlign w:val="center"/>
          </w:tcPr>
          <w:p>
            <w:pPr>
              <w:spacing w:line="240" w:lineRule="auto" w:after="0"/>
            </w:pPr>
            <w:r>
              <w:rPr>
                <w:sz w:val="14"/>
              </w:rPr>
              <w:t>Matched benchmark</w:t>
            </w:r>
          </w:p>
        </w:tc>
        <w:tc>
          <w:tcPr>
            <w:tcW w:type="dxa" w:w="1134"/>
            <w:vAlign w:val="center"/>
          </w:tcPr>
          <w:p>
            <w:pPr>
              <w:spacing w:line="240" w:lineRule="auto" w:after="0"/>
            </w:pPr>
            <w:r>
              <w:rPr>
                <w:sz w:val="14"/>
              </w:rPr>
              <w:t>8,241</w:t>
            </w:r>
          </w:p>
        </w:tc>
        <w:tc>
          <w:tcPr>
            <w:tcW w:type="dxa" w:w="1474"/>
            <w:vAlign w:val="center"/>
          </w:tcPr>
          <w:p>
            <w:pPr>
              <w:spacing w:line="240" w:lineRule="auto" w:after="0"/>
            </w:pPr>
            <w:r>
              <w:rPr>
                <w:sz w:val="14"/>
              </w:rPr>
              <w:t>3,389</w:t>
            </w:r>
          </w:p>
        </w:tc>
        <w:tc>
          <w:tcPr>
            <w:tcW w:type="dxa" w:w="1984"/>
            <w:vAlign w:val="center"/>
          </w:tcPr>
          <w:p>
            <w:pPr>
              <w:spacing w:line="240" w:lineRule="auto" w:after="0"/>
            </w:pPr>
            <w:r>
              <w:rPr>
                <w:sz w:val="14"/>
              </w:rPr>
              <w:t>TITAN, Giga-SSL, Prov-GigaPath</w:t>
            </w:r>
          </w:p>
        </w:tc>
        <w:tc>
          <w:tcPr>
            <w:tcW w:type="dxa" w:w="3231"/>
            <w:vAlign w:val="center"/>
          </w:tcPr>
          <w:p>
            <w:pPr>
              <w:spacing w:line="240" w:lineRule="auto" w:after="0"/>
            </w:pPr>
            <w:r>
              <w:rPr>
                <w:sz w:val="14"/>
              </w:rPr>
              <w:t>Descriptive Q2/AUROC comparison on matched patients and folds</w:t>
            </w:r>
          </w:p>
        </w:tc>
      </w:tr>
      <w:tr>
        <w:trPr>
          <w:cantSplit/>
        </w:trPr>
        <w:tc>
          <w:tcPr>
            <w:tcW w:type="dxa" w:w="1814"/>
            <w:vAlign w:val="center"/>
          </w:tcPr>
          <w:p>
            <w:pPr>
              <w:spacing w:line="240" w:lineRule="auto" w:after="0"/>
            </w:pPr>
            <w:r>
              <w:rPr>
                <w:sz w:val="14"/>
              </w:rPr>
              <w:t>Supporting TITAN screen</w:t>
            </w:r>
          </w:p>
        </w:tc>
        <w:tc>
          <w:tcPr>
            <w:tcW w:type="dxa" w:w="1134"/>
            <w:vAlign w:val="center"/>
          </w:tcPr>
          <w:p>
            <w:pPr>
              <w:spacing w:line="240" w:lineRule="auto" w:after="0"/>
            </w:pPr>
            <w:r>
              <w:rPr>
                <w:sz w:val="14"/>
              </w:rPr>
              <w:t>9,404</w:t>
            </w:r>
          </w:p>
        </w:tc>
        <w:tc>
          <w:tcPr>
            <w:tcW w:type="dxa" w:w="1474"/>
            <w:vAlign w:val="center"/>
          </w:tcPr>
          <w:p>
            <w:pPr>
              <w:spacing w:line="240" w:lineRule="auto" w:after="0"/>
            </w:pPr>
            <w:r>
              <w:rPr>
                <w:sz w:val="14"/>
              </w:rPr>
              <w:t>3,633</w:t>
            </w:r>
          </w:p>
        </w:tc>
        <w:tc>
          <w:tcPr>
            <w:tcW w:type="dxa" w:w="1984"/>
            <w:vAlign w:val="center"/>
          </w:tcPr>
          <w:p>
            <w:pPr>
              <w:spacing w:line="240" w:lineRule="auto" w:after="0"/>
            </w:pPr>
            <w:r>
              <w:rPr>
                <w:sz w:val="14"/>
              </w:rPr>
              <w:t>TITAN</w:t>
            </w:r>
          </w:p>
        </w:tc>
        <w:tc>
          <w:tcPr>
            <w:tcW w:type="dxa" w:w="3231"/>
            <w:vAlign w:val="center"/>
          </w:tcPr>
          <w:p>
            <w:pPr>
              <w:spacing w:line="240" w:lineRule="auto" w:after="0"/>
            </w:pPr>
            <w:r>
              <w:rPr>
                <w:sz w:val="14"/>
              </w:rPr>
              <w:t>Effect threshold plus permutation and within-cancer/family FDR</w:t>
            </w:r>
          </w:p>
        </w:tc>
      </w:tr>
      <w:tr>
        <w:trPr>
          <w:cantSplit/>
        </w:trPr>
        <w:tc>
          <w:tcPr>
            <w:tcW w:type="dxa" w:w="1814"/>
            <w:vAlign w:val="center"/>
          </w:tcPr>
          <w:p>
            <w:pPr>
              <w:spacing w:line="240" w:lineRule="auto" w:after="0"/>
            </w:pPr>
            <w:r>
              <w:rPr>
                <w:sz w:val="14"/>
              </w:rPr>
              <w:t>PathoFMPred registry</w:t>
            </w:r>
          </w:p>
        </w:tc>
        <w:tc>
          <w:tcPr>
            <w:tcW w:type="dxa" w:w="1134"/>
            <w:vAlign w:val="center"/>
          </w:tcPr>
          <w:p>
            <w:pPr>
              <w:spacing w:line="240" w:lineRule="auto" w:after="0"/>
            </w:pPr>
            <w:r>
              <w:rPr>
                <w:sz w:val="14"/>
              </w:rPr>
              <w:t>Not a new cohort</w:t>
            </w:r>
          </w:p>
        </w:tc>
        <w:tc>
          <w:tcPr>
            <w:tcW w:type="dxa" w:w="1474"/>
            <w:vAlign w:val="center"/>
          </w:tcPr>
          <w:p>
            <w:pPr>
              <w:spacing w:line="240" w:lineRule="auto" w:after="0"/>
            </w:pPr>
            <w:r>
              <w:rPr>
                <w:sz w:val="14"/>
              </w:rPr>
              <w:t>Stored fitted-object subset</w:t>
            </w:r>
          </w:p>
        </w:tc>
        <w:tc>
          <w:tcPr>
            <w:tcW w:type="dxa" w:w="1984"/>
            <w:vAlign w:val="center"/>
          </w:tcPr>
          <w:p>
            <w:pPr>
              <w:spacing w:line="240" w:lineRule="auto" w:after="0"/>
            </w:pPr>
            <w:r>
              <w:rPr>
                <w:sz w:val="14"/>
              </w:rPr>
              <w:t>Representation-specific</w:t>
            </w:r>
          </w:p>
        </w:tc>
        <w:tc>
          <w:tcPr>
            <w:tcW w:type="dxa" w:w="3231"/>
            <w:vAlign w:val="center"/>
          </w:tcPr>
          <w:p>
            <w:pPr>
              <w:spacing w:line="240" w:lineRule="auto" w:after="0"/>
            </w:pPr>
            <w:r>
              <w:rPr>
                <w:sz w:val="14"/>
              </w:rPr>
              <w:t>Research interface; no additional validation evidence</w:t>
            </w:r>
          </w:p>
        </w:tc>
      </w:tr>
    </w:tbl>
    <w:p/>
    <w:p>
      <w:r>
        <w:t>The complete family-level eligibility table, candidate counts by cancer and analysis chronology are supplied in machine-readable companions. The TCGA benchmark was retrospective and was not prospectively registered.</w:t>
      </w:r>
    </w:p>
    <w:p>
      <w:pPr>
        <w:pStyle w:val="Heading1"/>
      </w:pPr>
      <w:r>
        <w:t>Table S2. Participant characteristics of the full TITAN cohort by cancer</w:t>
      </w:r>
    </w:p>
    <w:p>
      <w:r>
        <w:t>This table describes the 9,404-patient TITAN cohort used for the supporting permutation/FDR screen, not the 8,241-patient matched comparison. The complete file retains missingness, CDR matching and every original category. W/B/A/O denote White, Black or African American, Asian and other recorded race.</w:t>
      </w:r>
    </w:p>
    <w:tbl>
      <w:tblPr>
        <w:tblStyle w:val="TableGrid"/>
        <w:tblW w:type="dxa" w:w="8505"/>
        <w:jc w:val="left"/>
        <w:tblLayout w:type="fixed"/>
        <w:tblLook w:firstColumn="1" w:firstRow="1" w:lastColumn="0" w:lastRow="0" w:noHBand="0" w:noVBand="1" w:val="04A0"/>
        <w:tblLayout w:type="fixed"/>
        <w:tblInd w:type="dxa" w:w="0"/>
      </w:tblPr>
      <w:tblGrid>
        <w:gridCol w:w="1191"/>
        <w:gridCol w:w="624"/>
        <w:gridCol w:w="1814"/>
        <w:gridCol w:w="1020"/>
        <w:gridCol w:w="1928"/>
        <w:gridCol w:w="1928"/>
      </w:tblGrid>
      <w:tr>
        <w:trPr>
          <w:tblHeader w:val="true"/>
          <w:cantSplit/>
        </w:trPr>
        <w:tc>
          <w:tcPr>
            <w:tcW w:type="dxa" w:w="1191"/>
          </w:tcPr>
          <w:p>
            <w:pPr>
              <w:spacing w:line="216" w:lineRule="auto" w:after="0"/>
            </w:pPr>
            <w:r>
              <w:rPr>
                <w:b/>
                <w:sz w:val="13"/>
              </w:rPr>
              <w:t>Cancer</w:t>
            </w:r>
          </w:p>
        </w:tc>
        <w:tc>
          <w:tcPr>
            <w:tcW w:type="dxa" w:w="624"/>
          </w:tcPr>
          <w:p>
            <w:pPr>
              <w:spacing w:line="216" w:lineRule="auto" w:after="0"/>
            </w:pPr>
            <w:r>
              <w:rPr>
                <w:b/>
                <w:sz w:val="13"/>
              </w:rPr>
              <w:t>n</w:t>
            </w:r>
          </w:p>
        </w:tc>
        <w:tc>
          <w:tcPr>
            <w:tcW w:type="dxa" w:w="1814"/>
          </w:tcPr>
          <w:p>
            <w:pPr>
              <w:spacing w:line="216" w:lineRule="auto" w:after="0"/>
            </w:pPr>
            <w:r>
              <w:rPr>
                <w:b/>
                <w:sz w:val="13"/>
              </w:rPr>
              <w:t>Age median (IQR)</w:t>
            </w:r>
          </w:p>
        </w:tc>
        <w:tc>
          <w:tcPr>
            <w:tcW w:type="dxa" w:w="1020"/>
          </w:tcPr>
          <w:p>
            <w:pPr>
              <w:spacing w:line="216" w:lineRule="auto" w:after="0"/>
            </w:pPr>
            <w:r>
              <w:rPr>
                <w:b/>
                <w:sz w:val="13"/>
              </w:rPr>
              <w:t>Sex F/M</w:t>
            </w:r>
          </w:p>
        </w:tc>
        <w:tc>
          <w:tcPr>
            <w:tcW w:type="dxa" w:w="1928"/>
          </w:tcPr>
          <w:p>
            <w:pPr>
              <w:spacing w:line="216" w:lineRule="auto" w:after="0"/>
            </w:pPr>
            <w:r>
              <w:rPr>
                <w:b/>
                <w:sz w:val="13"/>
              </w:rPr>
              <w:t>Race W/B/A/O</w:t>
            </w:r>
          </w:p>
        </w:tc>
        <w:tc>
          <w:tcPr>
            <w:tcW w:type="dxa" w:w="1928"/>
          </w:tcPr>
          <w:p>
            <w:pPr>
              <w:spacing w:line="216" w:lineRule="auto" w:after="0"/>
            </w:pPr>
            <w:r>
              <w:rPr>
                <w:b/>
                <w:sz w:val="13"/>
              </w:rPr>
              <w:t>Stage I/II/III/IV</w:t>
            </w:r>
          </w:p>
        </w:tc>
      </w:tr>
      <w:tr>
        <w:trPr>
          <w:cantSplit/>
        </w:trPr>
        <w:tc>
          <w:tcPr>
            <w:tcW w:type="dxa" w:w="1191"/>
            <w:vAlign w:val="center"/>
          </w:tcPr>
          <w:p>
            <w:pPr>
              <w:spacing w:line="216" w:lineRule="auto" w:after="0"/>
            </w:pPr>
            <w:r>
              <w:rPr>
                <w:sz w:val="13"/>
              </w:rPr>
              <w:t>Overall</w:t>
            </w:r>
          </w:p>
        </w:tc>
        <w:tc>
          <w:tcPr>
            <w:tcW w:type="dxa" w:w="624"/>
            <w:vAlign w:val="center"/>
          </w:tcPr>
          <w:p>
            <w:pPr>
              <w:spacing w:line="216" w:lineRule="auto" w:after="0"/>
            </w:pPr>
            <w:r>
              <w:rPr>
                <w:sz w:val="13"/>
              </w:rPr>
              <w:t>9404</w:t>
            </w:r>
          </w:p>
        </w:tc>
        <w:tc>
          <w:tcPr>
            <w:tcW w:type="dxa" w:w="1814"/>
            <w:vAlign w:val="center"/>
          </w:tcPr>
          <w:p>
            <w:pPr>
              <w:spacing w:line="216" w:lineRule="auto" w:after="0"/>
            </w:pPr>
            <w:r>
              <w:rPr>
                <w:sz w:val="13"/>
              </w:rPr>
              <w:t>60.0 (50.0-70.0)</w:t>
            </w:r>
          </w:p>
        </w:tc>
        <w:tc>
          <w:tcPr>
            <w:tcW w:type="dxa" w:w="1020"/>
            <w:vAlign w:val="center"/>
          </w:tcPr>
          <w:p>
            <w:pPr>
              <w:spacing w:line="216" w:lineRule="auto" w:after="0"/>
            </w:pPr>
            <w:r>
              <w:rPr>
                <w:sz w:val="13"/>
              </w:rPr>
              <w:t>4780/4605</w:t>
            </w:r>
          </w:p>
        </w:tc>
        <w:tc>
          <w:tcPr>
            <w:tcW w:type="dxa" w:w="1928"/>
            <w:vAlign w:val="center"/>
          </w:tcPr>
          <w:p>
            <w:pPr>
              <w:spacing w:line="216" w:lineRule="auto" w:after="0"/>
            </w:pPr>
            <w:r>
              <w:rPr>
                <w:sz w:val="13"/>
              </w:rPr>
              <w:t>6771/827/632/32</w:t>
            </w:r>
          </w:p>
        </w:tc>
        <w:tc>
          <w:tcPr>
            <w:tcW w:type="dxa" w:w="1928"/>
            <w:vAlign w:val="center"/>
          </w:tcPr>
          <w:p>
            <w:pPr>
              <w:spacing w:line="216" w:lineRule="auto" w:after="0"/>
            </w:pPr>
            <w:r>
              <w:rPr>
                <w:sz w:val="13"/>
              </w:rPr>
              <w:t>2513/2256/1843/893</w:t>
            </w:r>
          </w:p>
        </w:tc>
      </w:tr>
      <w:tr>
        <w:trPr>
          <w:cantSplit/>
        </w:trPr>
        <w:tc>
          <w:tcPr>
            <w:tcW w:type="dxa" w:w="1191"/>
            <w:vAlign w:val="center"/>
          </w:tcPr>
          <w:p>
            <w:pPr>
              <w:spacing w:line="216" w:lineRule="auto" w:after="0"/>
            </w:pPr>
            <w:r>
              <w:rPr>
                <w:sz w:val="13"/>
              </w:rPr>
              <w:t>ACC</w:t>
            </w:r>
          </w:p>
        </w:tc>
        <w:tc>
          <w:tcPr>
            <w:tcW w:type="dxa" w:w="624"/>
            <w:vAlign w:val="center"/>
          </w:tcPr>
          <w:p>
            <w:pPr>
              <w:spacing w:line="216" w:lineRule="auto" w:after="0"/>
            </w:pPr>
            <w:r>
              <w:rPr>
                <w:sz w:val="13"/>
              </w:rPr>
              <w:t>56</w:t>
            </w:r>
          </w:p>
        </w:tc>
        <w:tc>
          <w:tcPr>
            <w:tcW w:type="dxa" w:w="1814"/>
            <w:vAlign w:val="center"/>
          </w:tcPr>
          <w:p>
            <w:pPr>
              <w:spacing w:line="216" w:lineRule="auto" w:after="0"/>
            </w:pPr>
            <w:r>
              <w:rPr>
                <w:sz w:val="13"/>
              </w:rPr>
              <w:t>49.5 (33.5-61.0)</w:t>
            </w:r>
          </w:p>
        </w:tc>
        <w:tc>
          <w:tcPr>
            <w:tcW w:type="dxa" w:w="1020"/>
            <w:vAlign w:val="center"/>
          </w:tcPr>
          <w:p>
            <w:pPr>
              <w:spacing w:line="216" w:lineRule="auto" w:after="0"/>
            </w:pPr>
            <w:r>
              <w:rPr>
                <w:sz w:val="13"/>
              </w:rPr>
              <w:t>31/25</w:t>
            </w:r>
          </w:p>
        </w:tc>
        <w:tc>
          <w:tcPr>
            <w:tcW w:type="dxa" w:w="1928"/>
            <w:vAlign w:val="center"/>
          </w:tcPr>
          <w:p>
            <w:pPr>
              <w:spacing w:line="216" w:lineRule="auto" w:after="0"/>
            </w:pPr>
            <w:r>
              <w:rPr>
                <w:sz w:val="13"/>
              </w:rPr>
              <w:t>42/1/2/0</w:t>
            </w:r>
          </w:p>
        </w:tc>
        <w:tc>
          <w:tcPr>
            <w:tcW w:type="dxa" w:w="1928"/>
            <w:vAlign w:val="center"/>
          </w:tcPr>
          <w:p>
            <w:pPr>
              <w:spacing w:line="216" w:lineRule="auto" w:after="0"/>
            </w:pPr>
            <w:r>
              <w:rPr>
                <w:sz w:val="13"/>
              </w:rPr>
              <w:t>5/29/10/10</w:t>
            </w:r>
          </w:p>
        </w:tc>
      </w:tr>
      <w:tr>
        <w:trPr>
          <w:cantSplit/>
        </w:trPr>
        <w:tc>
          <w:tcPr>
            <w:tcW w:type="dxa" w:w="1191"/>
            <w:vAlign w:val="center"/>
          </w:tcPr>
          <w:p>
            <w:pPr>
              <w:spacing w:line="216" w:lineRule="auto" w:after="0"/>
            </w:pPr>
            <w:r>
              <w:rPr>
                <w:sz w:val="13"/>
              </w:rPr>
              <w:t>BLCA</w:t>
            </w:r>
          </w:p>
        </w:tc>
        <w:tc>
          <w:tcPr>
            <w:tcW w:type="dxa" w:w="624"/>
            <w:vAlign w:val="center"/>
          </w:tcPr>
          <w:p>
            <w:pPr>
              <w:spacing w:line="216" w:lineRule="auto" w:after="0"/>
            </w:pPr>
            <w:r>
              <w:rPr>
                <w:sz w:val="13"/>
              </w:rPr>
              <w:t>386</w:t>
            </w:r>
          </w:p>
        </w:tc>
        <w:tc>
          <w:tcPr>
            <w:tcW w:type="dxa" w:w="1814"/>
            <w:vAlign w:val="center"/>
          </w:tcPr>
          <w:p>
            <w:pPr>
              <w:spacing w:line="216" w:lineRule="auto" w:after="0"/>
            </w:pPr>
            <w:r>
              <w:rPr>
                <w:sz w:val="13"/>
              </w:rPr>
              <w:t>69.0 (60.0-76.0)</w:t>
            </w:r>
          </w:p>
        </w:tc>
        <w:tc>
          <w:tcPr>
            <w:tcW w:type="dxa" w:w="1020"/>
            <w:vAlign w:val="center"/>
          </w:tcPr>
          <w:p>
            <w:pPr>
              <w:spacing w:line="216" w:lineRule="auto" w:after="0"/>
            </w:pPr>
            <w:r>
              <w:rPr>
                <w:sz w:val="13"/>
              </w:rPr>
              <w:t>100/286</w:t>
            </w:r>
          </w:p>
        </w:tc>
        <w:tc>
          <w:tcPr>
            <w:tcW w:type="dxa" w:w="1928"/>
            <w:vAlign w:val="center"/>
          </w:tcPr>
          <w:p>
            <w:pPr>
              <w:spacing w:line="216" w:lineRule="auto" w:after="0"/>
            </w:pPr>
            <w:r>
              <w:rPr>
                <w:sz w:val="13"/>
              </w:rPr>
              <w:t>304/21/44/0</w:t>
            </w:r>
          </w:p>
        </w:tc>
        <w:tc>
          <w:tcPr>
            <w:tcW w:type="dxa" w:w="1928"/>
            <w:vAlign w:val="center"/>
          </w:tcPr>
          <w:p>
            <w:pPr>
              <w:spacing w:line="216" w:lineRule="auto" w:after="0"/>
            </w:pPr>
            <w:r>
              <w:rPr>
                <w:sz w:val="13"/>
              </w:rPr>
              <w:t>2/121/133/128</w:t>
            </w:r>
          </w:p>
        </w:tc>
      </w:tr>
      <w:tr>
        <w:trPr>
          <w:cantSplit/>
        </w:trPr>
        <w:tc>
          <w:tcPr>
            <w:tcW w:type="dxa" w:w="1191"/>
            <w:vAlign w:val="center"/>
          </w:tcPr>
          <w:p>
            <w:pPr>
              <w:spacing w:line="216" w:lineRule="auto" w:after="0"/>
            </w:pPr>
            <w:r>
              <w:rPr>
                <w:sz w:val="13"/>
              </w:rPr>
              <w:t>BRCA</w:t>
            </w:r>
          </w:p>
        </w:tc>
        <w:tc>
          <w:tcPr>
            <w:tcW w:type="dxa" w:w="624"/>
            <w:vAlign w:val="center"/>
          </w:tcPr>
          <w:p>
            <w:pPr>
              <w:spacing w:line="216" w:lineRule="auto" w:after="0"/>
            </w:pPr>
            <w:r>
              <w:rPr>
                <w:sz w:val="13"/>
              </w:rPr>
              <w:t>1054</w:t>
            </w:r>
          </w:p>
        </w:tc>
        <w:tc>
          <w:tcPr>
            <w:tcW w:type="dxa" w:w="1814"/>
            <w:vAlign w:val="center"/>
          </w:tcPr>
          <w:p>
            <w:pPr>
              <w:spacing w:line="216" w:lineRule="auto" w:after="0"/>
            </w:pPr>
            <w:r>
              <w:rPr>
                <w:sz w:val="13"/>
              </w:rPr>
              <w:t>59.0 (49.0-68.0)</w:t>
            </w:r>
          </w:p>
        </w:tc>
        <w:tc>
          <w:tcPr>
            <w:tcW w:type="dxa" w:w="1020"/>
            <w:vAlign w:val="center"/>
          </w:tcPr>
          <w:p>
            <w:pPr>
              <w:spacing w:line="216" w:lineRule="auto" w:after="0"/>
            </w:pPr>
            <w:r>
              <w:rPr>
                <w:sz w:val="13"/>
              </w:rPr>
              <w:t>1042/12</w:t>
            </w:r>
          </w:p>
        </w:tc>
        <w:tc>
          <w:tcPr>
            <w:tcW w:type="dxa" w:w="1928"/>
            <w:vAlign w:val="center"/>
          </w:tcPr>
          <w:p>
            <w:pPr>
              <w:spacing w:line="216" w:lineRule="auto" w:after="0"/>
            </w:pPr>
            <w:r>
              <w:rPr>
                <w:sz w:val="13"/>
              </w:rPr>
              <w:t>731/167/61/1</w:t>
            </w:r>
          </w:p>
        </w:tc>
        <w:tc>
          <w:tcPr>
            <w:tcW w:type="dxa" w:w="1928"/>
            <w:vAlign w:val="center"/>
          </w:tcPr>
          <w:p>
            <w:pPr>
              <w:spacing w:line="216" w:lineRule="auto" w:after="0"/>
            </w:pPr>
            <w:r>
              <w:rPr>
                <w:sz w:val="13"/>
              </w:rPr>
              <w:t>174/601/237/19</w:t>
            </w:r>
          </w:p>
        </w:tc>
      </w:tr>
      <w:tr>
        <w:trPr>
          <w:cantSplit/>
        </w:trPr>
        <w:tc>
          <w:tcPr>
            <w:tcW w:type="dxa" w:w="1191"/>
            <w:vAlign w:val="center"/>
          </w:tcPr>
          <w:p>
            <w:pPr>
              <w:spacing w:line="216" w:lineRule="auto" w:after="0"/>
            </w:pPr>
            <w:r>
              <w:rPr>
                <w:sz w:val="13"/>
              </w:rPr>
              <w:t>CESC</w:t>
            </w:r>
          </w:p>
        </w:tc>
        <w:tc>
          <w:tcPr>
            <w:tcW w:type="dxa" w:w="624"/>
            <w:vAlign w:val="center"/>
          </w:tcPr>
          <w:p>
            <w:pPr>
              <w:spacing w:line="216" w:lineRule="auto" w:after="0"/>
            </w:pPr>
            <w:r>
              <w:rPr>
                <w:sz w:val="13"/>
              </w:rPr>
              <w:t>269</w:t>
            </w:r>
          </w:p>
        </w:tc>
        <w:tc>
          <w:tcPr>
            <w:tcW w:type="dxa" w:w="1814"/>
            <w:vAlign w:val="center"/>
          </w:tcPr>
          <w:p>
            <w:pPr>
              <w:spacing w:line="216" w:lineRule="auto" w:after="0"/>
            </w:pPr>
            <w:r>
              <w:rPr>
                <w:sz w:val="13"/>
              </w:rPr>
              <w:t>46.0 (38.0-56.0)</w:t>
            </w:r>
          </w:p>
        </w:tc>
        <w:tc>
          <w:tcPr>
            <w:tcW w:type="dxa" w:w="1020"/>
            <w:vAlign w:val="center"/>
          </w:tcPr>
          <w:p>
            <w:pPr>
              <w:spacing w:line="216" w:lineRule="auto" w:after="0"/>
            </w:pPr>
            <w:r>
              <w:rPr>
                <w:sz w:val="13"/>
              </w:rPr>
              <w:t>269/0</w:t>
            </w:r>
          </w:p>
        </w:tc>
        <w:tc>
          <w:tcPr>
            <w:tcW w:type="dxa" w:w="1928"/>
            <w:vAlign w:val="center"/>
          </w:tcPr>
          <w:p>
            <w:pPr>
              <w:spacing w:line="216" w:lineRule="auto" w:after="0"/>
            </w:pPr>
            <w:r>
              <w:rPr>
                <w:sz w:val="13"/>
              </w:rPr>
              <w:t>184/27/19/5</w:t>
            </w:r>
          </w:p>
        </w:tc>
        <w:tc>
          <w:tcPr>
            <w:tcW w:type="dxa" w:w="1928"/>
            <w:vAlign w:val="center"/>
          </w:tcPr>
          <w:p>
            <w:pPr>
              <w:spacing w:line="216" w:lineRule="auto" w:after="0"/>
            </w:pPr>
            <w:r>
              <w:rPr>
                <w:sz w:val="13"/>
              </w:rPr>
              <w:t>140/61/42/20</w:t>
            </w:r>
          </w:p>
        </w:tc>
      </w:tr>
      <w:tr>
        <w:trPr>
          <w:cantSplit/>
        </w:trPr>
        <w:tc>
          <w:tcPr>
            <w:tcW w:type="dxa" w:w="1191"/>
            <w:vAlign w:val="center"/>
          </w:tcPr>
          <w:p>
            <w:pPr>
              <w:spacing w:line="216" w:lineRule="auto" w:after="0"/>
            </w:pPr>
            <w:r>
              <w:rPr>
                <w:sz w:val="13"/>
              </w:rPr>
              <w:t>CHOL</w:t>
            </w:r>
          </w:p>
        </w:tc>
        <w:tc>
          <w:tcPr>
            <w:tcW w:type="dxa" w:w="624"/>
            <w:vAlign w:val="center"/>
          </w:tcPr>
          <w:p>
            <w:pPr>
              <w:spacing w:line="216" w:lineRule="auto" w:after="0"/>
            </w:pPr>
            <w:r>
              <w:rPr>
                <w:sz w:val="13"/>
              </w:rPr>
              <w:t>39</w:t>
            </w:r>
          </w:p>
        </w:tc>
        <w:tc>
          <w:tcPr>
            <w:tcW w:type="dxa" w:w="1814"/>
            <w:vAlign w:val="center"/>
          </w:tcPr>
          <w:p>
            <w:pPr>
              <w:spacing w:line="216" w:lineRule="auto" w:after="0"/>
            </w:pPr>
            <w:r>
              <w:rPr>
                <w:sz w:val="13"/>
              </w:rPr>
              <w:t>64.0 (57.5-71.5)</w:t>
            </w:r>
          </w:p>
        </w:tc>
        <w:tc>
          <w:tcPr>
            <w:tcW w:type="dxa" w:w="1020"/>
            <w:vAlign w:val="center"/>
          </w:tcPr>
          <w:p>
            <w:pPr>
              <w:spacing w:line="216" w:lineRule="auto" w:after="0"/>
            </w:pPr>
            <w:r>
              <w:rPr>
                <w:sz w:val="13"/>
              </w:rPr>
              <w:t>22/17</w:t>
            </w:r>
          </w:p>
        </w:tc>
        <w:tc>
          <w:tcPr>
            <w:tcW w:type="dxa" w:w="1928"/>
            <w:vAlign w:val="center"/>
          </w:tcPr>
          <w:p>
            <w:pPr>
              <w:spacing w:line="216" w:lineRule="auto" w:after="0"/>
            </w:pPr>
            <w:r>
              <w:rPr>
                <w:sz w:val="13"/>
              </w:rPr>
              <w:t>33/3/3/0</w:t>
            </w:r>
          </w:p>
        </w:tc>
        <w:tc>
          <w:tcPr>
            <w:tcW w:type="dxa" w:w="1928"/>
            <w:vAlign w:val="center"/>
          </w:tcPr>
          <w:p>
            <w:pPr>
              <w:spacing w:line="216" w:lineRule="auto" w:after="0"/>
            </w:pPr>
            <w:r>
              <w:rPr>
                <w:sz w:val="13"/>
              </w:rPr>
              <w:t>19/10/2/8</w:t>
            </w:r>
          </w:p>
        </w:tc>
      </w:tr>
      <w:tr>
        <w:trPr>
          <w:cantSplit/>
        </w:trPr>
        <w:tc>
          <w:tcPr>
            <w:tcW w:type="dxa" w:w="1191"/>
            <w:vAlign w:val="center"/>
          </w:tcPr>
          <w:p>
            <w:pPr>
              <w:spacing w:line="216" w:lineRule="auto" w:after="0"/>
            </w:pPr>
            <w:r>
              <w:rPr>
                <w:sz w:val="13"/>
              </w:rPr>
              <w:t>COAD</w:t>
            </w:r>
          </w:p>
        </w:tc>
        <w:tc>
          <w:tcPr>
            <w:tcW w:type="dxa" w:w="624"/>
            <w:vAlign w:val="center"/>
          </w:tcPr>
          <w:p>
            <w:pPr>
              <w:spacing w:line="216" w:lineRule="auto" w:after="0"/>
            </w:pPr>
            <w:r>
              <w:rPr>
                <w:sz w:val="13"/>
              </w:rPr>
              <w:t>433</w:t>
            </w:r>
          </w:p>
        </w:tc>
        <w:tc>
          <w:tcPr>
            <w:tcW w:type="dxa" w:w="1814"/>
            <w:vAlign w:val="center"/>
          </w:tcPr>
          <w:p>
            <w:pPr>
              <w:spacing w:line="216" w:lineRule="auto" w:after="0"/>
            </w:pPr>
            <w:r>
              <w:rPr>
                <w:sz w:val="13"/>
              </w:rPr>
              <w:t>68.5 (58.0-77.0)</w:t>
            </w:r>
          </w:p>
        </w:tc>
        <w:tc>
          <w:tcPr>
            <w:tcW w:type="dxa" w:w="1020"/>
            <w:vAlign w:val="center"/>
          </w:tcPr>
          <w:p>
            <w:pPr>
              <w:spacing w:line="216" w:lineRule="auto" w:after="0"/>
            </w:pPr>
            <w:r>
              <w:rPr>
                <w:sz w:val="13"/>
              </w:rPr>
              <w:t>211/221</w:t>
            </w:r>
          </w:p>
        </w:tc>
        <w:tc>
          <w:tcPr>
            <w:tcW w:type="dxa" w:w="1928"/>
            <w:vAlign w:val="center"/>
          </w:tcPr>
          <w:p>
            <w:pPr>
              <w:spacing w:line="216" w:lineRule="auto" w:after="0"/>
            </w:pPr>
            <w:r>
              <w:rPr>
                <w:sz w:val="13"/>
              </w:rPr>
              <w:t>206/58/11/1</w:t>
            </w:r>
          </w:p>
        </w:tc>
        <w:tc>
          <w:tcPr>
            <w:tcW w:type="dxa" w:w="1928"/>
            <w:vAlign w:val="center"/>
          </w:tcPr>
          <w:p>
            <w:pPr>
              <w:spacing w:line="216" w:lineRule="auto" w:after="0"/>
            </w:pPr>
            <w:r>
              <w:rPr>
                <w:sz w:val="13"/>
              </w:rPr>
              <w:t>73/163/125/60</w:t>
            </w:r>
          </w:p>
        </w:tc>
      </w:tr>
      <w:tr>
        <w:trPr>
          <w:cantSplit/>
        </w:trPr>
        <w:tc>
          <w:tcPr>
            <w:tcW w:type="dxa" w:w="1191"/>
            <w:vAlign w:val="center"/>
          </w:tcPr>
          <w:p>
            <w:pPr>
              <w:spacing w:line="216" w:lineRule="auto" w:after="0"/>
            </w:pPr>
            <w:r>
              <w:rPr>
                <w:sz w:val="13"/>
              </w:rPr>
              <w:t>DLBC</w:t>
            </w:r>
          </w:p>
        </w:tc>
        <w:tc>
          <w:tcPr>
            <w:tcW w:type="dxa" w:w="624"/>
            <w:vAlign w:val="center"/>
          </w:tcPr>
          <w:p>
            <w:pPr>
              <w:spacing w:line="216" w:lineRule="auto" w:after="0"/>
            </w:pPr>
            <w:r>
              <w:rPr>
                <w:sz w:val="13"/>
              </w:rPr>
              <w:t>44</w:t>
            </w:r>
          </w:p>
        </w:tc>
        <w:tc>
          <w:tcPr>
            <w:tcW w:type="dxa" w:w="1814"/>
            <w:vAlign w:val="center"/>
          </w:tcPr>
          <w:p>
            <w:pPr>
              <w:spacing w:line="216" w:lineRule="auto" w:after="0"/>
            </w:pPr>
            <w:r>
              <w:rPr>
                <w:sz w:val="13"/>
              </w:rPr>
              <w:t>57.0 (45.8-67.0)</w:t>
            </w:r>
          </w:p>
        </w:tc>
        <w:tc>
          <w:tcPr>
            <w:tcW w:type="dxa" w:w="1020"/>
            <w:vAlign w:val="center"/>
          </w:tcPr>
          <w:p>
            <w:pPr>
              <w:spacing w:line="216" w:lineRule="auto" w:after="0"/>
            </w:pPr>
            <w:r>
              <w:rPr>
                <w:sz w:val="13"/>
              </w:rPr>
              <w:t>26/18</w:t>
            </w:r>
          </w:p>
        </w:tc>
        <w:tc>
          <w:tcPr>
            <w:tcW w:type="dxa" w:w="1928"/>
            <w:vAlign w:val="center"/>
          </w:tcPr>
          <w:p>
            <w:pPr>
              <w:spacing w:line="216" w:lineRule="auto" w:after="0"/>
            </w:pPr>
            <w:r>
              <w:rPr>
                <w:sz w:val="13"/>
              </w:rPr>
              <w:t>29/1/14/0</w:t>
            </w:r>
          </w:p>
        </w:tc>
        <w:tc>
          <w:tcPr>
            <w:tcW w:type="dxa" w:w="1928"/>
            <w:vAlign w:val="center"/>
          </w:tcPr>
          <w:p>
            <w:pPr>
              <w:spacing w:line="216" w:lineRule="auto" w:after="0"/>
            </w:pPr>
            <w:r>
              <w:rPr>
                <w:sz w:val="13"/>
              </w:rPr>
              <w:t>8/16/5/9</w:t>
            </w:r>
          </w:p>
        </w:tc>
      </w:tr>
      <w:tr>
        <w:trPr>
          <w:cantSplit/>
        </w:trPr>
        <w:tc>
          <w:tcPr>
            <w:tcW w:type="dxa" w:w="1191"/>
            <w:vAlign w:val="center"/>
          </w:tcPr>
          <w:p>
            <w:pPr>
              <w:spacing w:line="216" w:lineRule="auto" w:after="0"/>
            </w:pPr>
            <w:r>
              <w:rPr>
                <w:sz w:val="13"/>
              </w:rPr>
              <w:t>ESCA</w:t>
            </w:r>
          </w:p>
        </w:tc>
        <w:tc>
          <w:tcPr>
            <w:tcW w:type="dxa" w:w="624"/>
            <w:vAlign w:val="center"/>
          </w:tcPr>
          <w:p>
            <w:pPr>
              <w:spacing w:line="216" w:lineRule="auto" w:after="0"/>
            </w:pPr>
            <w:r>
              <w:rPr>
                <w:sz w:val="13"/>
              </w:rPr>
              <w:t>156</w:t>
            </w:r>
          </w:p>
        </w:tc>
        <w:tc>
          <w:tcPr>
            <w:tcW w:type="dxa" w:w="1814"/>
            <w:vAlign w:val="center"/>
          </w:tcPr>
          <w:p>
            <w:pPr>
              <w:spacing w:line="216" w:lineRule="auto" w:after="0"/>
            </w:pPr>
            <w:r>
              <w:rPr>
                <w:sz w:val="13"/>
              </w:rPr>
              <w:t>59.5 (53.0-70.0)</w:t>
            </w:r>
          </w:p>
        </w:tc>
        <w:tc>
          <w:tcPr>
            <w:tcW w:type="dxa" w:w="1020"/>
            <w:vAlign w:val="center"/>
          </w:tcPr>
          <w:p>
            <w:pPr>
              <w:spacing w:line="216" w:lineRule="auto" w:after="0"/>
            </w:pPr>
            <w:r>
              <w:rPr>
                <w:sz w:val="13"/>
              </w:rPr>
              <w:t>21/135</w:t>
            </w:r>
          </w:p>
        </w:tc>
        <w:tc>
          <w:tcPr>
            <w:tcW w:type="dxa" w:w="1928"/>
            <w:vAlign w:val="center"/>
          </w:tcPr>
          <w:p>
            <w:pPr>
              <w:spacing w:line="216" w:lineRule="auto" w:after="0"/>
            </w:pPr>
            <w:r>
              <w:rPr>
                <w:sz w:val="13"/>
              </w:rPr>
              <w:t>86/5/46/0</w:t>
            </w:r>
          </w:p>
        </w:tc>
        <w:tc>
          <w:tcPr>
            <w:tcW w:type="dxa" w:w="1928"/>
            <w:vAlign w:val="center"/>
          </w:tcPr>
          <w:p>
            <w:pPr>
              <w:spacing w:line="216" w:lineRule="auto" w:after="0"/>
            </w:pPr>
            <w:r>
              <w:rPr>
                <w:sz w:val="13"/>
              </w:rPr>
              <w:t>15/71/53/14</w:t>
            </w:r>
          </w:p>
        </w:tc>
      </w:tr>
      <w:tr>
        <w:trPr>
          <w:cantSplit/>
        </w:trPr>
        <w:tc>
          <w:tcPr>
            <w:tcW w:type="dxa" w:w="1191"/>
            <w:vAlign w:val="center"/>
          </w:tcPr>
          <w:p>
            <w:pPr>
              <w:spacing w:line="216" w:lineRule="auto" w:after="0"/>
            </w:pPr>
            <w:r>
              <w:rPr>
                <w:sz w:val="13"/>
              </w:rPr>
              <w:t>GBM</w:t>
            </w:r>
          </w:p>
        </w:tc>
        <w:tc>
          <w:tcPr>
            <w:tcW w:type="dxa" w:w="624"/>
            <w:vAlign w:val="center"/>
          </w:tcPr>
          <w:p>
            <w:pPr>
              <w:spacing w:line="216" w:lineRule="auto" w:after="0"/>
            </w:pPr>
            <w:r>
              <w:rPr>
                <w:sz w:val="13"/>
              </w:rPr>
              <w:t>384</w:t>
            </w:r>
          </w:p>
        </w:tc>
        <w:tc>
          <w:tcPr>
            <w:tcW w:type="dxa" w:w="1814"/>
            <w:vAlign w:val="center"/>
          </w:tcPr>
          <w:p>
            <w:pPr>
              <w:spacing w:line="216" w:lineRule="auto" w:after="0"/>
            </w:pPr>
            <w:r>
              <w:rPr>
                <w:sz w:val="13"/>
              </w:rPr>
              <w:t>59.0 (49.0-68.0)</w:t>
            </w:r>
          </w:p>
        </w:tc>
        <w:tc>
          <w:tcPr>
            <w:tcW w:type="dxa" w:w="1020"/>
            <w:vAlign w:val="center"/>
          </w:tcPr>
          <w:p>
            <w:pPr>
              <w:spacing w:line="216" w:lineRule="auto" w:after="0"/>
            </w:pPr>
            <w:r>
              <w:rPr>
                <w:sz w:val="13"/>
              </w:rPr>
              <w:t>147/237</w:t>
            </w:r>
          </w:p>
        </w:tc>
        <w:tc>
          <w:tcPr>
            <w:tcW w:type="dxa" w:w="1928"/>
            <w:vAlign w:val="center"/>
          </w:tcPr>
          <w:p>
            <w:pPr>
              <w:spacing w:line="216" w:lineRule="auto" w:after="0"/>
            </w:pPr>
            <w:r>
              <w:rPr>
                <w:sz w:val="13"/>
              </w:rPr>
              <w:t>332/30/7/0</w:t>
            </w:r>
          </w:p>
        </w:tc>
        <w:tc>
          <w:tcPr>
            <w:tcW w:type="dxa" w:w="1928"/>
            <w:vAlign w:val="center"/>
          </w:tcPr>
          <w:p>
            <w:pPr>
              <w:spacing w:line="216" w:lineRule="auto" w:after="0"/>
            </w:pPr>
            <w:r>
              <w:rPr>
                <w:sz w:val="13"/>
              </w:rPr>
              <w:t>0/0/0/0</w:t>
            </w:r>
          </w:p>
        </w:tc>
      </w:tr>
      <w:tr>
        <w:trPr>
          <w:cantSplit/>
        </w:trPr>
        <w:tc>
          <w:tcPr>
            <w:tcW w:type="dxa" w:w="1191"/>
            <w:vAlign w:val="center"/>
          </w:tcPr>
          <w:p>
            <w:pPr>
              <w:spacing w:line="216" w:lineRule="auto" w:after="0"/>
            </w:pPr>
            <w:r>
              <w:rPr>
                <w:sz w:val="13"/>
              </w:rPr>
              <w:t>HNSC</w:t>
            </w:r>
          </w:p>
        </w:tc>
        <w:tc>
          <w:tcPr>
            <w:tcW w:type="dxa" w:w="624"/>
            <w:vAlign w:val="center"/>
          </w:tcPr>
          <w:p>
            <w:pPr>
              <w:spacing w:line="216" w:lineRule="auto" w:after="0"/>
            </w:pPr>
            <w:r>
              <w:rPr>
                <w:sz w:val="13"/>
              </w:rPr>
              <w:t>450</w:t>
            </w:r>
          </w:p>
        </w:tc>
        <w:tc>
          <w:tcPr>
            <w:tcW w:type="dxa" w:w="1814"/>
            <w:vAlign w:val="center"/>
          </w:tcPr>
          <w:p>
            <w:pPr>
              <w:spacing w:line="216" w:lineRule="auto" w:after="0"/>
            </w:pPr>
            <w:r>
              <w:rPr>
                <w:sz w:val="13"/>
              </w:rPr>
              <w:t>61.0 (53.0-69.0)</w:t>
            </w:r>
          </w:p>
        </w:tc>
        <w:tc>
          <w:tcPr>
            <w:tcW w:type="dxa" w:w="1020"/>
            <w:vAlign w:val="center"/>
          </w:tcPr>
          <w:p>
            <w:pPr>
              <w:spacing w:line="216" w:lineRule="auto" w:after="0"/>
            </w:pPr>
            <w:r>
              <w:rPr>
                <w:sz w:val="13"/>
              </w:rPr>
              <w:t>122/328</w:t>
            </w:r>
          </w:p>
        </w:tc>
        <w:tc>
          <w:tcPr>
            <w:tcW w:type="dxa" w:w="1928"/>
            <w:vAlign w:val="center"/>
          </w:tcPr>
          <w:p>
            <w:pPr>
              <w:spacing w:line="216" w:lineRule="auto" w:after="0"/>
            </w:pPr>
            <w:r>
              <w:rPr>
                <w:sz w:val="13"/>
              </w:rPr>
              <w:t>382/43/9/2</w:t>
            </w:r>
          </w:p>
        </w:tc>
        <w:tc>
          <w:tcPr>
            <w:tcW w:type="dxa" w:w="1928"/>
            <w:vAlign w:val="center"/>
          </w:tcPr>
          <w:p>
            <w:pPr>
              <w:spacing w:line="216" w:lineRule="auto" w:after="0"/>
            </w:pPr>
            <w:r>
              <w:rPr>
                <w:sz w:val="13"/>
              </w:rPr>
              <w:t>22/75/82/271</w:t>
            </w:r>
          </w:p>
        </w:tc>
      </w:tr>
      <w:tr>
        <w:trPr>
          <w:cantSplit/>
        </w:trPr>
        <w:tc>
          <w:tcPr>
            <w:tcW w:type="dxa" w:w="1191"/>
            <w:vAlign w:val="center"/>
          </w:tcPr>
          <w:p>
            <w:pPr>
              <w:spacing w:line="216" w:lineRule="auto" w:after="0"/>
            </w:pPr>
            <w:r>
              <w:rPr>
                <w:sz w:val="13"/>
              </w:rPr>
              <w:t>KICH</w:t>
            </w:r>
          </w:p>
        </w:tc>
        <w:tc>
          <w:tcPr>
            <w:tcW w:type="dxa" w:w="624"/>
            <w:vAlign w:val="center"/>
          </w:tcPr>
          <w:p>
            <w:pPr>
              <w:spacing w:line="216" w:lineRule="auto" w:after="0"/>
            </w:pPr>
            <w:r>
              <w:rPr>
                <w:sz w:val="13"/>
              </w:rPr>
              <w:t>108</w:t>
            </w:r>
          </w:p>
        </w:tc>
        <w:tc>
          <w:tcPr>
            <w:tcW w:type="dxa" w:w="1814"/>
            <w:vAlign w:val="center"/>
          </w:tcPr>
          <w:p>
            <w:pPr>
              <w:spacing w:line="216" w:lineRule="auto" w:after="0"/>
            </w:pPr>
            <w:r>
              <w:rPr>
                <w:sz w:val="13"/>
              </w:rPr>
              <w:t>50.0 (42.0-59.2)</w:t>
            </w:r>
          </w:p>
        </w:tc>
        <w:tc>
          <w:tcPr>
            <w:tcW w:type="dxa" w:w="1020"/>
            <w:vAlign w:val="center"/>
          </w:tcPr>
          <w:p>
            <w:pPr>
              <w:spacing w:line="216" w:lineRule="auto" w:after="0"/>
            </w:pPr>
            <w:r>
              <w:rPr>
                <w:sz w:val="13"/>
              </w:rPr>
              <w:t>50/58</w:t>
            </w:r>
          </w:p>
        </w:tc>
        <w:tc>
          <w:tcPr>
            <w:tcW w:type="dxa" w:w="1928"/>
            <w:vAlign w:val="center"/>
          </w:tcPr>
          <w:p>
            <w:pPr>
              <w:spacing w:line="216" w:lineRule="auto" w:after="0"/>
            </w:pPr>
            <w:r>
              <w:rPr>
                <w:sz w:val="13"/>
              </w:rPr>
              <w:t>91/11/4/0</w:t>
            </w:r>
          </w:p>
        </w:tc>
        <w:tc>
          <w:tcPr>
            <w:tcW w:type="dxa" w:w="1928"/>
            <w:vAlign w:val="center"/>
          </w:tcPr>
          <w:p>
            <w:pPr>
              <w:spacing w:line="216" w:lineRule="auto" w:after="0"/>
            </w:pPr>
            <w:r>
              <w:rPr>
                <w:sz w:val="13"/>
              </w:rPr>
              <w:t>50/33/18/7</w:t>
            </w:r>
          </w:p>
        </w:tc>
      </w:tr>
      <w:tr>
        <w:trPr>
          <w:cantSplit/>
        </w:trPr>
        <w:tc>
          <w:tcPr>
            <w:tcW w:type="dxa" w:w="1191"/>
            <w:vAlign w:val="center"/>
          </w:tcPr>
          <w:p>
            <w:pPr>
              <w:spacing w:line="216" w:lineRule="auto" w:after="0"/>
            </w:pPr>
            <w:r>
              <w:rPr>
                <w:sz w:val="13"/>
              </w:rPr>
              <w:t>KIRC</w:t>
            </w:r>
          </w:p>
        </w:tc>
        <w:tc>
          <w:tcPr>
            <w:tcW w:type="dxa" w:w="624"/>
            <w:vAlign w:val="center"/>
          </w:tcPr>
          <w:p>
            <w:pPr>
              <w:spacing w:line="216" w:lineRule="auto" w:after="0"/>
            </w:pPr>
            <w:r>
              <w:rPr>
                <w:sz w:val="13"/>
              </w:rPr>
              <w:t>513</w:t>
            </w:r>
          </w:p>
        </w:tc>
        <w:tc>
          <w:tcPr>
            <w:tcW w:type="dxa" w:w="1814"/>
            <w:vAlign w:val="center"/>
          </w:tcPr>
          <w:p>
            <w:pPr>
              <w:spacing w:line="216" w:lineRule="auto" w:after="0"/>
            </w:pPr>
            <w:r>
              <w:rPr>
                <w:sz w:val="13"/>
              </w:rPr>
              <w:t>61.0 (52.0-70.0)</w:t>
            </w:r>
          </w:p>
        </w:tc>
        <w:tc>
          <w:tcPr>
            <w:tcW w:type="dxa" w:w="1020"/>
            <w:vAlign w:val="center"/>
          </w:tcPr>
          <w:p>
            <w:pPr>
              <w:spacing w:line="216" w:lineRule="auto" w:after="0"/>
            </w:pPr>
            <w:r>
              <w:rPr>
                <w:sz w:val="13"/>
              </w:rPr>
              <w:t>182/331</w:t>
            </w:r>
          </w:p>
        </w:tc>
        <w:tc>
          <w:tcPr>
            <w:tcW w:type="dxa" w:w="1928"/>
            <w:vAlign w:val="center"/>
          </w:tcPr>
          <w:p>
            <w:pPr>
              <w:spacing w:line="216" w:lineRule="auto" w:after="0"/>
            </w:pPr>
            <w:r>
              <w:rPr>
                <w:sz w:val="13"/>
              </w:rPr>
              <w:t>444/54/8/0</w:t>
            </w:r>
          </w:p>
        </w:tc>
        <w:tc>
          <w:tcPr>
            <w:tcW w:type="dxa" w:w="1928"/>
            <w:vAlign w:val="center"/>
          </w:tcPr>
          <w:p>
            <w:pPr>
              <w:spacing w:line="216" w:lineRule="auto" w:after="0"/>
            </w:pPr>
            <w:r>
              <w:rPr>
                <w:sz w:val="13"/>
              </w:rPr>
              <w:t>256/57/119/78</w:t>
            </w:r>
          </w:p>
        </w:tc>
      </w:tr>
      <w:tr>
        <w:trPr>
          <w:cantSplit/>
        </w:trPr>
        <w:tc>
          <w:tcPr>
            <w:tcW w:type="dxa" w:w="1191"/>
            <w:vAlign w:val="center"/>
          </w:tcPr>
          <w:p>
            <w:pPr>
              <w:spacing w:line="216" w:lineRule="auto" w:after="0"/>
            </w:pPr>
            <w:r>
              <w:rPr>
                <w:sz w:val="13"/>
              </w:rPr>
              <w:t>KIRP</w:t>
            </w:r>
          </w:p>
        </w:tc>
        <w:tc>
          <w:tcPr>
            <w:tcW w:type="dxa" w:w="624"/>
            <w:vAlign w:val="center"/>
          </w:tcPr>
          <w:p>
            <w:pPr>
              <w:spacing w:line="216" w:lineRule="auto" w:after="0"/>
            </w:pPr>
            <w:r>
              <w:rPr>
                <w:sz w:val="13"/>
              </w:rPr>
              <w:t>273</w:t>
            </w:r>
          </w:p>
        </w:tc>
        <w:tc>
          <w:tcPr>
            <w:tcW w:type="dxa" w:w="1814"/>
            <w:vAlign w:val="center"/>
          </w:tcPr>
          <w:p>
            <w:pPr>
              <w:spacing w:line="216" w:lineRule="auto" w:after="0"/>
            </w:pPr>
            <w:r>
              <w:rPr>
                <w:sz w:val="13"/>
              </w:rPr>
              <w:t>61.0 (54.0-71.0)</w:t>
            </w:r>
          </w:p>
        </w:tc>
        <w:tc>
          <w:tcPr>
            <w:tcW w:type="dxa" w:w="1020"/>
            <w:vAlign w:val="center"/>
          </w:tcPr>
          <w:p>
            <w:pPr>
              <w:spacing w:line="216" w:lineRule="auto" w:after="0"/>
            </w:pPr>
            <w:r>
              <w:rPr>
                <w:sz w:val="13"/>
              </w:rPr>
              <w:t>72/201</w:t>
            </w:r>
          </w:p>
        </w:tc>
        <w:tc>
          <w:tcPr>
            <w:tcW w:type="dxa" w:w="1928"/>
            <w:vAlign w:val="center"/>
          </w:tcPr>
          <w:p>
            <w:pPr>
              <w:spacing w:line="216" w:lineRule="auto" w:after="0"/>
            </w:pPr>
            <w:r>
              <w:rPr>
                <w:sz w:val="13"/>
              </w:rPr>
              <w:t>194/58/6/2</w:t>
            </w:r>
          </w:p>
        </w:tc>
        <w:tc>
          <w:tcPr>
            <w:tcW w:type="dxa" w:w="1928"/>
            <w:vAlign w:val="center"/>
          </w:tcPr>
          <w:p>
            <w:pPr>
              <w:spacing w:line="216" w:lineRule="auto" w:after="0"/>
            </w:pPr>
            <w:r>
              <w:rPr>
                <w:sz w:val="13"/>
              </w:rPr>
              <w:t>168/25/49/15</w:t>
            </w:r>
          </w:p>
        </w:tc>
      </w:tr>
      <w:tr>
        <w:trPr>
          <w:cantSplit/>
        </w:trPr>
        <w:tc>
          <w:tcPr>
            <w:tcW w:type="dxa" w:w="1191"/>
            <w:vAlign w:val="center"/>
          </w:tcPr>
          <w:p>
            <w:pPr>
              <w:spacing w:line="216" w:lineRule="auto" w:after="0"/>
            </w:pPr>
            <w:r>
              <w:rPr>
                <w:sz w:val="13"/>
              </w:rPr>
              <w:t>LGG</w:t>
            </w:r>
          </w:p>
        </w:tc>
        <w:tc>
          <w:tcPr>
            <w:tcW w:type="dxa" w:w="624"/>
            <w:vAlign w:val="center"/>
          </w:tcPr>
          <w:p>
            <w:pPr>
              <w:spacing w:line="216" w:lineRule="auto" w:after="0"/>
            </w:pPr>
            <w:r>
              <w:rPr>
                <w:sz w:val="13"/>
              </w:rPr>
              <w:t>490</w:t>
            </w:r>
          </w:p>
        </w:tc>
        <w:tc>
          <w:tcPr>
            <w:tcW w:type="dxa" w:w="1814"/>
            <w:vAlign w:val="center"/>
          </w:tcPr>
          <w:p>
            <w:pPr>
              <w:spacing w:line="216" w:lineRule="auto" w:after="0"/>
            </w:pPr>
            <w:r>
              <w:rPr>
                <w:sz w:val="13"/>
              </w:rPr>
              <w:t>41.0 (32.0-53.0)</w:t>
            </w:r>
          </w:p>
        </w:tc>
        <w:tc>
          <w:tcPr>
            <w:tcW w:type="dxa" w:w="1020"/>
            <w:vAlign w:val="center"/>
          </w:tcPr>
          <w:p>
            <w:pPr>
              <w:spacing w:line="216" w:lineRule="auto" w:after="0"/>
            </w:pPr>
            <w:r>
              <w:rPr>
                <w:sz w:val="13"/>
              </w:rPr>
              <w:t>218/271</w:t>
            </w:r>
          </w:p>
        </w:tc>
        <w:tc>
          <w:tcPr>
            <w:tcW w:type="dxa" w:w="1928"/>
            <w:vAlign w:val="center"/>
          </w:tcPr>
          <w:p>
            <w:pPr>
              <w:spacing w:line="216" w:lineRule="auto" w:after="0"/>
            </w:pPr>
            <w:r>
              <w:rPr>
                <w:sz w:val="13"/>
              </w:rPr>
              <w:t>451/20/7/1</w:t>
            </w:r>
          </w:p>
        </w:tc>
        <w:tc>
          <w:tcPr>
            <w:tcW w:type="dxa" w:w="1928"/>
            <w:vAlign w:val="center"/>
          </w:tcPr>
          <w:p>
            <w:pPr>
              <w:spacing w:line="216" w:lineRule="auto" w:after="0"/>
            </w:pPr>
            <w:r>
              <w:rPr>
                <w:sz w:val="13"/>
              </w:rPr>
              <w:t>0/0/0/0</w:t>
            </w:r>
          </w:p>
        </w:tc>
      </w:tr>
      <w:tr>
        <w:trPr>
          <w:cantSplit/>
        </w:trPr>
        <w:tc>
          <w:tcPr>
            <w:tcW w:type="dxa" w:w="1191"/>
            <w:vAlign w:val="center"/>
          </w:tcPr>
          <w:p>
            <w:pPr>
              <w:spacing w:line="216" w:lineRule="auto" w:after="0"/>
            </w:pPr>
            <w:r>
              <w:rPr>
                <w:sz w:val="13"/>
              </w:rPr>
              <w:t>LIHC</w:t>
            </w:r>
          </w:p>
        </w:tc>
        <w:tc>
          <w:tcPr>
            <w:tcW w:type="dxa" w:w="624"/>
            <w:vAlign w:val="center"/>
          </w:tcPr>
          <w:p>
            <w:pPr>
              <w:spacing w:line="216" w:lineRule="auto" w:after="0"/>
            </w:pPr>
            <w:r>
              <w:rPr>
                <w:sz w:val="13"/>
              </w:rPr>
              <w:t>364</w:t>
            </w:r>
          </w:p>
        </w:tc>
        <w:tc>
          <w:tcPr>
            <w:tcW w:type="dxa" w:w="1814"/>
            <w:vAlign w:val="center"/>
          </w:tcPr>
          <w:p>
            <w:pPr>
              <w:spacing w:line="216" w:lineRule="auto" w:after="0"/>
            </w:pPr>
            <w:r>
              <w:rPr>
                <w:sz w:val="13"/>
              </w:rPr>
              <w:t>61.0 (51.0-69.0)</w:t>
            </w:r>
          </w:p>
        </w:tc>
        <w:tc>
          <w:tcPr>
            <w:tcW w:type="dxa" w:w="1020"/>
            <w:vAlign w:val="center"/>
          </w:tcPr>
          <w:p>
            <w:pPr>
              <w:spacing w:line="216" w:lineRule="auto" w:after="0"/>
            </w:pPr>
            <w:r>
              <w:rPr>
                <w:sz w:val="13"/>
              </w:rPr>
              <w:t>119/245</w:t>
            </w:r>
          </w:p>
        </w:tc>
        <w:tc>
          <w:tcPr>
            <w:tcW w:type="dxa" w:w="1928"/>
            <w:vAlign w:val="center"/>
          </w:tcPr>
          <w:p>
            <w:pPr>
              <w:spacing w:line="216" w:lineRule="auto" w:after="0"/>
            </w:pPr>
            <w:r>
              <w:rPr>
                <w:sz w:val="13"/>
              </w:rPr>
              <w:t>178/14/161/2</w:t>
            </w:r>
          </w:p>
        </w:tc>
        <w:tc>
          <w:tcPr>
            <w:tcW w:type="dxa" w:w="1928"/>
            <w:vAlign w:val="center"/>
          </w:tcPr>
          <w:p>
            <w:pPr>
              <w:spacing w:line="216" w:lineRule="auto" w:after="0"/>
            </w:pPr>
            <w:r>
              <w:rPr>
                <w:sz w:val="13"/>
              </w:rPr>
              <w:t>167/85/84/5</w:t>
            </w:r>
          </w:p>
        </w:tc>
      </w:tr>
      <w:tr>
        <w:trPr>
          <w:cantSplit/>
        </w:trPr>
        <w:tc>
          <w:tcPr>
            <w:tcW w:type="dxa" w:w="1191"/>
            <w:vAlign w:val="center"/>
          </w:tcPr>
          <w:p>
            <w:pPr>
              <w:spacing w:line="216" w:lineRule="auto" w:after="0"/>
            </w:pPr>
            <w:r>
              <w:rPr>
                <w:sz w:val="13"/>
              </w:rPr>
              <w:t>LUAD</w:t>
            </w:r>
          </w:p>
        </w:tc>
        <w:tc>
          <w:tcPr>
            <w:tcW w:type="dxa" w:w="624"/>
            <w:vAlign w:val="center"/>
          </w:tcPr>
          <w:p>
            <w:pPr>
              <w:spacing w:line="216" w:lineRule="auto" w:after="0"/>
            </w:pPr>
            <w:r>
              <w:rPr>
                <w:sz w:val="13"/>
              </w:rPr>
              <w:t>468</w:t>
            </w:r>
          </w:p>
        </w:tc>
        <w:tc>
          <w:tcPr>
            <w:tcW w:type="dxa" w:w="1814"/>
            <w:vAlign w:val="center"/>
          </w:tcPr>
          <w:p>
            <w:pPr>
              <w:spacing w:line="216" w:lineRule="auto" w:after="0"/>
            </w:pPr>
            <w:r>
              <w:rPr>
                <w:sz w:val="13"/>
              </w:rPr>
              <w:t>66.0 (59.0-73.0)</w:t>
            </w:r>
          </w:p>
        </w:tc>
        <w:tc>
          <w:tcPr>
            <w:tcW w:type="dxa" w:w="1020"/>
            <w:vAlign w:val="center"/>
          </w:tcPr>
          <w:p>
            <w:pPr>
              <w:spacing w:line="216" w:lineRule="auto" w:after="0"/>
            </w:pPr>
            <w:r>
              <w:rPr>
                <w:sz w:val="13"/>
              </w:rPr>
              <w:t>253/215</w:t>
            </w:r>
          </w:p>
        </w:tc>
        <w:tc>
          <w:tcPr>
            <w:tcW w:type="dxa" w:w="1928"/>
            <w:vAlign w:val="center"/>
          </w:tcPr>
          <w:p>
            <w:pPr>
              <w:spacing w:line="216" w:lineRule="auto" w:after="0"/>
            </w:pPr>
            <w:r>
              <w:rPr>
                <w:sz w:val="13"/>
              </w:rPr>
              <w:t>353/51/8/1</w:t>
            </w:r>
          </w:p>
        </w:tc>
        <w:tc>
          <w:tcPr>
            <w:tcW w:type="dxa" w:w="1928"/>
            <w:vAlign w:val="center"/>
          </w:tcPr>
          <w:p>
            <w:pPr>
              <w:spacing w:line="216" w:lineRule="auto" w:after="0"/>
            </w:pPr>
            <w:r>
              <w:rPr>
                <w:sz w:val="13"/>
              </w:rPr>
              <w:t>255/114/66/25</w:t>
            </w:r>
          </w:p>
        </w:tc>
      </w:tr>
      <w:tr>
        <w:trPr>
          <w:cantSplit/>
        </w:trPr>
        <w:tc>
          <w:tcPr>
            <w:tcW w:type="dxa" w:w="1191"/>
            <w:vAlign w:val="center"/>
          </w:tcPr>
          <w:p>
            <w:pPr>
              <w:spacing w:line="216" w:lineRule="auto" w:after="0"/>
            </w:pPr>
            <w:r>
              <w:rPr>
                <w:sz w:val="13"/>
              </w:rPr>
              <w:t>LUSC</w:t>
            </w:r>
          </w:p>
        </w:tc>
        <w:tc>
          <w:tcPr>
            <w:tcW w:type="dxa" w:w="624"/>
            <w:vAlign w:val="center"/>
          </w:tcPr>
          <w:p>
            <w:pPr>
              <w:spacing w:line="216" w:lineRule="auto" w:after="0"/>
            </w:pPr>
            <w:r>
              <w:rPr>
                <w:sz w:val="13"/>
              </w:rPr>
              <w:t>477</w:t>
            </w:r>
          </w:p>
        </w:tc>
        <w:tc>
          <w:tcPr>
            <w:tcW w:type="dxa" w:w="1814"/>
            <w:vAlign w:val="center"/>
          </w:tcPr>
          <w:p>
            <w:pPr>
              <w:spacing w:line="216" w:lineRule="auto" w:after="0"/>
            </w:pPr>
            <w:r>
              <w:rPr>
                <w:sz w:val="13"/>
              </w:rPr>
              <w:t>68.0 (62.0-73.2)</w:t>
            </w:r>
          </w:p>
        </w:tc>
        <w:tc>
          <w:tcPr>
            <w:tcW w:type="dxa" w:w="1020"/>
            <w:vAlign w:val="center"/>
          </w:tcPr>
          <w:p>
            <w:pPr>
              <w:spacing w:line="216" w:lineRule="auto" w:after="0"/>
            </w:pPr>
            <w:r>
              <w:rPr>
                <w:sz w:val="13"/>
              </w:rPr>
              <w:t>121/356</w:t>
            </w:r>
          </w:p>
        </w:tc>
        <w:tc>
          <w:tcPr>
            <w:tcW w:type="dxa" w:w="1928"/>
            <w:vAlign w:val="center"/>
          </w:tcPr>
          <w:p>
            <w:pPr>
              <w:spacing w:line="216" w:lineRule="auto" w:after="0"/>
            </w:pPr>
            <w:r>
              <w:rPr>
                <w:sz w:val="13"/>
              </w:rPr>
              <w:t>327/30/9/0</w:t>
            </w:r>
          </w:p>
        </w:tc>
        <w:tc>
          <w:tcPr>
            <w:tcW w:type="dxa" w:w="1928"/>
            <w:vAlign w:val="center"/>
          </w:tcPr>
          <w:p>
            <w:pPr>
              <w:spacing w:line="216" w:lineRule="auto" w:after="0"/>
            </w:pPr>
            <w:r>
              <w:rPr>
                <w:sz w:val="13"/>
              </w:rPr>
              <w:t>234/152/81/6</w:t>
            </w:r>
          </w:p>
        </w:tc>
      </w:tr>
      <w:tr>
        <w:trPr>
          <w:cantSplit/>
        </w:trPr>
        <w:tc>
          <w:tcPr>
            <w:tcW w:type="dxa" w:w="1191"/>
            <w:vAlign w:val="center"/>
          </w:tcPr>
          <w:p>
            <w:pPr>
              <w:spacing w:line="216" w:lineRule="auto" w:after="0"/>
            </w:pPr>
            <w:r>
              <w:rPr>
                <w:sz w:val="13"/>
              </w:rPr>
              <w:t>MESO</w:t>
            </w:r>
          </w:p>
        </w:tc>
        <w:tc>
          <w:tcPr>
            <w:tcW w:type="dxa" w:w="624"/>
            <w:vAlign w:val="center"/>
          </w:tcPr>
          <w:p>
            <w:pPr>
              <w:spacing w:line="216" w:lineRule="auto" w:after="0"/>
            </w:pPr>
            <w:r>
              <w:rPr>
                <w:sz w:val="13"/>
              </w:rPr>
              <w:t>75</w:t>
            </w:r>
          </w:p>
        </w:tc>
        <w:tc>
          <w:tcPr>
            <w:tcW w:type="dxa" w:w="1814"/>
            <w:vAlign w:val="center"/>
          </w:tcPr>
          <w:p>
            <w:pPr>
              <w:spacing w:line="216" w:lineRule="auto" w:after="0"/>
            </w:pPr>
            <w:r>
              <w:rPr>
                <w:sz w:val="13"/>
              </w:rPr>
              <w:t>65.0 (57.5-69.5)</w:t>
            </w:r>
          </w:p>
        </w:tc>
        <w:tc>
          <w:tcPr>
            <w:tcW w:type="dxa" w:w="1020"/>
            <w:vAlign w:val="center"/>
          </w:tcPr>
          <w:p>
            <w:pPr>
              <w:spacing w:line="216" w:lineRule="auto" w:after="0"/>
            </w:pPr>
            <w:r>
              <w:rPr>
                <w:sz w:val="13"/>
              </w:rPr>
              <w:t>15/60</w:t>
            </w:r>
          </w:p>
        </w:tc>
        <w:tc>
          <w:tcPr>
            <w:tcW w:type="dxa" w:w="1928"/>
            <w:vAlign w:val="center"/>
          </w:tcPr>
          <w:p>
            <w:pPr>
              <w:spacing w:line="216" w:lineRule="auto" w:after="0"/>
            </w:pPr>
            <w:r>
              <w:rPr>
                <w:sz w:val="13"/>
              </w:rPr>
              <w:t>73/1/1/0</w:t>
            </w:r>
          </w:p>
        </w:tc>
        <w:tc>
          <w:tcPr>
            <w:tcW w:type="dxa" w:w="1928"/>
            <w:vAlign w:val="center"/>
          </w:tcPr>
          <w:p>
            <w:pPr>
              <w:spacing w:line="216" w:lineRule="auto" w:after="0"/>
            </w:pPr>
            <w:r>
              <w:rPr>
                <w:sz w:val="13"/>
              </w:rPr>
              <w:t>8/13/39/15</w:t>
            </w:r>
          </w:p>
        </w:tc>
      </w:tr>
      <w:tr>
        <w:trPr>
          <w:cantSplit/>
        </w:trPr>
        <w:tc>
          <w:tcPr>
            <w:tcW w:type="dxa" w:w="1191"/>
            <w:vAlign w:val="center"/>
          </w:tcPr>
          <w:p>
            <w:pPr>
              <w:spacing w:line="216" w:lineRule="auto" w:after="0"/>
            </w:pPr>
            <w:r>
              <w:rPr>
                <w:sz w:val="13"/>
              </w:rPr>
              <w:t>OV</w:t>
            </w:r>
          </w:p>
        </w:tc>
        <w:tc>
          <w:tcPr>
            <w:tcW w:type="dxa" w:w="624"/>
            <w:vAlign w:val="center"/>
          </w:tcPr>
          <w:p>
            <w:pPr>
              <w:spacing w:line="216" w:lineRule="auto" w:after="0"/>
            </w:pPr>
            <w:r>
              <w:rPr>
                <w:sz w:val="13"/>
              </w:rPr>
              <w:t>106</w:t>
            </w:r>
          </w:p>
        </w:tc>
        <w:tc>
          <w:tcPr>
            <w:tcW w:type="dxa" w:w="1814"/>
            <w:vAlign w:val="center"/>
          </w:tcPr>
          <w:p>
            <w:pPr>
              <w:spacing w:line="216" w:lineRule="auto" w:after="0"/>
            </w:pPr>
            <w:r>
              <w:rPr>
                <w:sz w:val="13"/>
              </w:rPr>
              <w:t>61.5 (54.0-70.8)</w:t>
            </w:r>
          </w:p>
        </w:tc>
        <w:tc>
          <w:tcPr>
            <w:tcW w:type="dxa" w:w="1020"/>
            <w:vAlign w:val="center"/>
          </w:tcPr>
          <w:p>
            <w:pPr>
              <w:spacing w:line="216" w:lineRule="auto" w:after="0"/>
            </w:pPr>
            <w:r>
              <w:rPr>
                <w:sz w:val="13"/>
              </w:rPr>
              <w:t>106/0</w:t>
            </w:r>
          </w:p>
        </w:tc>
        <w:tc>
          <w:tcPr>
            <w:tcW w:type="dxa" w:w="1928"/>
            <w:vAlign w:val="center"/>
          </w:tcPr>
          <w:p>
            <w:pPr>
              <w:spacing w:line="216" w:lineRule="auto" w:after="0"/>
            </w:pPr>
            <w:r>
              <w:rPr>
                <w:sz w:val="13"/>
              </w:rPr>
              <w:t>87/11/2/3</w:t>
            </w:r>
          </w:p>
        </w:tc>
        <w:tc>
          <w:tcPr>
            <w:tcW w:type="dxa" w:w="1928"/>
            <w:vAlign w:val="center"/>
          </w:tcPr>
          <w:p>
            <w:pPr>
              <w:spacing w:line="216" w:lineRule="auto" w:after="0"/>
            </w:pPr>
            <w:r>
              <w:rPr>
                <w:sz w:val="13"/>
              </w:rPr>
              <w:t>2/4/74/24</w:t>
            </w:r>
          </w:p>
        </w:tc>
      </w:tr>
      <w:tr>
        <w:trPr>
          <w:cantSplit/>
        </w:trPr>
        <w:tc>
          <w:tcPr>
            <w:tcW w:type="dxa" w:w="1191"/>
            <w:vAlign w:val="center"/>
          </w:tcPr>
          <w:p>
            <w:pPr>
              <w:spacing w:line="216" w:lineRule="auto" w:after="0"/>
            </w:pPr>
            <w:r>
              <w:rPr>
                <w:sz w:val="13"/>
              </w:rPr>
              <w:t>PAAD</w:t>
            </w:r>
          </w:p>
        </w:tc>
        <w:tc>
          <w:tcPr>
            <w:tcW w:type="dxa" w:w="624"/>
            <w:vAlign w:val="center"/>
          </w:tcPr>
          <w:p>
            <w:pPr>
              <w:spacing w:line="216" w:lineRule="auto" w:after="0"/>
            </w:pPr>
            <w:r>
              <w:rPr>
                <w:sz w:val="13"/>
              </w:rPr>
              <w:t>183</w:t>
            </w:r>
          </w:p>
        </w:tc>
        <w:tc>
          <w:tcPr>
            <w:tcW w:type="dxa" w:w="1814"/>
            <w:vAlign w:val="center"/>
          </w:tcPr>
          <w:p>
            <w:pPr>
              <w:spacing w:line="216" w:lineRule="auto" w:after="0"/>
            </w:pPr>
            <w:r>
              <w:rPr>
                <w:sz w:val="13"/>
              </w:rPr>
              <w:t>65.0 (57.0-73.0)</w:t>
            </w:r>
          </w:p>
        </w:tc>
        <w:tc>
          <w:tcPr>
            <w:tcW w:type="dxa" w:w="1020"/>
            <w:vAlign w:val="center"/>
          </w:tcPr>
          <w:p>
            <w:pPr>
              <w:spacing w:line="216" w:lineRule="auto" w:after="0"/>
            </w:pPr>
            <w:r>
              <w:rPr>
                <w:sz w:val="13"/>
              </w:rPr>
              <w:t>81/102</w:t>
            </w:r>
          </w:p>
        </w:tc>
        <w:tc>
          <w:tcPr>
            <w:tcW w:type="dxa" w:w="1928"/>
            <w:vAlign w:val="center"/>
          </w:tcPr>
          <w:p>
            <w:pPr>
              <w:spacing w:line="216" w:lineRule="auto" w:after="0"/>
            </w:pPr>
            <w:r>
              <w:rPr>
                <w:sz w:val="13"/>
              </w:rPr>
              <w:t>160/7/11/0</w:t>
            </w:r>
          </w:p>
        </w:tc>
        <w:tc>
          <w:tcPr>
            <w:tcW w:type="dxa" w:w="1928"/>
            <w:vAlign w:val="center"/>
          </w:tcPr>
          <w:p>
            <w:pPr>
              <w:spacing w:line="216" w:lineRule="auto" w:after="0"/>
            </w:pPr>
            <w:r>
              <w:rPr>
                <w:sz w:val="13"/>
              </w:rPr>
              <w:t>21/151/4/5</w:t>
            </w:r>
          </w:p>
        </w:tc>
      </w:tr>
      <w:tr>
        <w:trPr>
          <w:cantSplit/>
        </w:trPr>
        <w:tc>
          <w:tcPr>
            <w:tcW w:type="dxa" w:w="1191"/>
            <w:vAlign w:val="center"/>
          </w:tcPr>
          <w:p>
            <w:pPr>
              <w:spacing w:line="216" w:lineRule="auto" w:after="0"/>
            </w:pPr>
            <w:r>
              <w:rPr>
                <w:sz w:val="13"/>
              </w:rPr>
              <w:t>PCPG</w:t>
            </w:r>
          </w:p>
        </w:tc>
        <w:tc>
          <w:tcPr>
            <w:tcW w:type="dxa" w:w="624"/>
            <w:vAlign w:val="center"/>
          </w:tcPr>
          <w:p>
            <w:pPr>
              <w:spacing w:line="216" w:lineRule="auto" w:after="0"/>
            </w:pPr>
            <w:r>
              <w:rPr>
                <w:sz w:val="13"/>
              </w:rPr>
              <w:t>176</w:t>
            </w:r>
          </w:p>
        </w:tc>
        <w:tc>
          <w:tcPr>
            <w:tcW w:type="dxa" w:w="1814"/>
            <w:vAlign w:val="center"/>
          </w:tcPr>
          <w:p>
            <w:pPr>
              <w:spacing w:line="216" w:lineRule="auto" w:after="0"/>
            </w:pPr>
            <w:r>
              <w:rPr>
                <w:sz w:val="13"/>
              </w:rPr>
              <w:t>46.0 (35.0-58.2)</w:t>
            </w:r>
          </w:p>
        </w:tc>
        <w:tc>
          <w:tcPr>
            <w:tcW w:type="dxa" w:w="1020"/>
            <w:vAlign w:val="center"/>
          </w:tcPr>
          <w:p>
            <w:pPr>
              <w:spacing w:line="216" w:lineRule="auto" w:after="0"/>
            </w:pPr>
            <w:r>
              <w:rPr>
                <w:sz w:val="13"/>
              </w:rPr>
              <w:t>100/76</w:t>
            </w:r>
          </w:p>
        </w:tc>
        <w:tc>
          <w:tcPr>
            <w:tcW w:type="dxa" w:w="1928"/>
            <w:vAlign w:val="center"/>
          </w:tcPr>
          <w:p>
            <w:pPr>
              <w:spacing w:line="216" w:lineRule="auto" w:after="0"/>
            </w:pPr>
            <w:r>
              <w:rPr>
                <w:sz w:val="13"/>
              </w:rPr>
              <w:t>145/20/6/1</w:t>
            </w:r>
          </w:p>
        </w:tc>
        <w:tc>
          <w:tcPr>
            <w:tcW w:type="dxa" w:w="1928"/>
            <w:vAlign w:val="center"/>
          </w:tcPr>
          <w:p>
            <w:pPr>
              <w:spacing w:line="216" w:lineRule="auto" w:after="0"/>
            </w:pPr>
            <w:r>
              <w:rPr>
                <w:sz w:val="13"/>
              </w:rPr>
              <w:t>0/0/0/0</w:t>
            </w:r>
          </w:p>
        </w:tc>
      </w:tr>
      <w:tr>
        <w:trPr>
          <w:cantSplit/>
        </w:trPr>
        <w:tc>
          <w:tcPr>
            <w:tcW w:type="dxa" w:w="1191"/>
            <w:vAlign w:val="center"/>
          </w:tcPr>
          <w:p>
            <w:pPr>
              <w:spacing w:line="216" w:lineRule="auto" w:after="0"/>
            </w:pPr>
            <w:r>
              <w:rPr>
                <w:sz w:val="13"/>
              </w:rPr>
              <w:t>PRAD</w:t>
            </w:r>
          </w:p>
        </w:tc>
        <w:tc>
          <w:tcPr>
            <w:tcW w:type="dxa" w:w="624"/>
            <w:vAlign w:val="center"/>
          </w:tcPr>
          <w:p>
            <w:pPr>
              <w:spacing w:line="216" w:lineRule="auto" w:after="0"/>
            </w:pPr>
            <w:r>
              <w:rPr>
                <w:sz w:val="13"/>
              </w:rPr>
              <w:t>402</w:t>
            </w:r>
          </w:p>
        </w:tc>
        <w:tc>
          <w:tcPr>
            <w:tcW w:type="dxa" w:w="1814"/>
            <w:vAlign w:val="center"/>
          </w:tcPr>
          <w:p>
            <w:pPr>
              <w:spacing w:line="216" w:lineRule="auto" w:after="0"/>
            </w:pPr>
            <w:r>
              <w:rPr>
                <w:sz w:val="13"/>
              </w:rPr>
              <w:t>61.0 (56.0-66.0)</w:t>
            </w:r>
          </w:p>
        </w:tc>
        <w:tc>
          <w:tcPr>
            <w:tcW w:type="dxa" w:w="1020"/>
            <w:vAlign w:val="center"/>
          </w:tcPr>
          <w:p>
            <w:pPr>
              <w:spacing w:line="216" w:lineRule="auto" w:after="0"/>
            </w:pPr>
            <w:r>
              <w:rPr>
                <w:sz w:val="13"/>
              </w:rPr>
              <w:t>0/402</w:t>
            </w:r>
          </w:p>
        </w:tc>
        <w:tc>
          <w:tcPr>
            <w:tcW w:type="dxa" w:w="1928"/>
            <w:vAlign w:val="center"/>
          </w:tcPr>
          <w:p>
            <w:pPr>
              <w:spacing w:line="216" w:lineRule="auto" w:after="0"/>
            </w:pPr>
            <w:r>
              <w:rPr>
                <w:sz w:val="13"/>
              </w:rPr>
              <w:t>137/7/2/0</w:t>
            </w:r>
          </w:p>
        </w:tc>
        <w:tc>
          <w:tcPr>
            <w:tcW w:type="dxa" w:w="1928"/>
            <w:vAlign w:val="center"/>
          </w:tcPr>
          <w:p>
            <w:pPr>
              <w:spacing w:line="216" w:lineRule="auto" w:after="0"/>
            </w:pPr>
            <w:r>
              <w:rPr>
                <w:sz w:val="13"/>
              </w:rPr>
              <w:t>0/0/0/0</w:t>
            </w:r>
          </w:p>
        </w:tc>
      </w:tr>
      <w:tr>
        <w:trPr>
          <w:cantSplit/>
        </w:trPr>
        <w:tc>
          <w:tcPr>
            <w:tcW w:type="dxa" w:w="1191"/>
            <w:vAlign w:val="center"/>
          </w:tcPr>
          <w:p>
            <w:pPr>
              <w:spacing w:line="216" w:lineRule="auto" w:after="0"/>
            </w:pPr>
            <w:r>
              <w:rPr>
                <w:sz w:val="13"/>
              </w:rPr>
              <w:t>READ</w:t>
            </w:r>
          </w:p>
        </w:tc>
        <w:tc>
          <w:tcPr>
            <w:tcW w:type="dxa" w:w="624"/>
            <w:vAlign w:val="center"/>
          </w:tcPr>
          <w:p>
            <w:pPr>
              <w:spacing w:line="216" w:lineRule="auto" w:after="0"/>
            </w:pPr>
            <w:r>
              <w:rPr>
                <w:sz w:val="13"/>
              </w:rPr>
              <w:t>156</w:t>
            </w:r>
          </w:p>
        </w:tc>
        <w:tc>
          <w:tcPr>
            <w:tcW w:type="dxa" w:w="1814"/>
            <w:vAlign w:val="center"/>
          </w:tcPr>
          <w:p>
            <w:pPr>
              <w:spacing w:line="216" w:lineRule="auto" w:after="0"/>
            </w:pPr>
            <w:r>
              <w:rPr>
                <w:sz w:val="13"/>
              </w:rPr>
              <w:t>66.0 (57.0-72.0)</w:t>
            </w:r>
          </w:p>
        </w:tc>
        <w:tc>
          <w:tcPr>
            <w:tcW w:type="dxa" w:w="1020"/>
            <w:vAlign w:val="center"/>
          </w:tcPr>
          <w:p>
            <w:pPr>
              <w:spacing w:line="216" w:lineRule="auto" w:after="0"/>
            </w:pPr>
            <w:r>
              <w:rPr>
                <w:sz w:val="13"/>
              </w:rPr>
              <w:t>71/84</w:t>
            </w:r>
          </w:p>
        </w:tc>
        <w:tc>
          <w:tcPr>
            <w:tcW w:type="dxa" w:w="1928"/>
            <w:vAlign w:val="center"/>
          </w:tcPr>
          <w:p>
            <w:pPr>
              <w:spacing w:line="216" w:lineRule="auto" w:after="0"/>
            </w:pPr>
            <w:r>
              <w:rPr>
                <w:sz w:val="13"/>
              </w:rPr>
              <w:t>75/6/1/0</w:t>
            </w:r>
          </w:p>
        </w:tc>
        <w:tc>
          <w:tcPr>
            <w:tcW w:type="dxa" w:w="1928"/>
            <w:vAlign w:val="center"/>
          </w:tcPr>
          <w:p>
            <w:pPr>
              <w:spacing w:line="216" w:lineRule="auto" w:after="0"/>
            </w:pPr>
            <w:r>
              <w:rPr>
                <w:sz w:val="13"/>
              </w:rPr>
              <w:t>28/48/49/22</w:t>
            </w:r>
          </w:p>
        </w:tc>
      </w:tr>
      <w:tr>
        <w:trPr>
          <w:cantSplit/>
        </w:trPr>
        <w:tc>
          <w:tcPr>
            <w:tcW w:type="dxa" w:w="1191"/>
            <w:vAlign w:val="center"/>
          </w:tcPr>
          <w:p>
            <w:pPr>
              <w:spacing w:line="216" w:lineRule="auto" w:after="0"/>
            </w:pPr>
            <w:r>
              <w:rPr>
                <w:sz w:val="13"/>
              </w:rPr>
              <w:t>SARC</w:t>
            </w:r>
          </w:p>
        </w:tc>
        <w:tc>
          <w:tcPr>
            <w:tcW w:type="dxa" w:w="624"/>
            <w:vAlign w:val="center"/>
          </w:tcPr>
          <w:p>
            <w:pPr>
              <w:spacing w:line="216" w:lineRule="auto" w:after="0"/>
            </w:pPr>
            <w:r>
              <w:rPr>
                <w:sz w:val="13"/>
              </w:rPr>
              <w:t>254</w:t>
            </w:r>
          </w:p>
        </w:tc>
        <w:tc>
          <w:tcPr>
            <w:tcW w:type="dxa" w:w="1814"/>
            <w:vAlign w:val="center"/>
          </w:tcPr>
          <w:p>
            <w:pPr>
              <w:spacing w:line="216" w:lineRule="auto" w:after="0"/>
            </w:pPr>
            <w:r>
              <w:rPr>
                <w:sz w:val="13"/>
              </w:rPr>
              <w:t>61.0 (53.0-71.0)</w:t>
            </w:r>
          </w:p>
        </w:tc>
        <w:tc>
          <w:tcPr>
            <w:tcW w:type="dxa" w:w="1020"/>
            <w:vAlign w:val="center"/>
          </w:tcPr>
          <w:p>
            <w:pPr>
              <w:spacing w:line="216" w:lineRule="auto" w:after="0"/>
            </w:pPr>
            <w:r>
              <w:rPr>
                <w:sz w:val="13"/>
              </w:rPr>
              <w:t>138/116</w:t>
            </w:r>
          </w:p>
        </w:tc>
        <w:tc>
          <w:tcPr>
            <w:tcW w:type="dxa" w:w="1928"/>
            <w:vAlign w:val="center"/>
          </w:tcPr>
          <w:p>
            <w:pPr>
              <w:spacing w:line="216" w:lineRule="auto" w:after="0"/>
            </w:pPr>
            <w:r>
              <w:rPr>
                <w:sz w:val="13"/>
              </w:rPr>
              <w:t>221/18/6/0</w:t>
            </w:r>
          </w:p>
        </w:tc>
        <w:tc>
          <w:tcPr>
            <w:tcW w:type="dxa" w:w="1928"/>
            <w:vAlign w:val="center"/>
          </w:tcPr>
          <w:p>
            <w:pPr>
              <w:spacing w:line="216" w:lineRule="auto" w:after="0"/>
            </w:pPr>
            <w:r>
              <w:rPr>
                <w:sz w:val="13"/>
              </w:rPr>
              <w:t>0/0/0/0</w:t>
            </w:r>
          </w:p>
        </w:tc>
      </w:tr>
      <w:tr>
        <w:trPr>
          <w:cantSplit/>
        </w:trPr>
        <w:tc>
          <w:tcPr>
            <w:tcW w:type="dxa" w:w="1191"/>
            <w:vAlign w:val="center"/>
          </w:tcPr>
          <w:p>
            <w:pPr>
              <w:spacing w:line="216" w:lineRule="auto" w:after="0"/>
            </w:pPr>
            <w:r>
              <w:rPr>
                <w:sz w:val="13"/>
              </w:rPr>
              <w:t>SKCM</w:t>
            </w:r>
          </w:p>
        </w:tc>
        <w:tc>
          <w:tcPr>
            <w:tcW w:type="dxa" w:w="624"/>
            <w:vAlign w:val="center"/>
          </w:tcPr>
          <w:p>
            <w:pPr>
              <w:spacing w:line="216" w:lineRule="auto" w:after="0"/>
            </w:pPr>
            <w:r>
              <w:rPr>
                <w:sz w:val="13"/>
              </w:rPr>
              <w:t>292</w:t>
            </w:r>
          </w:p>
        </w:tc>
        <w:tc>
          <w:tcPr>
            <w:tcW w:type="dxa" w:w="1814"/>
            <w:vAlign w:val="center"/>
          </w:tcPr>
          <w:p>
            <w:pPr>
              <w:spacing w:line="216" w:lineRule="auto" w:after="0"/>
            </w:pPr>
            <w:r>
              <w:rPr>
                <w:sz w:val="13"/>
              </w:rPr>
              <w:t>58.5 (48.0-71.2)</w:t>
            </w:r>
          </w:p>
        </w:tc>
        <w:tc>
          <w:tcPr>
            <w:tcW w:type="dxa" w:w="1020"/>
            <w:vAlign w:val="center"/>
          </w:tcPr>
          <w:p>
            <w:pPr>
              <w:spacing w:line="216" w:lineRule="auto" w:after="0"/>
            </w:pPr>
            <w:r>
              <w:rPr>
                <w:sz w:val="13"/>
              </w:rPr>
              <w:t>111/181</w:t>
            </w:r>
          </w:p>
        </w:tc>
        <w:tc>
          <w:tcPr>
            <w:tcW w:type="dxa" w:w="1928"/>
            <w:vAlign w:val="center"/>
          </w:tcPr>
          <w:p>
            <w:pPr>
              <w:spacing w:line="216" w:lineRule="auto" w:after="0"/>
            </w:pPr>
            <w:r>
              <w:rPr>
                <w:sz w:val="13"/>
              </w:rPr>
              <w:t>276/0/10/0</w:t>
            </w:r>
          </w:p>
        </w:tc>
        <w:tc>
          <w:tcPr>
            <w:tcW w:type="dxa" w:w="1928"/>
            <w:vAlign w:val="center"/>
          </w:tcPr>
          <w:p>
            <w:pPr>
              <w:spacing w:line="216" w:lineRule="auto" w:after="0"/>
            </w:pPr>
            <w:r>
              <w:rPr>
                <w:sz w:val="13"/>
              </w:rPr>
              <w:t>50/94/96/14</w:t>
            </w:r>
          </w:p>
        </w:tc>
      </w:tr>
      <w:tr>
        <w:trPr>
          <w:cantSplit/>
        </w:trPr>
        <w:tc>
          <w:tcPr>
            <w:tcW w:type="dxa" w:w="1191"/>
            <w:vAlign w:val="center"/>
          </w:tcPr>
          <w:p>
            <w:pPr>
              <w:spacing w:line="216" w:lineRule="auto" w:after="0"/>
            </w:pPr>
            <w:r>
              <w:rPr>
                <w:sz w:val="13"/>
              </w:rPr>
              <w:t>STAD</w:t>
            </w:r>
          </w:p>
        </w:tc>
        <w:tc>
          <w:tcPr>
            <w:tcW w:type="dxa" w:w="624"/>
            <w:vAlign w:val="center"/>
          </w:tcPr>
          <w:p>
            <w:pPr>
              <w:spacing w:line="216" w:lineRule="auto" w:after="0"/>
            </w:pPr>
            <w:r>
              <w:rPr>
                <w:sz w:val="13"/>
              </w:rPr>
              <w:t>374</w:t>
            </w:r>
          </w:p>
        </w:tc>
        <w:tc>
          <w:tcPr>
            <w:tcW w:type="dxa" w:w="1814"/>
            <w:vAlign w:val="center"/>
          </w:tcPr>
          <w:p>
            <w:pPr>
              <w:spacing w:line="216" w:lineRule="auto" w:after="0"/>
            </w:pPr>
            <w:r>
              <w:rPr>
                <w:sz w:val="13"/>
              </w:rPr>
              <w:t>67.0 (58.0-72.0)</w:t>
            </w:r>
          </w:p>
        </w:tc>
        <w:tc>
          <w:tcPr>
            <w:tcW w:type="dxa" w:w="1020"/>
            <w:vAlign w:val="center"/>
          </w:tcPr>
          <w:p>
            <w:pPr>
              <w:spacing w:line="216" w:lineRule="auto" w:after="0"/>
            </w:pPr>
            <w:r>
              <w:rPr>
                <w:sz w:val="13"/>
              </w:rPr>
              <w:t>128/246</w:t>
            </w:r>
          </w:p>
        </w:tc>
        <w:tc>
          <w:tcPr>
            <w:tcW w:type="dxa" w:w="1928"/>
            <w:vAlign w:val="center"/>
          </w:tcPr>
          <w:p>
            <w:pPr>
              <w:spacing w:line="216" w:lineRule="auto" w:after="0"/>
            </w:pPr>
            <w:r>
              <w:rPr>
                <w:sz w:val="13"/>
              </w:rPr>
              <w:t>234/13/83/1</w:t>
            </w:r>
          </w:p>
        </w:tc>
        <w:tc>
          <w:tcPr>
            <w:tcW w:type="dxa" w:w="1928"/>
            <w:vAlign w:val="center"/>
          </w:tcPr>
          <w:p>
            <w:pPr>
              <w:spacing w:line="216" w:lineRule="auto" w:after="0"/>
            </w:pPr>
            <w:r>
              <w:rPr>
                <w:sz w:val="13"/>
              </w:rPr>
              <w:t>47/115/169/35</w:t>
            </w:r>
          </w:p>
        </w:tc>
      </w:tr>
      <w:tr>
        <w:trPr>
          <w:cantSplit/>
        </w:trPr>
        <w:tc>
          <w:tcPr>
            <w:tcW w:type="dxa" w:w="1191"/>
            <w:vAlign w:val="center"/>
          </w:tcPr>
          <w:p>
            <w:pPr>
              <w:spacing w:line="216" w:lineRule="auto" w:after="0"/>
            </w:pPr>
            <w:r>
              <w:rPr>
                <w:sz w:val="13"/>
              </w:rPr>
              <w:t>TGCT</w:t>
            </w:r>
          </w:p>
        </w:tc>
        <w:tc>
          <w:tcPr>
            <w:tcW w:type="dxa" w:w="624"/>
            <w:vAlign w:val="center"/>
          </w:tcPr>
          <w:p>
            <w:pPr>
              <w:spacing w:line="216" w:lineRule="auto" w:after="0"/>
            </w:pPr>
            <w:r>
              <w:rPr>
                <w:sz w:val="13"/>
              </w:rPr>
              <w:t>149</w:t>
            </w:r>
          </w:p>
        </w:tc>
        <w:tc>
          <w:tcPr>
            <w:tcW w:type="dxa" w:w="1814"/>
            <w:vAlign w:val="center"/>
          </w:tcPr>
          <w:p>
            <w:pPr>
              <w:spacing w:line="216" w:lineRule="auto" w:after="0"/>
            </w:pPr>
            <w:r>
              <w:rPr>
                <w:sz w:val="13"/>
              </w:rPr>
              <w:t>31.0 (26.0-37.0)</w:t>
            </w:r>
          </w:p>
        </w:tc>
        <w:tc>
          <w:tcPr>
            <w:tcW w:type="dxa" w:w="1020"/>
            <w:vAlign w:val="center"/>
          </w:tcPr>
          <w:p>
            <w:pPr>
              <w:spacing w:line="216" w:lineRule="auto" w:after="0"/>
            </w:pPr>
            <w:r>
              <w:rPr>
                <w:sz w:val="13"/>
              </w:rPr>
              <w:t>0/133</w:t>
            </w:r>
          </w:p>
        </w:tc>
        <w:tc>
          <w:tcPr>
            <w:tcW w:type="dxa" w:w="1928"/>
            <w:vAlign w:val="center"/>
          </w:tcPr>
          <w:p>
            <w:pPr>
              <w:spacing w:line="216" w:lineRule="auto" w:after="0"/>
            </w:pPr>
            <w:r>
              <w:rPr>
                <w:sz w:val="13"/>
              </w:rPr>
              <w:t>118/6/4/0</w:t>
            </w:r>
          </w:p>
        </w:tc>
        <w:tc>
          <w:tcPr>
            <w:tcW w:type="dxa" w:w="1928"/>
            <w:vAlign w:val="center"/>
          </w:tcPr>
          <w:p>
            <w:pPr>
              <w:spacing w:line="216" w:lineRule="auto" w:after="0"/>
            </w:pPr>
            <w:r>
              <w:rPr>
                <w:sz w:val="13"/>
              </w:rPr>
              <w:t>105/13/14/0</w:t>
            </w:r>
          </w:p>
        </w:tc>
      </w:tr>
      <w:tr>
        <w:trPr>
          <w:cantSplit/>
        </w:trPr>
        <w:tc>
          <w:tcPr>
            <w:tcW w:type="dxa" w:w="1191"/>
            <w:vAlign w:val="center"/>
          </w:tcPr>
          <w:p>
            <w:pPr>
              <w:spacing w:line="216" w:lineRule="auto" w:after="0"/>
            </w:pPr>
            <w:r>
              <w:rPr>
                <w:sz w:val="13"/>
              </w:rPr>
              <w:t>THCA</w:t>
            </w:r>
          </w:p>
        </w:tc>
        <w:tc>
          <w:tcPr>
            <w:tcW w:type="dxa" w:w="624"/>
            <w:vAlign w:val="center"/>
          </w:tcPr>
          <w:p>
            <w:pPr>
              <w:spacing w:line="216" w:lineRule="auto" w:after="0"/>
            </w:pPr>
            <w:r>
              <w:rPr>
                <w:sz w:val="13"/>
              </w:rPr>
              <w:t>505</w:t>
            </w:r>
          </w:p>
        </w:tc>
        <w:tc>
          <w:tcPr>
            <w:tcW w:type="dxa" w:w="1814"/>
            <w:vAlign w:val="center"/>
          </w:tcPr>
          <w:p>
            <w:pPr>
              <w:spacing w:line="216" w:lineRule="auto" w:after="0"/>
            </w:pPr>
            <w:r>
              <w:rPr>
                <w:sz w:val="13"/>
              </w:rPr>
              <w:t>46.0 (35.0-58.0)</w:t>
            </w:r>
          </w:p>
        </w:tc>
        <w:tc>
          <w:tcPr>
            <w:tcW w:type="dxa" w:w="1020"/>
            <w:vAlign w:val="center"/>
          </w:tcPr>
          <w:p>
            <w:pPr>
              <w:spacing w:line="216" w:lineRule="auto" w:after="0"/>
            </w:pPr>
            <w:r>
              <w:rPr>
                <w:sz w:val="13"/>
              </w:rPr>
              <w:t>369/136</w:t>
            </w:r>
          </w:p>
        </w:tc>
        <w:tc>
          <w:tcPr>
            <w:tcW w:type="dxa" w:w="1928"/>
            <w:vAlign w:val="center"/>
          </w:tcPr>
          <w:p>
            <w:pPr>
              <w:spacing w:line="216" w:lineRule="auto" w:after="0"/>
            </w:pPr>
            <w:r>
              <w:rPr>
                <w:sz w:val="13"/>
              </w:rPr>
              <w:t>332/27/52/1</w:t>
            </w:r>
          </w:p>
        </w:tc>
        <w:tc>
          <w:tcPr>
            <w:tcW w:type="dxa" w:w="1928"/>
            <w:vAlign w:val="center"/>
          </w:tcPr>
          <w:p>
            <w:pPr>
              <w:spacing w:line="216" w:lineRule="auto" w:after="0"/>
            </w:pPr>
            <w:r>
              <w:rPr>
                <w:sz w:val="13"/>
              </w:rPr>
              <w:t>285/51/112/55</w:t>
            </w:r>
          </w:p>
        </w:tc>
      </w:tr>
      <w:tr>
        <w:trPr>
          <w:cantSplit/>
        </w:trPr>
        <w:tc>
          <w:tcPr>
            <w:tcW w:type="dxa" w:w="1191"/>
            <w:vAlign w:val="center"/>
          </w:tcPr>
          <w:p>
            <w:pPr>
              <w:spacing w:line="216" w:lineRule="auto" w:after="0"/>
            </w:pPr>
            <w:r>
              <w:rPr>
                <w:sz w:val="13"/>
              </w:rPr>
              <w:t>THYM</w:t>
            </w:r>
          </w:p>
        </w:tc>
        <w:tc>
          <w:tcPr>
            <w:tcW w:type="dxa" w:w="624"/>
            <w:vAlign w:val="center"/>
          </w:tcPr>
          <w:p>
            <w:pPr>
              <w:spacing w:line="216" w:lineRule="auto" w:after="0"/>
            </w:pPr>
            <w:r>
              <w:rPr>
                <w:sz w:val="13"/>
              </w:rPr>
              <w:t>121</w:t>
            </w:r>
          </w:p>
        </w:tc>
        <w:tc>
          <w:tcPr>
            <w:tcW w:type="dxa" w:w="1814"/>
            <w:vAlign w:val="center"/>
          </w:tcPr>
          <w:p>
            <w:pPr>
              <w:spacing w:line="216" w:lineRule="auto" w:after="0"/>
            </w:pPr>
            <w:r>
              <w:rPr>
                <w:sz w:val="13"/>
              </w:rPr>
              <w:t>60.5 (49.8-68.2)</w:t>
            </w:r>
          </w:p>
        </w:tc>
        <w:tc>
          <w:tcPr>
            <w:tcW w:type="dxa" w:w="1020"/>
            <w:vAlign w:val="center"/>
          </w:tcPr>
          <w:p>
            <w:pPr>
              <w:spacing w:line="216" w:lineRule="auto" w:after="0"/>
            </w:pPr>
            <w:r>
              <w:rPr>
                <w:sz w:val="13"/>
              </w:rPr>
              <w:t>60/61</w:t>
            </w:r>
          </w:p>
        </w:tc>
        <w:tc>
          <w:tcPr>
            <w:tcW w:type="dxa" w:w="1928"/>
            <w:vAlign w:val="center"/>
          </w:tcPr>
          <w:p>
            <w:pPr>
              <w:spacing w:line="216" w:lineRule="auto" w:after="0"/>
            </w:pPr>
            <w:r>
              <w:rPr>
                <w:sz w:val="13"/>
              </w:rPr>
              <w:t>100/6/13/0</w:t>
            </w:r>
          </w:p>
        </w:tc>
        <w:tc>
          <w:tcPr>
            <w:tcW w:type="dxa" w:w="1928"/>
            <w:vAlign w:val="center"/>
          </w:tcPr>
          <w:p>
            <w:pPr>
              <w:spacing w:line="216" w:lineRule="auto" w:after="0"/>
            </w:pPr>
            <w:r>
              <w:rPr>
                <w:sz w:val="13"/>
              </w:rPr>
              <w:t>37/61/14/7</w:t>
            </w:r>
          </w:p>
        </w:tc>
      </w:tr>
      <w:tr>
        <w:trPr>
          <w:cantSplit/>
        </w:trPr>
        <w:tc>
          <w:tcPr>
            <w:tcW w:type="dxa" w:w="1191"/>
            <w:vAlign w:val="center"/>
          </w:tcPr>
          <w:p>
            <w:pPr>
              <w:spacing w:line="216" w:lineRule="auto" w:after="0"/>
            </w:pPr>
            <w:r>
              <w:rPr>
                <w:sz w:val="13"/>
              </w:rPr>
              <w:t>UCEC</w:t>
            </w:r>
          </w:p>
        </w:tc>
        <w:tc>
          <w:tcPr>
            <w:tcW w:type="dxa" w:w="624"/>
            <w:vAlign w:val="center"/>
          </w:tcPr>
          <w:p>
            <w:pPr>
              <w:spacing w:line="216" w:lineRule="auto" w:after="0"/>
            </w:pPr>
            <w:r>
              <w:rPr>
                <w:sz w:val="13"/>
              </w:rPr>
              <w:t>505</w:t>
            </w:r>
          </w:p>
        </w:tc>
        <w:tc>
          <w:tcPr>
            <w:tcW w:type="dxa" w:w="1814"/>
            <w:vAlign w:val="center"/>
          </w:tcPr>
          <w:p>
            <w:pPr>
              <w:spacing w:line="216" w:lineRule="auto" w:after="0"/>
            </w:pPr>
            <w:r>
              <w:rPr>
                <w:sz w:val="13"/>
              </w:rPr>
              <w:t>63.5 (57.0-71.0)</w:t>
            </w:r>
          </w:p>
        </w:tc>
        <w:tc>
          <w:tcPr>
            <w:tcW w:type="dxa" w:w="1020"/>
            <w:vAlign w:val="center"/>
          </w:tcPr>
          <w:p>
            <w:pPr>
              <w:spacing w:line="216" w:lineRule="auto" w:after="0"/>
            </w:pPr>
            <w:r>
              <w:rPr>
                <w:sz w:val="13"/>
              </w:rPr>
              <w:t>505/0</w:t>
            </w:r>
          </w:p>
        </w:tc>
        <w:tc>
          <w:tcPr>
            <w:tcW w:type="dxa" w:w="1928"/>
            <w:vAlign w:val="center"/>
          </w:tcPr>
          <w:p>
            <w:pPr>
              <w:spacing w:line="216" w:lineRule="auto" w:after="0"/>
            </w:pPr>
            <w:r>
              <w:rPr>
                <w:sz w:val="13"/>
              </w:rPr>
              <w:t>343/102/19/11</w:t>
            </w:r>
          </w:p>
        </w:tc>
        <w:tc>
          <w:tcPr>
            <w:tcW w:type="dxa" w:w="1928"/>
            <w:vAlign w:val="center"/>
          </w:tcPr>
          <w:p>
            <w:pPr>
              <w:spacing w:line="216" w:lineRule="auto" w:after="0"/>
            </w:pPr>
            <w:r>
              <w:rPr>
                <w:sz w:val="13"/>
              </w:rPr>
              <w:t>319/48/110/28</w:t>
            </w:r>
          </w:p>
        </w:tc>
      </w:tr>
      <w:tr>
        <w:trPr>
          <w:cantSplit/>
        </w:trPr>
        <w:tc>
          <w:tcPr>
            <w:tcW w:type="dxa" w:w="1191"/>
            <w:vAlign w:val="center"/>
          </w:tcPr>
          <w:p>
            <w:pPr>
              <w:spacing w:line="216" w:lineRule="auto" w:after="0"/>
            </w:pPr>
            <w:r>
              <w:rPr>
                <w:sz w:val="13"/>
              </w:rPr>
              <w:t>UCS</w:t>
            </w:r>
          </w:p>
        </w:tc>
        <w:tc>
          <w:tcPr>
            <w:tcW w:type="dxa" w:w="624"/>
            <w:vAlign w:val="center"/>
          </w:tcPr>
          <w:p>
            <w:pPr>
              <w:spacing w:line="216" w:lineRule="auto" w:after="0"/>
            </w:pPr>
            <w:r>
              <w:rPr>
                <w:sz w:val="13"/>
              </w:rPr>
              <w:t>53</w:t>
            </w:r>
          </w:p>
        </w:tc>
        <w:tc>
          <w:tcPr>
            <w:tcW w:type="dxa" w:w="1814"/>
            <w:vAlign w:val="center"/>
          </w:tcPr>
          <w:p>
            <w:pPr>
              <w:spacing w:line="216" w:lineRule="auto" w:after="0"/>
            </w:pPr>
            <w:r>
              <w:rPr>
                <w:sz w:val="13"/>
              </w:rPr>
              <w:t>69.0 (63.0-76.0)</w:t>
            </w:r>
          </w:p>
        </w:tc>
        <w:tc>
          <w:tcPr>
            <w:tcW w:type="dxa" w:w="1020"/>
            <w:vAlign w:val="center"/>
          </w:tcPr>
          <w:p>
            <w:pPr>
              <w:spacing w:line="216" w:lineRule="auto" w:after="0"/>
            </w:pPr>
            <w:r>
              <w:rPr>
                <w:sz w:val="13"/>
              </w:rPr>
              <w:t>53/0</w:t>
            </w:r>
          </w:p>
        </w:tc>
        <w:tc>
          <w:tcPr>
            <w:tcW w:type="dxa" w:w="1928"/>
            <w:vAlign w:val="center"/>
          </w:tcPr>
          <w:p>
            <w:pPr>
              <w:spacing w:line="216" w:lineRule="auto" w:after="0"/>
            </w:pPr>
            <w:r>
              <w:rPr>
                <w:sz w:val="13"/>
              </w:rPr>
              <w:t>41/9/3/0</w:t>
            </w:r>
          </w:p>
        </w:tc>
        <w:tc>
          <w:tcPr>
            <w:tcW w:type="dxa" w:w="1928"/>
            <w:vAlign w:val="center"/>
          </w:tcPr>
          <w:p>
            <w:pPr>
              <w:spacing w:line="216" w:lineRule="auto" w:after="0"/>
            </w:pPr>
            <w:r>
              <w:rPr>
                <w:sz w:val="13"/>
              </w:rPr>
              <w:t>21/4/19/9</w:t>
            </w:r>
          </w:p>
        </w:tc>
      </w:tr>
      <w:tr>
        <w:trPr>
          <w:cantSplit/>
        </w:trPr>
        <w:tc>
          <w:tcPr>
            <w:tcW w:type="dxa" w:w="1191"/>
            <w:vAlign w:val="center"/>
          </w:tcPr>
          <w:p>
            <w:pPr>
              <w:spacing w:line="216" w:lineRule="auto" w:after="0"/>
            </w:pPr>
            <w:r>
              <w:rPr>
                <w:sz w:val="13"/>
              </w:rPr>
              <w:t>UVM</w:t>
            </w:r>
          </w:p>
        </w:tc>
        <w:tc>
          <w:tcPr>
            <w:tcW w:type="dxa" w:w="624"/>
            <w:vAlign w:val="center"/>
          </w:tcPr>
          <w:p>
            <w:pPr>
              <w:spacing w:line="216" w:lineRule="auto" w:after="0"/>
            </w:pPr>
            <w:r>
              <w:rPr>
                <w:sz w:val="13"/>
              </w:rPr>
              <w:t>80</w:t>
            </w:r>
          </w:p>
        </w:tc>
        <w:tc>
          <w:tcPr>
            <w:tcW w:type="dxa" w:w="1814"/>
            <w:vAlign w:val="center"/>
          </w:tcPr>
          <w:p>
            <w:pPr>
              <w:spacing w:line="216" w:lineRule="auto" w:after="0"/>
            </w:pPr>
            <w:r>
              <w:rPr>
                <w:sz w:val="13"/>
              </w:rPr>
              <w:t>61.5 (51.0-74.2)</w:t>
            </w:r>
          </w:p>
        </w:tc>
        <w:tc>
          <w:tcPr>
            <w:tcW w:type="dxa" w:w="1020"/>
            <w:vAlign w:val="center"/>
          </w:tcPr>
          <w:p>
            <w:pPr>
              <w:spacing w:line="216" w:lineRule="auto" w:after="0"/>
            </w:pPr>
            <w:r>
              <w:rPr>
                <w:sz w:val="13"/>
              </w:rPr>
              <w:t>35/45</w:t>
            </w:r>
          </w:p>
        </w:tc>
        <w:tc>
          <w:tcPr>
            <w:tcW w:type="dxa" w:w="1928"/>
            <w:vAlign w:val="center"/>
          </w:tcPr>
          <w:p>
            <w:pPr>
              <w:spacing w:line="216" w:lineRule="auto" w:after="0"/>
            </w:pPr>
            <w:r>
              <w:rPr>
                <w:sz w:val="13"/>
              </w:rPr>
              <w:t>55/0/0/0</w:t>
            </w:r>
          </w:p>
        </w:tc>
        <w:tc>
          <w:tcPr>
            <w:tcW w:type="dxa" w:w="1928"/>
            <w:vAlign w:val="center"/>
          </w:tcPr>
          <w:p>
            <w:pPr>
              <w:spacing w:line="216" w:lineRule="auto" w:after="0"/>
            </w:pPr>
            <w:r>
              <w:rPr>
                <w:sz w:val="13"/>
              </w:rPr>
              <w:t>0/39/37/4</w:t>
            </w:r>
          </w:p>
        </w:tc>
      </w:tr>
      <w:tr>
        <w:trPr>
          <w:cantSplit/>
        </w:trPr>
        <w:tc>
          <w:tcPr>
            <w:tcW w:type="dxa" w:w="1191"/>
            <w:vAlign w:val="center"/>
          </w:tcPr>
          <w:p>
            <w:pPr>
              <w:spacing w:line="216" w:lineRule="auto" w:after="0"/>
            </w:pPr>
            <w:r>
              <w:rPr>
                <w:sz w:val="13"/>
              </w:rPr>
              <w:t>Unresolved</w:t>
            </w:r>
          </w:p>
        </w:tc>
        <w:tc>
          <w:tcPr>
            <w:tcW w:type="dxa" w:w="624"/>
            <w:vAlign w:val="center"/>
          </w:tcPr>
          <w:p>
            <w:pPr>
              <w:spacing w:line="216" w:lineRule="auto" w:after="0"/>
            </w:pPr>
            <w:r>
              <w:rPr>
                <w:sz w:val="13"/>
              </w:rPr>
              <w:t>9</w:t>
            </w:r>
          </w:p>
        </w:tc>
        <w:tc>
          <w:tcPr>
            <w:tcW w:type="dxa" w:w="1814"/>
            <w:vAlign w:val="center"/>
          </w:tcPr>
          <w:p>
            <w:pPr>
              <w:spacing w:line="216" w:lineRule="auto" w:after="0"/>
            </w:pPr>
            <w:r>
              <w:rPr>
                <w:sz w:val="13"/>
              </w:rPr>
              <w:t>65.0 (60.0-69.2)</w:t>
            </w:r>
          </w:p>
        </w:tc>
        <w:tc>
          <w:tcPr>
            <w:tcW w:type="dxa" w:w="1020"/>
            <w:vAlign w:val="center"/>
          </w:tcPr>
          <w:p>
            <w:pPr>
              <w:spacing w:line="216" w:lineRule="auto" w:after="0"/>
            </w:pPr>
            <w:r>
              <w:rPr>
                <w:sz w:val="13"/>
              </w:rPr>
              <w:t>2/7</w:t>
            </w:r>
          </w:p>
        </w:tc>
        <w:tc>
          <w:tcPr>
            <w:tcW w:type="dxa" w:w="1928"/>
            <w:vAlign w:val="center"/>
          </w:tcPr>
          <w:p>
            <w:pPr>
              <w:spacing w:line="216" w:lineRule="auto" w:after="0"/>
            </w:pPr>
            <w:r>
              <w:rPr>
                <w:sz w:val="13"/>
              </w:rPr>
              <w:t>7/0/0/0</w:t>
            </w:r>
          </w:p>
        </w:tc>
        <w:tc>
          <w:tcPr>
            <w:tcW w:type="dxa" w:w="1928"/>
            <w:vAlign w:val="center"/>
          </w:tcPr>
          <w:p>
            <w:pPr>
              <w:spacing w:line="216" w:lineRule="auto" w:after="0"/>
            </w:pPr>
            <w:r>
              <w:rPr>
                <w:sz w:val="13"/>
              </w:rPr>
              <w:t>2/2/0/0</w:t>
            </w:r>
          </w:p>
        </w:tc>
      </w:tr>
    </w:tbl>
    <w:p/>
    <w:p>
      <w:r>
        <w:t>Sex- and broad race-stratified performance counts, metrics and reasons for non-estimability remain in subgroup_performance_audit.csv.</w:t>
      </w:r>
    </w:p>
    <w:p>
      <w:pPr>
        <w:pStyle w:val="Heading1"/>
      </w:pPr>
      <w:r>
        <w:t>Table S3. Slide multiplicity, pathology quality and molecular-slide linkage</w:t>
      </w:r>
    </w:p>
    <w:tbl>
      <w:tblPr>
        <w:tblStyle w:val="TableGrid"/>
        <w:tblW w:type="dxa" w:w="8845"/>
        <w:jc w:val="left"/>
        <w:tblLayout w:type="fixed"/>
        <w:tblLook w:firstColumn="1" w:firstRow="1" w:lastColumn="0" w:lastRow="0" w:noHBand="0" w:noVBand="1" w:val="04A0"/>
        <w:tblLayout w:type="fixed"/>
        <w:tblInd w:type="dxa" w:w="0"/>
      </w:tblPr>
      <w:tblGrid>
        <w:gridCol w:w="1417"/>
        <w:gridCol w:w="1134"/>
        <w:gridCol w:w="1134"/>
        <w:gridCol w:w="1134"/>
        <w:gridCol w:w="1191"/>
        <w:gridCol w:w="2835"/>
      </w:tblGrid>
      <w:tr>
        <w:trPr>
          <w:tblHeader w:val="true"/>
          <w:cantSplit/>
        </w:trPr>
        <w:tc>
          <w:tcPr>
            <w:tcW w:type="dxa" w:w="1417"/>
          </w:tcPr>
          <w:p>
            <w:pPr>
              <w:spacing w:line="240" w:lineRule="auto" w:after="0"/>
            </w:pPr>
            <w:r>
              <w:rPr>
                <w:b/>
                <w:sz w:val="14"/>
              </w:rPr>
              <w:t>Representation</w:t>
            </w:r>
          </w:p>
        </w:tc>
        <w:tc>
          <w:tcPr>
            <w:tcW w:type="dxa" w:w="1134"/>
          </w:tcPr>
          <w:p>
            <w:pPr>
              <w:spacing w:line="240" w:lineRule="auto" w:after="0"/>
            </w:pPr>
            <w:r>
              <w:rPr>
                <w:b/>
                <w:sz w:val="14"/>
              </w:rPr>
              <w:t>Released patients</w:t>
            </w:r>
          </w:p>
        </w:tc>
        <w:tc>
          <w:tcPr>
            <w:tcW w:type="dxa" w:w="1134"/>
          </w:tcPr>
          <w:p>
            <w:pPr>
              <w:spacing w:line="240" w:lineRule="auto" w:after="0"/>
            </w:pPr>
            <w:r>
              <w:rPr>
                <w:b/>
                <w:sz w:val="14"/>
              </w:rPr>
              <w:t>Released slides</w:t>
            </w:r>
          </w:p>
        </w:tc>
        <w:tc>
          <w:tcPr>
            <w:tcW w:type="dxa" w:w="1134"/>
          </w:tcPr>
          <w:p>
            <w:pPr>
              <w:spacing w:line="240" w:lineRule="auto" w:after="0"/>
            </w:pPr>
            <w:r>
              <w:rPr>
                <w:b/>
                <w:sz w:val="14"/>
              </w:rPr>
              <w:t>Common patients</w:t>
            </w:r>
          </w:p>
        </w:tc>
        <w:tc>
          <w:tcPr>
            <w:tcW w:type="dxa" w:w="1191"/>
          </w:tcPr>
          <w:p>
            <w:pPr>
              <w:spacing w:line="240" w:lineRule="auto" w:after="0"/>
            </w:pPr>
            <w:r>
              <w:rPr>
                <w:b/>
                <w:sz w:val="14"/>
              </w:rPr>
              <w:t>Multi-slide patients</w:t>
            </w:r>
          </w:p>
        </w:tc>
        <w:tc>
          <w:tcPr>
            <w:tcW w:type="dxa" w:w="2835"/>
          </w:tcPr>
          <w:p>
            <w:pPr>
              <w:spacing w:line="240" w:lineRule="auto" w:after="0"/>
            </w:pPr>
            <w:r>
              <w:rPr>
                <w:b/>
                <w:sz w:val="14"/>
              </w:rPr>
              <w:t>Heterogeneity summary</w:t>
            </w:r>
          </w:p>
        </w:tc>
      </w:tr>
      <w:tr>
        <w:trPr>
          <w:cantSplit/>
        </w:trPr>
        <w:tc>
          <w:tcPr>
            <w:tcW w:type="dxa" w:w="1417"/>
            <w:vAlign w:val="center"/>
          </w:tcPr>
          <w:p>
            <w:pPr>
              <w:spacing w:line="240" w:lineRule="auto" w:after="0"/>
            </w:pPr>
            <w:r>
              <w:rPr>
                <w:sz w:val="14"/>
              </w:rPr>
              <w:t>TITAN</w:t>
            </w:r>
          </w:p>
        </w:tc>
        <w:tc>
          <w:tcPr>
            <w:tcW w:type="dxa" w:w="1134"/>
            <w:vAlign w:val="center"/>
          </w:tcPr>
          <w:p>
            <w:pPr>
              <w:spacing w:line="240" w:lineRule="auto" w:after="0"/>
            </w:pPr>
            <w:r>
              <w:rPr>
                <w:sz w:val="14"/>
              </w:rPr>
              <w:t>9404</w:t>
            </w:r>
          </w:p>
        </w:tc>
        <w:tc>
          <w:tcPr>
            <w:tcW w:type="dxa" w:w="1134"/>
            <w:vAlign w:val="center"/>
          </w:tcPr>
          <w:p>
            <w:pPr>
              <w:spacing w:line="240" w:lineRule="auto" w:after="0"/>
            </w:pPr>
            <w:r>
              <w:rPr>
                <w:sz w:val="14"/>
              </w:rPr>
              <w:t>11449</w:t>
            </w:r>
          </w:p>
        </w:tc>
        <w:tc>
          <w:tcPr>
            <w:tcW w:type="dxa" w:w="1134"/>
            <w:vAlign w:val="center"/>
          </w:tcPr>
          <w:p>
            <w:pPr>
              <w:spacing w:line="240" w:lineRule="auto" w:after="0"/>
            </w:pPr>
            <w:r>
              <w:rPr>
                <w:sz w:val="14"/>
              </w:rPr>
              <w:t>8241</w:t>
            </w:r>
          </w:p>
        </w:tc>
        <w:tc>
          <w:tcPr>
            <w:tcW w:type="dxa" w:w="1191"/>
            <w:vAlign w:val="center"/>
          </w:tcPr>
          <w:p>
            <w:pPr>
              <w:spacing w:line="240" w:lineRule="auto" w:after="0"/>
            </w:pPr>
            <w:r>
              <w:rPr>
                <w:sz w:val="14"/>
              </w:rPr>
              <w:t>843</w:t>
            </w:r>
          </w:p>
        </w:tc>
        <w:tc>
          <w:tcPr>
            <w:tcW w:type="dxa" w:w="2835"/>
            <w:vAlign w:val="center"/>
          </w:tcPr>
          <w:p>
            <w:pPr>
              <w:spacing w:line="240" w:lineRule="auto" w:after="0"/>
            </w:pPr>
            <w:r>
              <w:rPr>
                <w:sz w:val="14"/>
              </w:rPr>
              <w:t>median pairwise cosine distance 0.0803; median max leave-one-out change 0.0101</w:t>
            </w:r>
          </w:p>
        </w:tc>
      </w:tr>
      <w:tr>
        <w:trPr>
          <w:cantSplit/>
        </w:trPr>
        <w:tc>
          <w:tcPr>
            <w:tcW w:type="dxa" w:w="1417"/>
            <w:vAlign w:val="center"/>
          </w:tcPr>
          <w:p>
            <w:pPr>
              <w:spacing w:line="240" w:lineRule="auto" w:after="0"/>
            </w:pPr>
            <w:r>
              <w:rPr>
                <w:sz w:val="14"/>
              </w:rPr>
              <w:t>Giga-SSL</w:t>
            </w:r>
          </w:p>
        </w:tc>
        <w:tc>
          <w:tcPr>
            <w:tcW w:type="dxa" w:w="1134"/>
            <w:vAlign w:val="center"/>
          </w:tcPr>
          <w:p>
            <w:pPr>
              <w:spacing w:line="240" w:lineRule="auto" w:after="0"/>
            </w:pPr>
            <w:r>
              <w:rPr>
                <w:sz w:val="14"/>
              </w:rPr>
              <w:t>9378</w:t>
            </w:r>
          </w:p>
        </w:tc>
        <w:tc>
          <w:tcPr>
            <w:tcW w:type="dxa" w:w="1134"/>
            <w:vAlign w:val="center"/>
          </w:tcPr>
          <w:p>
            <w:pPr>
              <w:spacing w:line="240" w:lineRule="auto" w:after="0"/>
            </w:pPr>
            <w:r>
              <w:rPr>
                <w:sz w:val="14"/>
              </w:rPr>
              <w:t>11427</w:t>
            </w:r>
          </w:p>
        </w:tc>
        <w:tc>
          <w:tcPr>
            <w:tcW w:type="dxa" w:w="1134"/>
            <w:vAlign w:val="center"/>
          </w:tcPr>
          <w:p>
            <w:pPr>
              <w:spacing w:line="240" w:lineRule="auto" w:after="0"/>
            </w:pPr>
            <w:r>
              <w:rPr>
                <w:sz w:val="14"/>
              </w:rPr>
              <w:t>8241</w:t>
            </w:r>
          </w:p>
        </w:tc>
        <w:tc>
          <w:tcPr>
            <w:tcW w:type="dxa" w:w="1191"/>
            <w:vAlign w:val="center"/>
          </w:tcPr>
          <w:p>
            <w:pPr>
              <w:spacing w:line="240" w:lineRule="auto" w:after="0"/>
            </w:pPr>
            <w:r>
              <w:rPr>
                <w:sz w:val="14"/>
              </w:rPr>
              <w:t>845</w:t>
            </w:r>
          </w:p>
        </w:tc>
        <w:tc>
          <w:tcPr>
            <w:tcW w:type="dxa" w:w="2835"/>
            <w:vAlign w:val="center"/>
          </w:tcPr>
          <w:p>
            <w:pPr>
              <w:spacing w:line="240" w:lineRule="auto" w:after="0"/>
            </w:pPr>
            <w:r>
              <w:rPr>
                <w:sz w:val="14"/>
              </w:rPr>
              <w:t>median pairwise cosine distance 0.1027; median max leave-one-out change 0.0118</w:t>
            </w:r>
          </w:p>
        </w:tc>
      </w:tr>
      <w:tr>
        <w:trPr>
          <w:cantSplit/>
        </w:trPr>
        <w:tc>
          <w:tcPr>
            <w:tcW w:type="dxa" w:w="1417"/>
            <w:vAlign w:val="center"/>
          </w:tcPr>
          <w:p>
            <w:pPr>
              <w:spacing w:line="240" w:lineRule="auto" w:after="0"/>
            </w:pPr>
            <w:r>
              <w:rPr>
                <w:sz w:val="14"/>
              </w:rPr>
              <w:t>Prov-GigaPath</w:t>
            </w:r>
          </w:p>
        </w:tc>
        <w:tc>
          <w:tcPr>
            <w:tcW w:type="dxa" w:w="1134"/>
            <w:vAlign w:val="center"/>
          </w:tcPr>
          <w:p>
            <w:pPr>
              <w:spacing w:line="240" w:lineRule="auto" w:after="0"/>
            </w:pPr>
            <w:r>
              <w:rPr>
                <w:sz w:val="14"/>
              </w:rPr>
              <w:t>8393</w:t>
            </w:r>
          </w:p>
        </w:tc>
        <w:tc>
          <w:tcPr>
            <w:tcW w:type="dxa" w:w="1134"/>
            <w:vAlign w:val="center"/>
          </w:tcPr>
          <w:p>
            <w:pPr>
              <w:spacing w:line="240" w:lineRule="auto" w:after="0"/>
            </w:pPr>
            <w:r>
              <w:rPr>
                <w:sz w:val="14"/>
              </w:rPr>
              <w:t>10328</w:t>
            </w:r>
          </w:p>
        </w:tc>
        <w:tc>
          <w:tcPr>
            <w:tcW w:type="dxa" w:w="1134"/>
            <w:vAlign w:val="center"/>
          </w:tcPr>
          <w:p>
            <w:pPr>
              <w:spacing w:line="240" w:lineRule="auto" w:after="0"/>
            </w:pPr>
            <w:r>
              <w:rPr>
                <w:sz w:val="14"/>
              </w:rPr>
              <w:t>8241</w:t>
            </w:r>
          </w:p>
        </w:tc>
        <w:tc>
          <w:tcPr>
            <w:tcW w:type="dxa" w:w="1191"/>
            <w:vAlign w:val="center"/>
          </w:tcPr>
          <w:p>
            <w:pPr>
              <w:spacing w:line="240" w:lineRule="auto" w:after="0"/>
            </w:pPr>
            <w:r>
              <w:rPr>
                <w:sz w:val="14"/>
              </w:rPr>
              <w:t>778</w:t>
            </w:r>
          </w:p>
        </w:tc>
        <w:tc>
          <w:tcPr>
            <w:tcW w:type="dxa" w:w="2835"/>
            <w:vAlign w:val="center"/>
          </w:tcPr>
          <w:p>
            <w:pPr>
              <w:spacing w:line="240" w:lineRule="auto" w:after="0"/>
            </w:pPr>
            <w:r>
              <w:rPr>
                <w:sz w:val="14"/>
              </w:rPr>
              <w:t>median pairwise cosine distance 0.0517; median max leave-one-out change 0.0058</w:t>
            </w:r>
          </w:p>
        </w:tc>
      </w:tr>
    </w:tbl>
    <w:p/>
    <w:p>
      <w:r>
        <w:t>No structured tumour cellularity, tissue area, artefact, biopsy/resection or independent slide-quality field was available. Generated narratives flagged 6 patients with no-residual-tumour language; these non-adjudicated flags were not used for primary exclusion or weighting.</w:t>
      </w:r>
    </w:p>
    <w:tbl>
      <w:tblPr>
        <w:tblStyle w:val="TableGrid"/>
        <w:tblW w:type="dxa" w:w="9242"/>
        <w:jc w:val="left"/>
        <w:tblLayout w:type="fixed"/>
        <w:tblLook w:firstColumn="1" w:firstRow="1" w:lastColumn="0" w:lastRow="0" w:noHBand="0" w:noVBand="1" w:val="04A0"/>
        <w:tblLayout w:type="fixed"/>
        <w:tblInd w:type="dxa" w:w="0"/>
      </w:tblPr>
      <w:tblGrid>
        <w:gridCol w:w="1531"/>
        <w:gridCol w:w="1361"/>
        <w:gridCol w:w="1020"/>
        <w:gridCol w:w="1134"/>
        <w:gridCol w:w="1361"/>
        <w:gridCol w:w="2835"/>
      </w:tblGrid>
      <w:tr>
        <w:trPr>
          <w:tblHeader w:val="true"/>
          <w:cantSplit/>
        </w:trPr>
        <w:tc>
          <w:tcPr>
            <w:tcW w:type="dxa" w:w="1531"/>
          </w:tcPr>
          <w:p>
            <w:pPr>
              <w:spacing w:line="240" w:lineRule="auto" w:after="0"/>
            </w:pPr>
            <w:r>
              <w:rPr>
                <w:b/>
                <w:sz w:val="14"/>
              </w:rPr>
              <w:t>Molecular source</w:t>
            </w:r>
          </w:p>
        </w:tc>
        <w:tc>
          <w:tcPr>
            <w:tcW w:type="dxa" w:w="1361"/>
          </w:tcPr>
          <w:p>
            <w:pPr>
              <w:spacing w:line="240" w:lineRule="auto" w:after="0"/>
            </w:pPr>
            <w:r>
              <w:rPr>
                <w:b/>
                <w:sz w:val="14"/>
              </w:rPr>
              <w:t>Identifier resolution</w:t>
            </w:r>
          </w:p>
        </w:tc>
        <w:tc>
          <w:tcPr>
            <w:tcW w:type="dxa" w:w="1020"/>
          </w:tcPr>
          <w:p>
            <w:pPr>
              <w:spacing w:line="240" w:lineRule="auto" w:after="0"/>
            </w:pPr>
            <w:r>
              <w:rPr>
                <w:b/>
                <w:sz w:val="14"/>
              </w:rPr>
              <w:t>Covered patients</w:t>
            </w:r>
          </w:p>
        </w:tc>
        <w:tc>
          <w:tcPr>
            <w:tcW w:type="dxa" w:w="1134"/>
          </w:tcPr>
          <w:p>
            <w:pPr>
              <w:spacing w:line="240" w:lineRule="auto" w:after="0"/>
            </w:pPr>
            <w:r>
              <w:rPr>
                <w:b/>
                <w:sz w:val="14"/>
              </w:rPr>
              <w:t>Exact sample match</w:t>
            </w:r>
          </w:p>
        </w:tc>
        <w:tc>
          <w:tcPr>
            <w:tcW w:type="dxa" w:w="1361"/>
          </w:tcPr>
          <w:p>
            <w:pPr>
              <w:spacing w:line="240" w:lineRule="auto" w:after="0"/>
            </w:pPr>
            <w:r>
              <w:rPr>
                <w:b/>
                <w:sz w:val="14"/>
              </w:rPr>
              <w:t>Multiple primary samples</w:t>
            </w:r>
          </w:p>
        </w:tc>
        <w:tc>
          <w:tcPr>
            <w:tcW w:type="dxa" w:w="2835"/>
          </w:tcPr>
          <w:p>
            <w:pPr>
              <w:spacing w:line="240" w:lineRule="auto" w:after="0"/>
            </w:pPr>
            <w:r>
              <w:rPr>
                <w:b/>
                <w:sz w:val="14"/>
              </w:rPr>
              <w:t>Residual limitation</w:t>
            </w:r>
          </w:p>
        </w:tc>
      </w:tr>
      <w:tr>
        <w:trPr>
          <w:cantSplit/>
        </w:trPr>
        <w:tc>
          <w:tcPr>
            <w:tcW w:type="dxa" w:w="1531"/>
            <w:vAlign w:val="center"/>
          </w:tcPr>
          <w:p>
            <w:pPr>
              <w:spacing w:line="240" w:lineRule="auto" w:after="0"/>
            </w:pPr>
            <w:r>
              <w:rPr>
                <w:sz w:val="13"/>
              </w:rPr>
              <w:t>Thorsson2018_PanImmune_MS</w:t>
            </w:r>
          </w:p>
        </w:tc>
        <w:tc>
          <w:tcPr>
            <w:tcW w:type="dxa" w:w="1361"/>
            <w:vAlign w:val="center"/>
          </w:tcPr>
          <w:p>
            <w:pPr>
              <w:spacing w:line="240" w:lineRule="auto" w:after="0"/>
            </w:pPr>
            <w:r>
              <w:rPr>
                <w:sz w:val="13"/>
              </w:rPr>
              <w:t>participant identifier only</w:t>
            </w:r>
          </w:p>
        </w:tc>
        <w:tc>
          <w:tcPr>
            <w:tcW w:type="dxa" w:w="1020"/>
            <w:vAlign w:val="center"/>
          </w:tcPr>
          <w:p>
            <w:pPr>
              <w:spacing w:line="240" w:lineRule="auto" w:after="0"/>
            </w:pPr>
            <w:r>
              <w:rPr>
                <w:sz w:val="13"/>
              </w:rPr>
              <w:t>9235</w:t>
            </w:r>
          </w:p>
        </w:tc>
        <w:tc>
          <w:tcPr>
            <w:tcW w:type="dxa" w:w="1134"/>
            <w:vAlign w:val="center"/>
          </w:tcPr>
          <w:p>
            <w:pPr>
              <w:spacing w:line="240" w:lineRule="auto" w:after="0"/>
            </w:pPr>
            <w:r>
              <w:rPr>
                <w:sz w:val="13"/>
              </w:rPr>
              <w:t>NA</w:t>
            </w:r>
          </w:p>
        </w:tc>
        <w:tc>
          <w:tcPr>
            <w:tcW w:type="dxa" w:w="1361"/>
            <w:vAlign w:val="center"/>
          </w:tcPr>
          <w:p>
            <w:pPr>
              <w:spacing w:line="240" w:lineRule="auto" w:after="0"/>
            </w:pPr>
            <w:r>
              <w:rPr>
                <w:sz w:val="13"/>
              </w:rPr>
              <w:t>NA</w:t>
            </w:r>
          </w:p>
        </w:tc>
        <w:tc>
          <w:tcPr>
            <w:tcW w:type="dxa" w:w="2835"/>
            <w:vAlign w:val="center"/>
          </w:tcPr>
          <w:p>
            <w:pPr>
              <w:spacing w:line="240" w:lineRule="auto" w:after="0"/>
            </w:pPr>
            <w:r>
              <w:rPr>
                <w:sz w:val="13"/>
              </w:rPr>
              <w:t>No sample, portion, analyte or aliquot identifier is supplied; every matched label is participant-level and may refer to a different tumour block.</w:t>
            </w:r>
          </w:p>
        </w:tc>
      </w:tr>
      <w:tr>
        <w:trPr>
          <w:cantSplit/>
        </w:trPr>
        <w:tc>
          <w:tcPr>
            <w:tcW w:type="dxa" w:w="1531"/>
            <w:vAlign w:val="center"/>
          </w:tcPr>
          <w:p>
            <w:pPr>
              <w:spacing w:line="240" w:lineRule="auto" w:after="0"/>
            </w:pPr>
            <w:r>
              <w:rPr>
                <w:sz w:val="13"/>
              </w:rPr>
              <w:t>Taylor2018_TableS2</w:t>
            </w:r>
          </w:p>
        </w:tc>
        <w:tc>
          <w:tcPr>
            <w:tcW w:type="dxa" w:w="1361"/>
            <w:vAlign w:val="center"/>
          </w:tcPr>
          <w:p>
            <w:pPr>
              <w:spacing w:line="240" w:lineRule="auto" w:after="0"/>
            </w:pPr>
            <w:r>
              <w:rPr>
                <w:sz w:val="13"/>
              </w:rPr>
              <w:t>TCGA sample barcode available</w:t>
            </w:r>
          </w:p>
        </w:tc>
        <w:tc>
          <w:tcPr>
            <w:tcW w:type="dxa" w:w="1020"/>
            <w:vAlign w:val="center"/>
          </w:tcPr>
          <w:p>
            <w:pPr>
              <w:spacing w:line="240" w:lineRule="auto" w:after="0"/>
            </w:pPr>
            <w:r>
              <w:rPr>
                <w:sz w:val="13"/>
              </w:rPr>
              <w:t>8667</w:t>
            </w:r>
          </w:p>
        </w:tc>
        <w:tc>
          <w:tcPr>
            <w:tcW w:type="dxa" w:w="1134"/>
            <w:vAlign w:val="center"/>
          </w:tcPr>
          <w:p>
            <w:pPr>
              <w:spacing w:line="240" w:lineRule="auto" w:after="0"/>
            </w:pPr>
            <w:r>
              <w:rPr>
                <w:sz w:val="13"/>
              </w:rPr>
              <w:t>8667</w:t>
            </w:r>
          </w:p>
        </w:tc>
        <w:tc>
          <w:tcPr>
            <w:tcW w:type="dxa" w:w="1361"/>
            <w:vAlign w:val="center"/>
          </w:tcPr>
          <w:p>
            <w:pPr>
              <w:spacing w:line="240" w:lineRule="auto" w:after="0"/>
            </w:pPr>
            <w:r>
              <w:rPr>
                <w:sz w:val="13"/>
              </w:rPr>
              <w:t>0</w:t>
            </w:r>
          </w:p>
        </w:tc>
        <w:tc>
          <w:tcPr>
            <w:tcW w:type="dxa" w:w="2835"/>
            <w:vAlign w:val="center"/>
          </w:tcPr>
          <w:p>
            <w:pPr>
              <w:spacing w:line="240" w:lineRule="auto" w:after="0"/>
            </w:pPr>
            <w:r>
              <w:rPr>
                <w:sz w:val="13"/>
              </w:rPr>
              <w:t>A 15-character TCGA sample match identifies the same primary-tumour specimen, but does not prove that the WSI and molecular assay used the same portion, analyte, aliquot or block.</w:t>
            </w:r>
          </w:p>
        </w:tc>
      </w:tr>
      <w:tr>
        <w:trPr>
          <w:cantSplit/>
        </w:trPr>
        <w:tc>
          <w:tcPr>
            <w:tcW w:type="dxa" w:w="1531"/>
            <w:vAlign w:val="center"/>
          </w:tcPr>
          <w:p>
            <w:pPr>
              <w:spacing w:line="240" w:lineRule="auto" w:after="0"/>
            </w:pPr>
            <w:r>
              <w:rPr>
                <w:sz w:val="13"/>
              </w:rPr>
              <w:t>SanchezVega2018_TableS4</w:t>
            </w:r>
          </w:p>
        </w:tc>
        <w:tc>
          <w:tcPr>
            <w:tcW w:type="dxa" w:w="1361"/>
            <w:vAlign w:val="center"/>
          </w:tcPr>
          <w:p>
            <w:pPr>
              <w:spacing w:line="240" w:lineRule="auto" w:after="0"/>
            </w:pPr>
            <w:r>
              <w:rPr>
                <w:sz w:val="13"/>
              </w:rPr>
              <w:t>TCGA sample barcode available</w:t>
            </w:r>
          </w:p>
        </w:tc>
        <w:tc>
          <w:tcPr>
            <w:tcW w:type="dxa" w:w="1020"/>
            <w:vAlign w:val="center"/>
          </w:tcPr>
          <w:p>
            <w:pPr>
              <w:spacing w:line="240" w:lineRule="auto" w:after="0"/>
            </w:pPr>
            <w:r>
              <w:rPr>
                <w:sz w:val="13"/>
              </w:rPr>
              <w:t>7789</w:t>
            </w:r>
          </w:p>
        </w:tc>
        <w:tc>
          <w:tcPr>
            <w:tcW w:type="dxa" w:w="1134"/>
            <w:vAlign w:val="center"/>
          </w:tcPr>
          <w:p>
            <w:pPr>
              <w:spacing w:line="240" w:lineRule="auto" w:after="0"/>
            </w:pPr>
            <w:r>
              <w:rPr>
                <w:sz w:val="13"/>
              </w:rPr>
              <w:t>7789</w:t>
            </w:r>
          </w:p>
        </w:tc>
        <w:tc>
          <w:tcPr>
            <w:tcW w:type="dxa" w:w="1361"/>
            <w:vAlign w:val="center"/>
          </w:tcPr>
          <w:p>
            <w:pPr>
              <w:spacing w:line="240" w:lineRule="auto" w:after="0"/>
            </w:pPr>
            <w:r>
              <w:rPr>
                <w:sz w:val="13"/>
              </w:rPr>
              <w:t>0</w:t>
            </w:r>
          </w:p>
        </w:tc>
        <w:tc>
          <w:tcPr>
            <w:tcW w:type="dxa" w:w="2835"/>
            <w:vAlign w:val="center"/>
          </w:tcPr>
          <w:p>
            <w:pPr>
              <w:spacing w:line="240" w:lineRule="auto" w:after="0"/>
            </w:pPr>
            <w:r>
              <w:rPr>
                <w:sz w:val="13"/>
              </w:rPr>
              <w:t>Pathway calls can be linked at sample level; portion-, analyte-, aliquot- and block-level identity is unavailable and multiple primary samples are collapsed by patient.</w:t>
            </w:r>
          </w:p>
        </w:tc>
      </w:tr>
      <w:tr>
        <w:trPr>
          <w:cantSplit/>
        </w:trPr>
        <w:tc>
          <w:tcPr>
            <w:tcW w:type="dxa" w:w="1531"/>
            <w:vAlign w:val="center"/>
          </w:tcPr>
          <w:p>
            <w:pPr>
              <w:spacing w:line="240" w:lineRule="auto" w:after="0"/>
            </w:pPr>
            <w:r>
              <w:rPr>
                <w:sz w:val="13"/>
              </w:rPr>
              <w:t>Gao2018_TableS1</w:t>
            </w:r>
          </w:p>
        </w:tc>
        <w:tc>
          <w:tcPr>
            <w:tcW w:type="dxa" w:w="1361"/>
            <w:vAlign w:val="center"/>
          </w:tcPr>
          <w:p>
            <w:pPr>
              <w:spacing w:line="240" w:lineRule="auto" w:after="0"/>
            </w:pPr>
            <w:r>
              <w:rPr>
                <w:sz w:val="13"/>
              </w:rPr>
              <w:t>TCGA sample barcode available</w:t>
            </w:r>
          </w:p>
        </w:tc>
        <w:tc>
          <w:tcPr>
            <w:tcW w:type="dxa" w:w="1020"/>
            <w:vAlign w:val="center"/>
          </w:tcPr>
          <w:p>
            <w:pPr>
              <w:spacing w:line="240" w:lineRule="auto" w:after="0"/>
            </w:pPr>
            <w:r>
              <w:rPr>
                <w:sz w:val="13"/>
              </w:rPr>
              <w:t>8068</w:t>
            </w:r>
          </w:p>
        </w:tc>
        <w:tc>
          <w:tcPr>
            <w:tcW w:type="dxa" w:w="1134"/>
            <w:vAlign w:val="center"/>
          </w:tcPr>
          <w:p>
            <w:pPr>
              <w:spacing w:line="240" w:lineRule="auto" w:after="0"/>
            </w:pPr>
            <w:r>
              <w:rPr>
                <w:sz w:val="13"/>
              </w:rPr>
              <w:t>8068</w:t>
            </w:r>
          </w:p>
        </w:tc>
        <w:tc>
          <w:tcPr>
            <w:tcW w:type="dxa" w:w="1361"/>
            <w:vAlign w:val="center"/>
          </w:tcPr>
          <w:p>
            <w:pPr>
              <w:spacing w:line="240" w:lineRule="auto" w:after="0"/>
            </w:pPr>
            <w:r>
              <w:rPr>
                <w:sz w:val="13"/>
              </w:rPr>
              <w:t>0</w:t>
            </w:r>
          </w:p>
        </w:tc>
        <w:tc>
          <w:tcPr>
            <w:tcW w:type="dxa" w:w="2835"/>
            <w:vAlign w:val="center"/>
          </w:tcPr>
          <w:p>
            <w:pPr>
              <w:spacing w:line="240" w:lineRule="auto" w:after="0"/>
            </w:pPr>
            <w:r>
              <w:rPr>
                <w:sz w:val="13"/>
              </w:rPr>
              <w:t>The assay denominator is sample-indexed, but RNA aliquot/block identity and within-tumour fusion heterogeneity cannot be resolved from the released table.</w:t>
            </w:r>
          </w:p>
        </w:tc>
      </w:tr>
      <w:tr>
        <w:trPr>
          <w:cantSplit/>
        </w:trPr>
        <w:tc>
          <w:tcPr>
            <w:tcW w:type="dxa" w:w="1531"/>
            <w:vAlign w:val="center"/>
          </w:tcPr>
          <w:p>
            <w:pPr>
              <w:spacing w:line="240" w:lineRule="auto" w:after="0"/>
            </w:pPr>
            <w:r>
              <w:rPr>
                <w:sz w:val="13"/>
              </w:rPr>
              <w:t>cBioPortal_TCGA_PanCancer</w:t>
            </w:r>
          </w:p>
        </w:tc>
        <w:tc>
          <w:tcPr>
            <w:tcW w:type="dxa" w:w="1361"/>
            <w:vAlign w:val="center"/>
          </w:tcPr>
          <w:p>
            <w:pPr>
              <w:spacing w:line="240" w:lineRule="auto" w:after="0"/>
            </w:pPr>
            <w:r>
              <w:rPr>
                <w:sz w:val="13"/>
              </w:rPr>
              <w:t>TCGA sample barcode available</w:t>
            </w:r>
          </w:p>
        </w:tc>
        <w:tc>
          <w:tcPr>
            <w:tcW w:type="dxa" w:w="1020"/>
            <w:vAlign w:val="center"/>
          </w:tcPr>
          <w:p>
            <w:pPr>
              <w:spacing w:line="240" w:lineRule="auto" w:after="0"/>
            </w:pPr>
            <w:r>
              <w:rPr>
                <w:sz w:val="13"/>
              </w:rPr>
              <w:t>8964</w:t>
            </w:r>
          </w:p>
        </w:tc>
        <w:tc>
          <w:tcPr>
            <w:tcW w:type="dxa" w:w="1134"/>
            <w:vAlign w:val="center"/>
          </w:tcPr>
          <w:p>
            <w:pPr>
              <w:spacing w:line="240" w:lineRule="auto" w:after="0"/>
            </w:pPr>
            <w:r>
              <w:rPr>
                <w:sz w:val="13"/>
              </w:rPr>
              <w:t>8964</w:t>
            </w:r>
          </w:p>
        </w:tc>
        <w:tc>
          <w:tcPr>
            <w:tcW w:type="dxa" w:w="1361"/>
            <w:vAlign w:val="center"/>
          </w:tcPr>
          <w:p>
            <w:pPr>
              <w:spacing w:line="240" w:lineRule="auto" w:after="0"/>
            </w:pPr>
            <w:r>
              <w:rPr>
                <w:sz w:val="13"/>
              </w:rPr>
              <w:t>0</w:t>
            </w:r>
          </w:p>
        </w:tc>
        <w:tc>
          <w:tcPr>
            <w:tcW w:type="dxa" w:w="2835"/>
            <w:vAlign w:val="center"/>
          </w:tcPr>
          <w:p>
            <w:pPr>
              <w:spacing w:line="240" w:lineRule="auto" w:after="0"/>
            </w:pPr>
            <w:r>
              <w:rPr>
                <w:sz w:val="13"/>
              </w:rPr>
              <w:t>MSI scores can be linked at sample level, but the released clinical files do not establish the same molecular aliquot, slide block or tumour region.</w:t>
            </w:r>
          </w:p>
        </w:tc>
      </w:tr>
      <w:tr>
        <w:trPr>
          <w:cantSplit/>
        </w:trPr>
        <w:tc>
          <w:tcPr>
            <w:tcW w:type="dxa" w:w="1531"/>
            <w:vAlign w:val="center"/>
          </w:tcPr>
          <w:p>
            <w:pPr>
              <w:spacing w:line="240" w:lineRule="auto" w:after="0"/>
            </w:pPr>
            <w:r>
              <w:rPr>
                <w:sz w:val="13"/>
              </w:rPr>
              <w:t>TCGA_MC3_Bailey2018</w:t>
            </w:r>
          </w:p>
        </w:tc>
        <w:tc>
          <w:tcPr>
            <w:tcW w:type="dxa" w:w="1361"/>
            <w:vAlign w:val="center"/>
          </w:tcPr>
          <w:p>
            <w:pPr>
              <w:spacing w:line="240" w:lineRule="auto" w:after="0"/>
            </w:pPr>
            <w:r>
              <w:rPr>
                <w:sz w:val="13"/>
              </w:rPr>
              <w:t>TCGA sample barcode available</w:t>
            </w:r>
          </w:p>
        </w:tc>
        <w:tc>
          <w:tcPr>
            <w:tcW w:type="dxa" w:w="1020"/>
            <w:vAlign w:val="center"/>
          </w:tcPr>
          <w:p>
            <w:pPr>
              <w:spacing w:line="240" w:lineRule="auto" w:after="0"/>
            </w:pPr>
            <w:r>
              <w:rPr>
                <w:sz w:val="13"/>
              </w:rPr>
              <w:t>8482</w:t>
            </w:r>
          </w:p>
        </w:tc>
        <w:tc>
          <w:tcPr>
            <w:tcW w:type="dxa" w:w="1134"/>
            <w:vAlign w:val="center"/>
          </w:tcPr>
          <w:p>
            <w:pPr>
              <w:spacing w:line="240" w:lineRule="auto" w:after="0"/>
            </w:pPr>
            <w:r>
              <w:rPr>
                <w:sz w:val="13"/>
              </w:rPr>
              <w:t>8482</w:t>
            </w:r>
          </w:p>
        </w:tc>
        <w:tc>
          <w:tcPr>
            <w:tcW w:type="dxa" w:w="1361"/>
            <w:vAlign w:val="center"/>
          </w:tcPr>
          <w:p>
            <w:pPr>
              <w:spacing w:line="240" w:lineRule="auto" w:after="0"/>
            </w:pPr>
            <w:r>
              <w:rPr>
                <w:sz w:val="13"/>
              </w:rPr>
              <w:t>0</w:t>
            </w:r>
          </w:p>
        </w:tc>
        <w:tc>
          <w:tcPr>
            <w:tcW w:type="dxa" w:w="2835"/>
            <w:vAlign w:val="center"/>
          </w:tcPr>
          <w:p>
            <w:pPr>
              <w:spacing w:line="240" w:lineRule="auto" w:after="0"/>
            </w:pPr>
            <w:r>
              <w:rPr>
                <w:sz w:val="13"/>
              </w:rPr>
              <w:t>MC3 profiling status and mutation calls are sample-indexed; a sample match does not guarantee the same portion, analyte, aliquot, block or subclone as the diagnostic WSI.</w:t>
            </w:r>
          </w:p>
        </w:tc>
      </w:tr>
    </w:tbl>
    <w:p/>
    <w:p>
      <w:r>
        <w:t>Mutation eligibility was documented for 537 cancer-gene pairs. Of these, 238 met the analysis denominator; the remaining pairs lacked sufficient positive or negative cases. Wild type was assigned only inside the MC3-profiled primary-tumour denominator. Cancer-specific coverage, aliquot handling and retained variant classes remain in mutation_coverage_audit.csv, mutation_target_eligibility_audit.csv and mutation_variant_classification_audit.csv.</w:t>
      </w:r>
    </w:p>
    <w:p>
      <w:r>
        <w:t>The outcome-acquisition Methods above report the source, identifier, participant-level aggregation, negative assignment and transformation for the Thorsson, Gao, Sanchez-Vega, Taylor and cBioPortal resources. Complete source-specific coverage, missingness and aliquot counts remain in molecular_source_coverage_audit.csv and outcome_source_acquisition_map.csv.</w:t>
      </w:r>
    </w:p>
    <w:p>
      <w:pPr>
        <w:pStyle w:val="Heading1"/>
      </w:pPr>
      <w:r>
        <w:t>Table S4. Selected binary tumour-feature predictions across all three representation pipelines</w:t>
      </w:r>
    </w:p>
    <w:p>
      <w:r>
        <w:t>Values are patient-level outer out-of-fold AUROCs in the matched cohort. The examples span mutations, gene fusions, MSI, genome doubling and oncogenic pathways. Support states which pipelines crossed AUROC 0.60; it is a descriptive navigation field, not a multiplicity-controlled discovery label.</w:t>
      </w:r>
    </w:p>
    <w:tbl>
      <w:tblPr>
        <w:tblStyle w:val="TableGrid"/>
        <w:tblW w:type="dxa" w:w="10659"/>
        <w:jc w:val="left"/>
        <w:tblLayout w:type="fixed"/>
        <w:tblLook w:firstColumn="1" w:firstRow="1" w:lastColumn="0" w:lastRow="0" w:noHBand="0" w:noVBand="1" w:val="04A0"/>
        <w:tblLayout w:type="fixed"/>
        <w:tblInd w:type="dxa" w:w="0"/>
      </w:tblPr>
      <w:tblGrid>
        <w:gridCol w:w="1304"/>
        <w:gridCol w:w="2268"/>
        <w:gridCol w:w="1247"/>
        <w:gridCol w:w="1134"/>
        <w:gridCol w:w="1247"/>
        <w:gridCol w:w="1361"/>
        <w:gridCol w:w="2098"/>
      </w:tblGrid>
      <w:tr>
        <w:trPr>
          <w:tblHeader w:val="true"/>
          <w:cantSplit/>
        </w:trPr>
        <w:tc>
          <w:tcPr>
            <w:tcW w:type="dxa" w:w="1304"/>
          </w:tcPr>
          <w:p>
            <w:pPr>
              <w:spacing w:line="216" w:lineRule="auto" w:after="0"/>
            </w:pPr>
            <w:r>
              <w:rPr>
                <w:b/>
                <w:sz w:val="13"/>
              </w:rPr>
              <w:t>Feature class</w:t>
            </w:r>
          </w:p>
        </w:tc>
        <w:tc>
          <w:tcPr>
            <w:tcW w:type="dxa" w:w="2268"/>
          </w:tcPr>
          <w:p>
            <w:pPr>
              <w:spacing w:line="216" w:lineRule="auto" w:after="0"/>
            </w:pPr>
            <w:r>
              <w:rPr>
                <w:b/>
                <w:sz w:val="13"/>
              </w:rPr>
              <w:t>Cancer and endpoint</w:t>
            </w:r>
          </w:p>
        </w:tc>
        <w:tc>
          <w:tcPr>
            <w:tcW w:type="dxa" w:w="1247"/>
          </w:tcPr>
          <w:p>
            <w:pPr>
              <w:spacing w:line="216" w:lineRule="auto" w:after="0"/>
            </w:pPr>
            <w:r>
              <w:rPr>
                <w:b/>
                <w:sz w:val="13"/>
              </w:rPr>
              <w:t>n (positive)</w:t>
            </w:r>
          </w:p>
        </w:tc>
        <w:tc>
          <w:tcPr>
            <w:tcW w:type="dxa" w:w="1134"/>
          </w:tcPr>
          <w:p>
            <w:pPr>
              <w:spacing w:line="216" w:lineRule="auto" w:after="0"/>
            </w:pPr>
            <w:r>
              <w:rPr>
                <w:b/>
                <w:sz w:val="13"/>
              </w:rPr>
              <w:t>TITAN AUROC</w:t>
            </w:r>
          </w:p>
        </w:tc>
        <w:tc>
          <w:tcPr>
            <w:tcW w:type="dxa" w:w="1247"/>
          </w:tcPr>
          <w:p>
            <w:pPr>
              <w:spacing w:line="216" w:lineRule="auto" w:after="0"/>
            </w:pPr>
            <w:r>
              <w:rPr>
                <w:b/>
                <w:sz w:val="13"/>
              </w:rPr>
              <w:t>Giga-SSL AUROC</w:t>
            </w:r>
          </w:p>
        </w:tc>
        <w:tc>
          <w:tcPr>
            <w:tcW w:type="dxa" w:w="1361"/>
          </w:tcPr>
          <w:p>
            <w:pPr>
              <w:spacing w:line="216" w:lineRule="auto" w:after="0"/>
            </w:pPr>
            <w:r>
              <w:rPr>
                <w:b/>
                <w:sz w:val="13"/>
              </w:rPr>
              <w:t>Prov-GigaPath AUROC</w:t>
            </w:r>
          </w:p>
        </w:tc>
        <w:tc>
          <w:tcPr>
            <w:tcW w:type="dxa" w:w="2098"/>
          </w:tcPr>
          <w:p>
            <w:pPr>
              <w:spacing w:line="216" w:lineRule="auto" w:after="0"/>
            </w:pPr>
            <w:r>
              <w:rPr>
                <w:b/>
                <w:sz w:val="13"/>
              </w:rPr>
              <w:t>Pipelines crossing 0.60</w:t>
            </w:r>
          </w:p>
        </w:tc>
      </w:tr>
      <w:tr>
        <w:trPr>
          <w:cantSplit/>
        </w:trPr>
        <w:tc>
          <w:tcPr>
            <w:tcW w:type="dxa" w:w="1304"/>
            <w:vAlign w:val="center"/>
          </w:tcPr>
          <w:p>
            <w:pPr>
              <w:spacing w:line="216" w:lineRule="auto" w:after="0"/>
            </w:pPr>
            <w:r>
              <w:rPr>
                <w:sz w:val="13"/>
              </w:rPr>
              <w:t>Mutation</w:t>
            </w:r>
          </w:p>
        </w:tc>
        <w:tc>
          <w:tcPr>
            <w:tcW w:type="dxa" w:w="2268"/>
            <w:vAlign w:val="center"/>
          </w:tcPr>
          <w:p>
            <w:pPr>
              <w:spacing w:line="216" w:lineRule="auto" w:after="0"/>
            </w:pPr>
            <w:r>
              <w:rPr>
                <w:sz w:val="13"/>
              </w:rPr>
              <w:t>THYM: GTF2I</w:t>
            </w:r>
          </w:p>
        </w:tc>
        <w:tc>
          <w:tcPr>
            <w:tcW w:type="dxa" w:w="1247"/>
            <w:vAlign w:val="center"/>
          </w:tcPr>
          <w:p>
            <w:pPr>
              <w:spacing w:line="216" w:lineRule="auto" w:after="0"/>
            </w:pPr>
            <w:r>
              <w:rPr>
                <w:sz w:val="13"/>
              </w:rPr>
              <w:t>116 (57 positive)</w:t>
            </w:r>
          </w:p>
        </w:tc>
        <w:tc>
          <w:tcPr>
            <w:tcW w:type="dxa" w:w="1134"/>
            <w:vAlign w:val="center"/>
          </w:tcPr>
          <w:p>
            <w:pPr>
              <w:spacing w:line="216" w:lineRule="auto" w:after="0"/>
            </w:pPr>
            <w:r>
              <w:rPr>
                <w:sz w:val="13"/>
              </w:rPr>
              <w:t>0.904</w:t>
            </w:r>
          </w:p>
        </w:tc>
        <w:tc>
          <w:tcPr>
            <w:tcW w:type="dxa" w:w="1247"/>
            <w:vAlign w:val="center"/>
          </w:tcPr>
          <w:p>
            <w:pPr>
              <w:spacing w:line="216" w:lineRule="auto" w:after="0"/>
            </w:pPr>
            <w:r>
              <w:rPr>
                <w:sz w:val="13"/>
              </w:rPr>
              <w:t>0.884</w:t>
            </w:r>
          </w:p>
        </w:tc>
        <w:tc>
          <w:tcPr>
            <w:tcW w:type="dxa" w:w="1361"/>
            <w:vAlign w:val="center"/>
          </w:tcPr>
          <w:p>
            <w:pPr>
              <w:spacing w:line="216" w:lineRule="auto" w:after="0"/>
            </w:pPr>
            <w:r>
              <w:rPr>
                <w:sz w:val="13"/>
              </w:rPr>
              <w:t>0.893</w:t>
            </w:r>
          </w:p>
        </w:tc>
        <w:tc>
          <w:tcPr>
            <w:tcW w:type="dxa" w:w="2098"/>
            <w:vAlign w:val="center"/>
          </w:tcPr>
          <w:p>
            <w:pPr>
              <w:spacing w:line="216" w:lineRule="auto" w:after="0"/>
            </w:pPr>
            <w:r>
              <w:rPr>
                <w:sz w:val="13"/>
              </w:rPr>
              <w:t>TITAN+Giga-SSL+Prov-GigaPath</w:t>
            </w:r>
          </w:p>
        </w:tc>
      </w:tr>
      <w:tr>
        <w:trPr>
          <w:cantSplit/>
        </w:trPr>
        <w:tc>
          <w:tcPr>
            <w:tcW w:type="dxa" w:w="1304"/>
            <w:vAlign w:val="center"/>
          </w:tcPr>
          <w:p>
            <w:pPr>
              <w:spacing w:line="216" w:lineRule="auto" w:after="0"/>
            </w:pPr>
            <w:r>
              <w:rPr>
                <w:sz w:val="13"/>
              </w:rPr>
              <w:t>Mutation</w:t>
            </w:r>
          </w:p>
        </w:tc>
        <w:tc>
          <w:tcPr>
            <w:tcW w:type="dxa" w:w="2268"/>
            <w:vAlign w:val="center"/>
          </w:tcPr>
          <w:p>
            <w:pPr>
              <w:spacing w:line="216" w:lineRule="auto" w:after="0"/>
            </w:pPr>
            <w:r>
              <w:rPr>
                <w:sz w:val="13"/>
              </w:rPr>
              <w:t>THCA: BRAF</w:t>
            </w:r>
          </w:p>
        </w:tc>
        <w:tc>
          <w:tcPr>
            <w:tcW w:type="dxa" w:w="1247"/>
            <w:vAlign w:val="center"/>
          </w:tcPr>
          <w:p>
            <w:pPr>
              <w:spacing w:line="216" w:lineRule="auto" w:after="0"/>
            </w:pPr>
            <w:r>
              <w:rPr>
                <w:sz w:val="13"/>
              </w:rPr>
              <w:t>480 (286 positive)</w:t>
            </w:r>
          </w:p>
        </w:tc>
        <w:tc>
          <w:tcPr>
            <w:tcW w:type="dxa" w:w="1134"/>
            <w:vAlign w:val="center"/>
          </w:tcPr>
          <w:p>
            <w:pPr>
              <w:spacing w:line="216" w:lineRule="auto" w:after="0"/>
            </w:pPr>
            <w:r>
              <w:rPr>
                <w:sz w:val="13"/>
              </w:rPr>
              <w:t>0.886</w:t>
            </w:r>
          </w:p>
        </w:tc>
        <w:tc>
          <w:tcPr>
            <w:tcW w:type="dxa" w:w="1247"/>
            <w:vAlign w:val="center"/>
          </w:tcPr>
          <w:p>
            <w:pPr>
              <w:spacing w:line="216" w:lineRule="auto" w:after="0"/>
            </w:pPr>
            <w:r>
              <w:rPr>
                <w:sz w:val="13"/>
              </w:rPr>
              <w:t>0.862</w:t>
            </w:r>
          </w:p>
        </w:tc>
        <w:tc>
          <w:tcPr>
            <w:tcW w:type="dxa" w:w="1361"/>
            <w:vAlign w:val="center"/>
          </w:tcPr>
          <w:p>
            <w:pPr>
              <w:spacing w:line="216" w:lineRule="auto" w:after="0"/>
            </w:pPr>
            <w:r>
              <w:rPr>
                <w:sz w:val="13"/>
              </w:rPr>
              <w:t>0.857</w:t>
            </w:r>
          </w:p>
        </w:tc>
        <w:tc>
          <w:tcPr>
            <w:tcW w:type="dxa" w:w="2098"/>
            <w:vAlign w:val="center"/>
          </w:tcPr>
          <w:p>
            <w:pPr>
              <w:spacing w:line="216" w:lineRule="auto" w:after="0"/>
            </w:pPr>
            <w:r>
              <w:rPr>
                <w:sz w:val="13"/>
              </w:rPr>
              <w:t>TITAN+Giga-SSL+Prov-GigaPath</w:t>
            </w:r>
          </w:p>
        </w:tc>
      </w:tr>
      <w:tr>
        <w:trPr>
          <w:cantSplit/>
        </w:trPr>
        <w:tc>
          <w:tcPr>
            <w:tcW w:type="dxa" w:w="1304"/>
            <w:vAlign w:val="center"/>
          </w:tcPr>
          <w:p>
            <w:pPr>
              <w:spacing w:line="216" w:lineRule="auto" w:after="0"/>
            </w:pPr>
            <w:r>
              <w:rPr>
                <w:sz w:val="13"/>
              </w:rPr>
              <w:t>Mutation</w:t>
            </w:r>
          </w:p>
        </w:tc>
        <w:tc>
          <w:tcPr>
            <w:tcW w:type="dxa" w:w="2268"/>
            <w:vAlign w:val="center"/>
          </w:tcPr>
          <w:p>
            <w:pPr>
              <w:spacing w:line="216" w:lineRule="auto" w:after="0"/>
            </w:pPr>
            <w:r>
              <w:rPr>
                <w:sz w:val="13"/>
              </w:rPr>
              <w:t>LGG: IDH1</w:t>
            </w:r>
          </w:p>
        </w:tc>
        <w:tc>
          <w:tcPr>
            <w:tcW w:type="dxa" w:w="1247"/>
            <w:vAlign w:val="center"/>
          </w:tcPr>
          <w:p>
            <w:pPr>
              <w:spacing w:line="216" w:lineRule="auto" w:after="0"/>
            </w:pPr>
            <w:r>
              <w:rPr>
                <w:sz w:val="13"/>
              </w:rPr>
              <w:t>485 (375 positive)</w:t>
            </w:r>
          </w:p>
        </w:tc>
        <w:tc>
          <w:tcPr>
            <w:tcW w:type="dxa" w:w="1134"/>
            <w:vAlign w:val="center"/>
          </w:tcPr>
          <w:p>
            <w:pPr>
              <w:spacing w:line="216" w:lineRule="auto" w:after="0"/>
            </w:pPr>
            <w:r>
              <w:rPr>
                <w:sz w:val="13"/>
              </w:rPr>
              <w:t>0.837</w:t>
            </w:r>
          </w:p>
        </w:tc>
        <w:tc>
          <w:tcPr>
            <w:tcW w:type="dxa" w:w="1247"/>
            <w:vAlign w:val="center"/>
          </w:tcPr>
          <w:p>
            <w:pPr>
              <w:spacing w:line="216" w:lineRule="auto" w:after="0"/>
            </w:pPr>
            <w:r>
              <w:rPr>
                <w:sz w:val="13"/>
              </w:rPr>
              <w:t>0.782</w:t>
            </w:r>
          </w:p>
        </w:tc>
        <w:tc>
          <w:tcPr>
            <w:tcW w:type="dxa" w:w="1361"/>
            <w:vAlign w:val="center"/>
          </w:tcPr>
          <w:p>
            <w:pPr>
              <w:spacing w:line="216" w:lineRule="auto" w:after="0"/>
            </w:pPr>
            <w:r>
              <w:rPr>
                <w:sz w:val="13"/>
              </w:rPr>
              <w:t>0.840</w:t>
            </w:r>
          </w:p>
        </w:tc>
        <w:tc>
          <w:tcPr>
            <w:tcW w:type="dxa" w:w="2098"/>
            <w:vAlign w:val="center"/>
          </w:tcPr>
          <w:p>
            <w:pPr>
              <w:spacing w:line="216" w:lineRule="auto" w:after="0"/>
            </w:pPr>
            <w:r>
              <w:rPr>
                <w:sz w:val="13"/>
              </w:rPr>
              <w:t>TITAN+Giga-SSL+Prov-GigaPath</w:t>
            </w:r>
          </w:p>
        </w:tc>
      </w:tr>
      <w:tr>
        <w:trPr>
          <w:cantSplit/>
        </w:trPr>
        <w:tc>
          <w:tcPr>
            <w:tcW w:type="dxa" w:w="1304"/>
            <w:vAlign w:val="center"/>
          </w:tcPr>
          <w:p>
            <w:pPr>
              <w:spacing w:line="216" w:lineRule="auto" w:after="0"/>
            </w:pPr>
            <w:r>
              <w:rPr>
                <w:sz w:val="13"/>
              </w:rPr>
              <w:t>Mutation</w:t>
            </w:r>
          </w:p>
        </w:tc>
        <w:tc>
          <w:tcPr>
            <w:tcW w:type="dxa" w:w="2268"/>
            <w:vAlign w:val="center"/>
          </w:tcPr>
          <w:p>
            <w:pPr>
              <w:spacing w:line="216" w:lineRule="auto" w:after="0"/>
            </w:pPr>
            <w:r>
              <w:rPr>
                <w:sz w:val="13"/>
              </w:rPr>
              <w:t>LGG: TP53</w:t>
            </w:r>
          </w:p>
        </w:tc>
        <w:tc>
          <w:tcPr>
            <w:tcW w:type="dxa" w:w="1247"/>
            <w:vAlign w:val="center"/>
          </w:tcPr>
          <w:p>
            <w:pPr>
              <w:spacing w:line="216" w:lineRule="auto" w:after="0"/>
            </w:pPr>
            <w:r>
              <w:rPr>
                <w:sz w:val="13"/>
              </w:rPr>
              <w:t>485 (232 positive)</w:t>
            </w:r>
          </w:p>
        </w:tc>
        <w:tc>
          <w:tcPr>
            <w:tcW w:type="dxa" w:w="1134"/>
            <w:vAlign w:val="center"/>
          </w:tcPr>
          <w:p>
            <w:pPr>
              <w:spacing w:line="216" w:lineRule="auto" w:after="0"/>
            </w:pPr>
            <w:r>
              <w:rPr>
                <w:sz w:val="13"/>
              </w:rPr>
              <w:t>0.912</w:t>
            </w:r>
          </w:p>
        </w:tc>
        <w:tc>
          <w:tcPr>
            <w:tcW w:type="dxa" w:w="1247"/>
            <w:vAlign w:val="center"/>
          </w:tcPr>
          <w:p>
            <w:pPr>
              <w:spacing w:line="216" w:lineRule="auto" w:after="0"/>
            </w:pPr>
            <w:r>
              <w:rPr>
                <w:sz w:val="13"/>
              </w:rPr>
              <w:t>0.866</w:t>
            </w:r>
          </w:p>
        </w:tc>
        <w:tc>
          <w:tcPr>
            <w:tcW w:type="dxa" w:w="1361"/>
            <w:vAlign w:val="center"/>
          </w:tcPr>
          <w:p>
            <w:pPr>
              <w:spacing w:line="216" w:lineRule="auto" w:after="0"/>
            </w:pPr>
            <w:r>
              <w:rPr>
                <w:sz w:val="13"/>
              </w:rPr>
              <w:t>0.872</w:t>
            </w:r>
          </w:p>
        </w:tc>
        <w:tc>
          <w:tcPr>
            <w:tcW w:type="dxa" w:w="2098"/>
            <w:vAlign w:val="center"/>
          </w:tcPr>
          <w:p>
            <w:pPr>
              <w:spacing w:line="216" w:lineRule="auto" w:after="0"/>
            </w:pPr>
            <w:r>
              <w:rPr>
                <w:sz w:val="13"/>
              </w:rPr>
              <w:t>TITAN+Giga-SSL+Prov-GigaPath</w:t>
            </w:r>
          </w:p>
        </w:tc>
      </w:tr>
      <w:tr>
        <w:trPr>
          <w:cantSplit/>
        </w:trPr>
        <w:tc>
          <w:tcPr>
            <w:tcW w:type="dxa" w:w="1304"/>
            <w:vAlign w:val="center"/>
          </w:tcPr>
          <w:p>
            <w:pPr>
              <w:spacing w:line="216" w:lineRule="auto" w:after="0"/>
            </w:pPr>
            <w:r>
              <w:rPr>
                <w:sz w:val="13"/>
              </w:rPr>
              <w:t>Mutation</w:t>
            </w:r>
          </w:p>
        </w:tc>
        <w:tc>
          <w:tcPr>
            <w:tcW w:type="dxa" w:w="2268"/>
            <w:vAlign w:val="center"/>
          </w:tcPr>
          <w:p>
            <w:pPr>
              <w:spacing w:line="216" w:lineRule="auto" w:after="0"/>
            </w:pPr>
            <w:r>
              <w:rPr>
                <w:sz w:val="13"/>
              </w:rPr>
              <w:t>BLCA: FGFR3</w:t>
            </w:r>
          </w:p>
        </w:tc>
        <w:tc>
          <w:tcPr>
            <w:tcW w:type="dxa" w:w="1247"/>
            <w:vAlign w:val="center"/>
          </w:tcPr>
          <w:p>
            <w:pPr>
              <w:spacing w:line="216" w:lineRule="auto" w:after="0"/>
            </w:pPr>
            <w:r>
              <w:rPr>
                <w:sz w:val="13"/>
              </w:rPr>
              <w:t>384 (54 positive)</w:t>
            </w:r>
          </w:p>
        </w:tc>
        <w:tc>
          <w:tcPr>
            <w:tcW w:type="dxa" w:w="1134"/>
            <w:vAlign w:val="center"/>
          </w:tcPr>
          <w:p>
            <w:pPr>
              <w:spacing w:line="216" w:lineRule="auto" w:after="0"/>
            </w:pPr>
            <w:r>
              <w:rPr>
                <w:sz w:val="13"/>
              </w:rPr>
              <w:t>0.811</w:t>
            </w:r>
          </w:p>
        </w:tc>
        <w:tc>
          <w:tcPr>
            <w:tcW w:type="dxa" w:w="1247"/>
            <w:vAlign w:val="center"/>
          </w:tcPr>
          <w:p>
            <w:pPr>
              <w:spacing w:line="216" w:lineRule="auto" w:after="0"/>
            </w:pPr>
            <w:r>
              <w:rPr>
                <w:sz w:val="13"/>
              </w:rPr>
              <w:t>0.820</w:t>
            </w:r>
          </w:p>
        </w:tc>
        <w:tc>
          <w:tcPr>
            <w:tcW w:type="dxa" w:w="1361"/>
            <w:vAlign w:val="center"/>
          </w:tcPr>
          <w:p>
            <w:pPr>
              <w:spacing w:line="216" w:lineRule="auto" w:after="0"/>
            </w:pPr>
            <w:r>
              <w:rPr>
                <w:sz w:val="13"/>
              </w:rPr>
              <w:t>0.764</w:t>
            </w:r>
          </w:p>
        </w:tc>
        <w:tc>
          <w:tcPr>
            <w:tcW w:type="dxa" w:w="2098"/>
            <w:vAlign w:val="center"/>
          </w:tcPr>
          <w:p>
            <w:pPr>
              <w:spacing w:line="216" w:lineRule="auto" w:after="0"/>
            </w:pPr>
            <w:r>
              <w:rPr>
                <w:sz w:val="13"/>
              </w:rPr>
              <w:t>TITAN+Giga-SSL+Prov-GigaPath</w:t>
            </w:r>
          </w:p>
        </w:tc>
      </w:tr>
      <w:tr>
        <w:trPr>
          <w:cantSplit/>
        </w:trPr>
        <w:tc>
          <w:tcPr>
            <w:tcW w:type="dxa" w:w="1304"/>
            <w:vAlign w:val="center"/>
          </w:tcPr>
          <w:p>
            <w:pPr>
              <w:spacing w:line="216" w:lineRule="auto" w:after="0"/>
            </w:pPr>
            <w:r>
              <w:rPr>
                <w:sz w:val="13"/>
              </w:rPr>
              <w:t>Fusion</w:t>
            </w:r>
          </w:p>
        </w:tc>
        <w:tc>
          <w:tcPr>
            <w:tcW w:type="dxa" w:w="2268"/>
            <w:vAlign w:val="center"/>
          </w:tcPr>
          <w:p>
            <w:pPr>
              <w:spacing w:line="216" w:lineRule="auto" w:after="0"/>
            </w:pPr>
            <w:r>
              <w:rPr>
                <w:sz w:val="13"/>
              </w:rPr>
              <w:t>UCEC: Any called fusion</w:t>
            </w:r>
          </w:p>
        </w:tc>
        <w:tc>
          <w:tcPr>
            <w:tcW w:type="dxa" w:w="1247"/>
            <w:vAlign w:val="center"/>
          </w:tcPr>
          <w:p>
            <w:pPr>
              <w:spacing w:line="216" w:lineRule="auto" w:after="0"/>
            </w:pPr>
            <w:r>
              <w:rPr>
                <w:sz w:val="13"/>
              </w:rPr>
              <w:t>152 (80 positive)</w:t>
            </w:r>
          </w:p>
        </w:tc>
        <w:tc>
          <w:tcPr>
            <w:tcW w:type="dxa" w:w="1134"/>
            <w:vAlign w:val="center"/>
          </w:tcPr>
          <w:p>
            <w:pPr>
              <w:spacing w:line="216" w:lineRule="auto" w:after="0"/>
            </w:pPr>
            <w:r>
              <w:rPr>
                <w:sz w:val="13"/>
              </w:rPr>
              <w:t>0.859</w:t>
            </w:r>
          </w:p>
        </w:tc>
        <w:tc>
          <w:tcPr>
            <w:tcW w:type="dxa" w:w="1247"/>
            <w:vAlign w:val="center"/>
          </w:tcPr>
          <w:p>
            <w:pPr>
              <w:spacing w:line="216" w:lineRule="auto" w:after="0"/>
            </w:pPr>
            <w:r>
              <w:rPr>
                <w:sz w:val="13"/>
              </w:rPr>
              <w:t>0.661</w:t>
            </w:r>
          </w:p>
        </w:tc>
        <w:tc>
          <w:tcPr>
            <w:tcW w:type="dxa" w:w="1361"/>
            <w:vAlign w:val="center"/>
          </w:tcPr>
          <w:p>
            <w:pPr>
              <w:spacing w:line="216" w:lineRule="auto" w:after="0"/>
            </w:pPr>
            <w:r>
              <w:rPr>
                <w:sz w:val="13"/>
              </w:rPr>
              <w:t>0.705</w:t>
            </w:r>
          </w:p>
        </w:tc>
        <w:tc>
          <w:tcPr>
            <w:tcW w:type="dxa" w:w="2098"/>
            <w:vAlign w:val="center"/>
          </w:tcPr>
          <w:p>
            <w:pPr>
              <w:spacing w:line="216" w:lineRule="auto" w:after="0"/>
            </w:pPr>
            <w:r>
              <w:rPr>
                <w:sz w:val="13"/>
              </w:rPr>
              <w:t>TITAN+Giga-SSL+Prov-GigaPath</w:t>
            </w:r>
          </w:p>
        </w:tc>
      </w:tr>
      <w:tr>
        <w:trPr>
          <w:cantSplit/>
        </w:trPr>
        <w:tc>
          <w:tcPr>
            <w:tcW w:type="dxa" w:w="1304"/>
            <w:vAlign w:val="center"/>
          </w:tcPr>
          <w:p>
            <w:pPr>
              <w:spacing w:line="216" w:lineRule="auto" w:after="0"/>
            </w:pPr>
            <w:r>
              <w:rPr>
                <w:sz w:val="13"/>
              </w:rPr>
              <w:t>Fusion</w:t>
            </w:r>
          </w:p>
        </w:tc>
        <w:tc>
          <w:tcPr>
            <w:tcW w:type="dxa" w:w="2268"/>
            <w:vAlign w:val="center"/>
          </w:tcPr>
          <w:p>
            <w:pPr>
              <w:spacing w:line="216" w:lineRule="auto" w:after="0"/>
            </w:pPr>
            <w:r>
              <w:rPr>
                <w:sz w:val="13"/>
              </w:rPr>
              <w:t>THCA: CCDC6--RET</w:t>
            </w:r>
          </w:p>
        </w:tc>
        <w:tc>
          <w:tcPr>
            <w:tcW w:type="dxa" w:w="1247"/>
            <w:vAlign w:val="center"/>
          </w:tcPr>
          <w:p>
            <w:pPr>
              <w:spacing w:line="216" w:lineRule="auto" w:after="0"/>
            </w:pPr>
            <w:r>
              <w:rPr>
                <w:sz w:val="13"/>
              </w:rPr>
              <w:t>492 (20 positive)</w:t>
            </w:r>
          </w:p>
        </w:tc>
        <w:tc>
          <w:tcPr>
            <w:tcW w:type="dxa" w:w="1134"/>
            <w:vAlign w:val="center"/>
          </w:tcPr>
          <w:p>
            <w:pPr>
              <w:spacing w:line="216" w:lineRule="auto" w:after="0"/>
            </w:pPr>
            <w:r>
              <w:rPr>
                <w:sz w:val="13"/>
              </w:rPr>
              <w:t>0.806</w:t>
            </w:r>
          </w:p>
        </w:tc>
        <w:tc>
          <w:tcPr>
            <w:tcW w:type="dxa" w:w="1247"/>
            <w:vAlign w:val="center"/>
          </w:tcPr>
          <w:p>
            <w:pPr>
              <w:spacing w:line="216" w:lineRule="auto" w:after="0"/>
            </w:pPr>
            <w:r>
              <w:rPr>
                <w:sz w:val="13"/>
              </w:rPr>
              <w:t>0.627</w:t>
            </w:r>
          </w:p>
        </w:tc>
        <w:tc>
          <w:tcPr>
            <w:tcW w:type="dxa" w:w="1361"/>
            <w:vAlign w:val="center"/>
          </w:tcPr>
          <w:p>
            <w:pPr>
              <w:spacing w:line="216" w:lineRule="auto" w:after="0"/>
            </w:pPr>
            <w:r>
              <w:rPr>
                <w:sz w:val="13"/>
              </w:rPr>
              <w:t>0.567</w:t>
            </w:r>
          </w:p>
        </w:tc>
        <w:tc>
          <w:tcPr>
            <w:tcW w:type="dxa" w:w="2098"/>
            <w:vAlign w:val="center"/>
          </w:tcPr>
          <w:p>
            <w:pPr>
              <w:spacing w:line="216" w:lineRule="auto" w:after="0"/>
            </w:pPr>
            <w:r>
              <w:rPr>
                <w:sz w:val="13"/>
              </w:rPr>
              <w:t>TITAN+Giga-SSL</w:t>
            </w:r>
          </w:p>
        </w:tc>
      </w:tr>
      <w:tr>
        <w:trPr>
          <w:cantSplit/>
        </w:trPr>
        <w:tc>
          <w:tcPr>
            <w:tcW w:type="dxa" w:w="1304"/>
            <w:vAlign w:val="center"/>
          </w:tcPr>
          <w:p>
            <w:pPr>
              <w:spacing w:line="216" w:lineRule="auto" w:after="0"/>
            </w:pPr>
            <w:r>
              <w:rPr>
                <w:sz w:val="13"/>
              </w:rPr>
              <w:t>Fusion</w:t>
            </w:r>
          </w:p>
        </w:tc>
        <w:tc>
          <w:tcPr>
            <w:tcW w:type="dxa" w:w="2268"/>
            <w:vAlign w:val="center"/>
          </w:tcPr>
          <w:p>
            <w:pPr>
              <w:spacing w:line="216" w:lineRule="auto" w:after="0"/>
            </w:pPr>
            <w:r>
              <w:rPr>
                <w:sz w:val="13"/>
              </w:rPr>
              <w:t>PRAD: TMPRSS2--ERG</w:t>
            </w:r>
          </w:p>
        </w:tc>
        <w:tc>
          <w:tcPr>
            <w:tcW w:type="dxa" w:w="1247"/>
            <w:vAlign w:val="center"/>
          </w:tcPr>
          <w:p>
            <w:pPr>
              <w:spacing w:line="216" w:lineRule="auto" w:after="0"/>
            </w:pPr>
            <w:r>
              <w:rPr>
                <w:sz w:val="13"/>
              </w:rPr>
              <w:t>369 (154 positive)</w:t>
            </w:r>
          </w:p>
        </w:tc>
        <w:tc>
          <w:tcPr>
            <w:tcW w:type="dxa" w:w="1134"/>
            <w:vAlign w:val="center"/>
          </w:tcPr>
          <w:p>
            <w:pPr>
              <w:spacing w:line="216" w:lineRule="auto" w:after="0"/>
            </w:pPr>
            <w:r>
              <w:rPr>
                <w:sz w:val="13"/>
              </w:rPr>
              <w:t>0.653</w:t>
            </w:r>
          </w:p>
        </w:tc>
        <w:tc>
          <w:tcPr>
            <w:tcW w:type="dxa" w:w="1247"/>
            <w:vAlign w:val="center"/>
          </w:tcPr>
          <w:p>
            <w:pPr>
              <w:spacing w:line="216" w:lineRule="auto" w:after="0"/>
            </w:pPr>
            <w:r>
              <w:rPr>
                <w:sz w:val="13"/>
              </w:rPr>
              <w:t>0.606</w:t>
            </w:r>
          </w:p>
        </w:tc>
        <w:tc>
          <w:tcPr>
            <w:tcW w:type="dxa" w:w="1361"/>
            <w:vAlign w:val="center"/>
          </w:tcPr>
          <w:p>
            <w:pPr>
              <w:spacing w:line="216" w:lineRule="auto" w:after="0"/>
            </w:pPr>
            <w:r>
              <w:rPr>
                <w:sz w:val="13"/>
              </w:rPr>
              <w:t>0.632</w:t>
            </w:r>
          </w:p>
        </w:tc>
        <w:tc>
          <w:tcPr>
            <w:tcW w:type="dxa" w:w="2098"/>
            <w:vAlign w:val="center"/>
          </w:tcPr>
          <w:p>
            <w:pPr>
              <w:spacing w:line="216" w:lineRule="auto" w:after="0"/>
            </w:pPr>
            <w:r>
              <w:rPr>
                <w:sz w:val="13"/>
              </w:rPr>
              <w:t>TITAN+Giga-SSL+Prov-GigaPath</w:t>
            </w:r>
          </w:p>
        </w:tc>
      </w:tr>
      <w:tr>
        <w:trPr>
          <w:cantSplit/>
        </w:trPr>
        <w:tc>
          <w:tcPr>
            <w:tcW w:type="dxa" w:w="1304"/>
            <w:vAlign w:val="center"/>
          </w:tcPr>
          <w:p>
            <w:pPr>
              <w:spacing w:line="216" w:lineRule="auto" w:after="0"/>
            </w:pPr>
            <w:r>
              <w:rPr>
                <w:sz w:val="13"/>
              </w:rPr>
              <w:t>MSI</w:t>
            </w:r>
          </w:p>
        </w:tc>
        <w:tc>
          <w:tcPr>
            <w:tcW w:type="dxa" w:w="2268"/>
            <w:vAlign w:val="center"/>
          </w:tcPr>
          <w:p>
            <w:pPr>
              <w:spacing w:line="216" w:lineRule="auto" w:after="0"/>
            </w:pPr>
            <w:r>
              <w:rPr>
                <w:sz w:val="13"/>
              </w:rPr>
              <w:t>COAD: MSI-H strict (MANTIS &gt;0.6)</w:t>
            </w:r>
          </w:p>
        </w:tc>
        <w:tc>
          <w:tcPr>
            <w:tcW w:type="dxa" w:w="1247"/>
            <w:vAlign w:val="center"/>
          </w:tcPr>
          <w:p>
            <w:pPr>
              <w:spacing w:line="216" w:lineRule="auto" w:after="0"/>
            </w:pPr>
            <w:r>
              <w:rPr>
                <w:sz w:val="13"/>
              </w:rPr>
              <w:t>373 (56 positive)</w:t>
            </w:r>
          </w:p>
        </w:tc>
        <w:tc>
          <w:tcPr>
            <w:tcW w:type="dxa" w:w="1134"/>
            <w:vAlign w:val="center"/>
          </w:tcPr>
          <w:p>
            <w:pPr>
              <w:spacing w:line="216" w:lineRule="auto" w:after="0"/>
            </w:pPr>
            <w:r>
              <w:rPr>
                <w:sz w:val="13"/>
              </w:rPr>
              <w:t>0.940</w:t>
            </w:r>
          </w:p>
        </w:tc>
        <w:tc>
          <w:tcPr>
            <w:tcW w:type="dxa" w:w="1247"/>
            <w:vAlign w:val="center"/>
          </w:tcPr>
          <w:p>
            <w:pPr>
              <w:spacing w:line="216" w:lineRule="auto" w:after="0"/>
            </w:pPr>
            <w:r>
              <w:rPr>
                <w:sz w:val="13"/>
              </w:rPr>
              <w:t>0.851</w:t>
            </w:r>
          </w:p>
        </w:tc>
        <w:tc>
          <w:tcPr>
            <w:tcW w:type="dxa" w:w="1361"/>
            <w:vAlign w:val="center"/>
          </w:tcPr>
          <w:p>
            <w:pPr>
              <w:spacing w:line="216" w:lineRule="auto" w:after="0"/>
            </w:pPr>
            <w:r>
              <w:rPr>
                <w:sz w:val="13"/>
              </w:rPr>
              <w:t>0.857</w:t>
            </w:r>
          </w:p>
        </w:tc>
        <w:tc>
          <w:tcPr>
            <w:tcW w:type="dxa" w:w="2098"/>
            <w:vAlign w:val="center"/>
          </w:tcPr>
          <w:p>
            <w:pPr>
              <w:spacing w:line="216" w:lineRule="auto" w:after="0"/>
            </w:pPr>
            <w:r>
              <w:rPr>
                <w:sz w:val="13"/>
              </w:rPr>
              <w:t>TITAN+Giga-SSL+Prov-GigaPath</w:t>
            </w:r>
          </w:p>
        </w:tc>
      </w:tr>
      <w:tr>
        <w:trPr>
          <w:cantSplit/>
        </w:trPr>
        <w:tc>
          <w:tcPr>
            <w:tcW w:type="dxa" w:w="1304"/>
            <w:vAlign w:val="center"/>
          </w:tcPr>
          <w:p>
            <w:pPr>
              <w:spacing w:line="216" w:lineRule="auto" w:after="0"/>
            </w:pPr>
            <w:r>
              <w:rPr>
                <w:sz w:val="13"/>
              </w:rPr>
              <w:t>Genome doubling</w:t>
            </w:r>
          </w:p>
        </w:tc>
        <w:tc>
          <w:tcPr>
            <w:tcW w:type="dxa" w:w="2268"/>
            <w:vAlign w:val="center"/>
          </w:tcPr>
          <w:p>
            <w:pPr>
              <w:spacing w:line="216" w:lineRule="auto" w:after="0"/>
            </w:pPr>
            <w:r>
              <w:rPr>
                <w:sz w:val="13"/>
              </w:rPr>
              <w:t>UCEC: Genome doubling</w:t>
            </w:r>
          </w:p>
        </w:tc>
        <w:tc>
          <w:tcPr>
            <w:tcW w:type="dxa" w:w="1247"/>
            <w:vAlign w:val="center"/>
          </w:tcPr>
          <w:p>
            <w:pPr>
              <w:spacing w:line="216" w:lineRule="auto" w:after="0"/>
            </w:pPr>
            <w:r>
              <w:rPr>
                <w:sz w:val="13"/>
              </w:rPr>
              <w:t>476 (97 positive)</w:t>
            </w:r>
          </w:p>
        </w:tc>
        <w:tc>
          <w:tcPr>
            <w:tcW w:type="dxa" w:w="1134"/>
            <w:vAlign w:val="center"/>
          </w:tcPr>
          <w:p>
            <w:pPr>
              <w:spacing w:line="216" w:lineRule="auto" w:after="0"/>
            </w:pPr>
            <w:r>
              <w:rPr>
                <w:sz w:val="13"/>
              </w:rPr>
              <w:t>0.857</w:t>
            </w:r>
          </w:p>
        </w:tc>
        <w:tc>
          <w:tcPr>
            <w:tcW w:type="dxa" w:w="1247"/>
            <w:vAlign w:val="center"/>
          </w:tcPr>
          <w:p>
            <w:pPr>
              <w:spacing w:line="216" w:lineRule="auto" w:after="0"/>
            </w:pPr>
            <w:r>
              <w:rPr>
                <w:sz w:val="13"/>
              </w:rPr>
              <w:t>0.761</w:t>
            </w:r>
          </w:p>
        </w:tc>
        <w:tc>
          <w:tcPr>
            <w:tcW w:type="dxa" w:w="1361"/>
            <w:vAlign w:val="center"/>
          </w:tcPr>
          <w:p>
            <w:pPr>
              <w:spacing w:line="216" w:lineRule="auto" w:after="0"/>
            </w:pPr>
            <w:r>
              <w:rPr>
                <w:sz w:val="13"/>
              </w:rPr>
              <w:t>0.714</w:t>
            </w:r>
          </w:p>
        </w:tc>
        <w:tc>
          <w:tcPr>
            <w:tcW w:type="dxa" w:w="2098"/>
            <w:vAlign w:val="center"/>
          </w:tcPr>
          <w:p>
            <w:pPr>
              <w:spacing w:line="216" w:lineRule="auto" w:after="0"/>
            </w:pPr>
            <w:r>
              <w:rPr>
                <w:sz w:val="13"/>
              </w:rPr>
              <w:t>TITAN+Giga-SSL+Prov-GigaPath</w:t>
            </w:r>
          </w:p>
        </w:tc>
      </w:tr>
      <w:tr>
        <w:trPr>
          <w:cantSplit/>
        </w:trPr>
        <w:tc>
          <w:tcPr>
            <w:tcW w:type="dxa" w:w="1304"/>
            <w:vAlign w:val="center"/>
          </w:tcPr>
          <w:p>
            <w:pPr>
              <w:spacing w:line="216" w:lineRule="auto" w:after="0"/>
            </w:pPr>
            <w:r>
              <w:rPr>
                <w:sz w:val="13"/>
              </w:rPr>
              <w:t>Oncogenic pathway</w:t>
            </w:r>
          </w:p>
        </w:tc>
        <w:tc>
          <w:tcPr>
            <w:tcW w:type="dxa" w:w="2268"/>
            <w:vAlign w:val="center"/>
          </w:tcPr>
          <w:p>
            <w:pPr>
              <w:spacing w:line="216" w:lineRule="auto" w:after="0"/>
            </w:pPr>
            <w:r>
              <w:rPr>
                <w:sz w:val="13"/>
              </w:rPr>
              <w:t>KIRP: Cell Cycle</w:t>
            </w:r>
          </w:p>
        </w:tc>
        <w:tc>
          <w:tcPr>
            <w:tcW w:type="dxa" w:w="1247"/>
            <w:vAlign w:val="center"/>
          </w:tcPr>
          <w:p>
            <w:pPr>
              <w:spacing w:line="216" w:lineRule="auto" w:after="0"/>
            </w:pPr>
            <w:r>
              <w:rPr>
                <w:sz w:val="13"/>
              </w:rPr>
              <w:t>243 (31 positive)</w:t>
            </w:r>
          </w:p>
        </w:tc>
        <w:tc>
          <w:tcPr>
            <w:tcW w:type="dxa" w:w="1134"/>
            <w:vAlign w:val="center"/>
          </w:tcPr>
          <w:p>
            <w:pPr>
              <w:spacing w:line="216" w:lineRule="auto" w:after="0"/>
            </w:pPr>
            <w:r>
              <w:rPr>
                <w:sz w:val="13"/>
              </w:rPr>
              <w:t>0.874</w:t>
            </w:r>
          </w:p>
        </w:tc>
        <w:tc>
          <w:tcPr>
            <w:tcW w:type="dxa" w:w="1247"/>
            <w:vAlign w:val="center"/>
          </w:tcPr>
          <w:p>
            <w:pPr>
              <w:spacing w:line="216" w:lineRule="auto" w:after="0"/>
            </w:pPr>
            <w:r>
              <w:rPr>
                <w:sz w:val="13"/>
              </w:rPr>
              <w:t>0.754</w:t>
            </w:r>
          </w:p>
        </w:tc>
        <w:tc>
          <w:tcPr>
            <w:tcW w:type="dxa" w:w="1361"/>
            <w:vAlign w:val="center"/>
          </w:tcPr>
          <w:p>
            <w:pPr>
              <w:spacing w:line="216" w:lineRule="auto" w:after="0"/>
            </w:pPr>
            <w:r>
              <w:rPr>
                <w:sz w:val="13"/>
              </w:rPr>
              <w:t>0.857</w:t>
            </w:r>
          </w:p>
        </w:tc>
        <w:tc>
          <w:tcPr>
            <w:tcW w:type="dxa" w:w="2098"/>
            <w:vAlign w:val="center"/>
          </w:tcPr>
          <w:p>
            <w:pPr>
              <w:spacing w:line="216" w:lineRule="auto" w:after="0"/>
            </w:pPr>
            <w:r>
              <w:rPr>
                <w:sz w:val="13"/>
              </w:rPr>
              <w:t>TITAN+Giga-SSL+Prov-GigaPath</w:t>
            </w:r>
          </w:p>
        </w:tc>
      </w:tr>
    </w:tbl>
    <w:p/>
    <w:p>
      <w:r>
        <w:t>Fusion findings were substantive. Across 26 eligible binary fusion tasks, TITAN crossed for 12, Giga-SSL for 11 and Prov-GigaPath for 10. UCEC, LGG, THCA and BLCA any-fusion status and PRAD TMPRSS2-ERG crossed with all three pipelines. Complete sensitivity, specificity, PR-AUC, PPV, NPV, prevalence and fold-level results remain in foundation_model_target_comparison.csv and foundation_model_matched_screen.csv.</w:t>
      </w:r>
    </w:p>
    <w:p>
      <w:pPr>
        <w:pStyle w:val="Heading1"/>
      </w:pPr>
      <w:r>
        <w:t>Table S5. Selected continuous tumour-feature predictions across all three representation pipelines</w:t>
      </w:r>
    </w:p>
    <w:p>
      <w:r>
        <w:t>Values are patient-level outer out-of-fold Q² estimates in the matched cohort. Immune-cell fractions and expression signatures are computational reference phenotypes rather than directly measured cell counts. Support states which pipelines crossed Q² 0.20.</w:t>
      </w:r>
    </w:p>
    <w:tbl>
      <w:tblPr>
        <w:tblStyle w:val="TableGrid"/>
        <w:tblW w:type="dxa" w:w="10318"/>
        <w:jc w:val="left"/>
        <w:tblLayout w:type="fixed"/>
        <w:tblLook w:firstColumn="1" w:firstRow="1" w:lastColumn="0" w:lastRow="0" w:noHBand="0" w:noVBand="1" w:val="04A0"/>
        <w:tblLayout w:type="fixed"/>
        <w:tblInd w:type="dxa" w:w="0"/>
      </w:tblPr>
      <w:tblGrid>
        <w:gridCol w:w="1701"/>
        <w:gridCol w:w="2381"/>
        <w:gridCol w:w="680"/>
        <w:gridCol w:w="1020"/>
        <w:gridCol w:w="1134"/>
        <w:gridCol w:w="1304"/>
        <w:gridCol w:w="2098"/>
      </w:tblGrid>
      <w:tr>
        <w:trPr>
          <w:tblHeader w:val="true"/>
          <w:cantSplit/>
        </w:trPr>
        <w:tc>
          <w:tcPr>
            <w:tcW w:type="dxa" w:w="1701"/>
          </w:tcPr>
          <w:p>
            <w:pPr>
              <w:spacing w:line="216" w:lineRule="auto" w:after="0"/>
            </w:pPr>
            <w:r>
              <w:rPr>
                <w:b/>
                <w:sz w:val="13"/>
              </w:rPr>
              <w:t>Feature class</w:t>
            </w:r>
          </w:p>
        </w:tc>
        <w:tc>
          <w:tcPr>
            <w:tcW w:type="dxa" w:w="2381"/>
          </w:tcPr>
          <w:p>
            <w:pPr>
              <w:spacing w:line="216" w:lineRule="auto" w:after="0"/>
            </w:pPr>
            <w:r>
              <w:rPr>
                <w:b/>
                <w:sz w:val="13"/>
              </w:rPr>
              <w:t>Cancer and endpoint</w:t>
            </w:r>
          </w:p>
        </w:tc>
        <w:tc>
          <w:tcPr>
            <w:tcW w:type="dxa" w:w="680"/>
          </w:tcPr>
          <w:p>
            <w:pPr>
              <w:spacing w:line="216" w:lineRule="auto" w:after="0"/>
            </w:pPr>
            <w:r>
              <w:rPr>
                <w:b/>
                <w:sz w:val="13"/>
              </w:rPr>
              <w:t>n</w:t>
            </w:r>
          </w:p>
        </w:tc>
        <w:tc>
          <w:tcPr>
            <w:tcW w:type="dxa" w:w="1020"/>
          </w:tcPr>
          <w:p>
            <w:pPr>
              <w:spacing w:line="216" w:lineRule="auto" w:after="0"/>
            </w:pPr>
            <w:r>
              <w:rPr>
                <w:b/>
                <w:sz w:val="13"/>
              </w:rPr>
              <w:t>TITAN Q2</w:t>
            </w:r>
          </w:p>
        </w:tc>
        <w:tc>
          <w:tcPr>
            <w:tcW w:type="dxa" w:w="1134"/>
          </w:tcPr>
          <w:p>
            <w:pPr>
              <w:spacing w:line="216" w:lineRule="auto" w:after="0"/>
            </w:pPr>
            <w:r>
              <w:rPr>
                <w:b/>
                <w:sz w:val="13"/>
              </w:rPr>
              <w:t>Giga-SSL Q2</w:t>
            </w:r>
          </w:p>
        </w:tc>
        <w:tc>
          <w:tcPr>
            <w:tcW w:type="dxa" w:w="1304"/>
          </w:tcPr>
          <w:p>
            <w:pPr>
              <w:spacing w:line="216" w:lineRule="auto" w:after="0"/>
            </w:pPr>
            <w:r>
              <w:rPr>
                <w:b/>
                <w:sz w:val="13"/>
              </w:rPr>
              <w:t>Prov-GigaPath Q2</w:t>
            </w:r>
          </w:p>
        </w:tc>
        <w:tc>
          <w:tcPr>
            <w:tcW w:type="dxa" w:w="2098"/>
          </w:tcPr>
          <w:p>
            <w:pPr>
              <w:spacing w:line="216" w:lineRule="auto" w:after="0"/>
            </w:pPr>
            <w:r>
              <w:rPr>
                <w:b/>
                <w:sz w:val="13"/>
              </w:rPr>
              <w:t>Pipelines crossing 0.20</w:t>
            </w:r>
          </w:p>
        </w:tc>
      </w:tr>
      <w:tr>
        <w:trPr>
          <w:cantSplit/>
        </w:trPr>
        <w:tc>
          <w:tcPr>
            <w:tcW w:type="dxa" w:w="1701"/>
            <w:vAlign w:val="center"/>
          </w:tcPr>
          <w:p>
            <w:pPr>
              <w:spacing w:line="216" w:lineRule="auto" w:after="0"/>
            </w:pPr>
            <w:r>
              <w:rPr>
                <w:sz w:val="13"/>
              </w:rPr>
              <w:t>RNA pathway activity</w:t>
            </w:r>
          </w:p>
        </w:tc>
        <w:tc>
          <w:tcPr>
            <w:tcW w:type="dxa" w:w="2381"/>
            <w:vAlign w:val="center"/>
          </w:tcPr>
          <w:p>
            <w:pPr>
              <w:spacing w:line="216" w:lineRule="auto" w:after="0"/>
            </w:pPr>
            <w:r>
              <w:rPr>
                <w:sz w:val="13"/>
              </w:rPr>
              <w:t>TGCT: HALLMARK_GLYCOLYSIS</w:t>
            </w:r>
          </w:p>
        </w:tc>
        <w:tc>
          <w:tcPr>
            <w:tcW w:type="dxa" w:w="680"/>
            <w:vAlign w:val="center"/>
          </w:tcPr>
          <w:p>
            <w:pPr>
              <w:spacing w:line="216" w:lineRule="auto" w:after="0"/>
            </w:pPr>
            <w:r>
              <w:rPr>
                <w:sz w:val="13"/>
              </w:rPr>
              <w:t>149</w:t>
            </w:r>
          </w:p>
        </w:tc>
        <w:tc>
          <w:tcPr>
            <w:tcW w:type="dxa" w:w="1020"/>
            <w:vAlign w:val="center"/>
          </w:tcPr>
          <w:p>
            <w:pPr>
              <w:spacing w:line="216" w:lineRule="auto" w:after="0"/>
            </w:pPr>
            <w:r>
              <w:rPr>
                <w:sz w:val="13"/>
              </w:rPr>
              <w:t>0.723</w:t>
            </w:r>
          </w:p>
        </w:tc>
        <w:tc>
          <w:tcPr>
            <w:tcW w:type="dxa" w:w="1134"/>
            <w:vAlign w:val="center"/>
          </w:tcPr>
          <w:p>
            <w:pPr>
              <w:spacing w:line="216" w:lineRule="auto" w:after="0"/>
            </w:pPr>
            <w:r>
              <w:rPr>
                <w:sz w:val="13"/>
              </w:rPr>
              <w:t>0.623</w:t>
            </w:r>
          </w:p>
        </w:tc>
        <w:tc>
          <w:tcPr>
            <w:tcW w:type="dxa" w:w="1304"/>
            <w:vAlign w:val="center"/>
          </w:tcPr>
          <w:p>
            <w:pPr>
              <w:spacing w:line="216" w:lineRule="auto" w:after="0"/>
            </w:pPr>
            <w:r>
              <w:rPr>
                <w:sz w:val="13"/>
              </w:rPr>
              <w:t>0.667</w:t>
            </w:r>
          </w:p>
        </w:tc>
        <w:tc>
          <w:tcPr>
            <w:tcW w:type="dxa" w:w="2098"/>
            <w:vAlign w:val="center"/>
          </w:tcPr>
          <w:p>
            <w:pPr>
              <w:spacing w:line="216" w:lineRule="auto" w:after="0"/>
            </w:pPr>
            <w:r>
              <w:rPr>
                <w:sz w:val="13"/>
              </w:rPr>
              <w:t>TITAN+Giga-SSL+Prov-GigaPath</w:t>
            </w:r>
          </w:p>
        </w:tc>
      </w:tr>
      <w:tr>
        <w:trPr>
          <w:cantSplit/>
        </w:trPr>
        <w:tc>
          <w:tcPr>
            <w:tcW w:type="dxa" w:w="1701"/>
            <w:vAlign w:val="center"/>
          </w:tcPr>
          <w:p>
            <w:pPr>
              <w:spacing w:line="216" w:lineRule="auto" w:after="0"/>
            </w:pPr>
            <w:r>
              <w:rPr>
                <w:sz w:val="13"/>
              </w:rPr>
              <w:t>RNA pathway activity</w:t>
            </w:r>
          </w:p>
        </w:tc>
        <w:tc>
          <w:tcPr>
            <w:tcW w:type="dxa" w:w="2381"/>
            <w:vAlign w:val="center"/>
          </w:tcPr>
          <w:p>
            <w:pPr>
              <w:spacing w:line="216" w:lineRule="auto" w:after="0"/>
            </w:pPr>
            <w:r>
              <w:rPr>
                <w:sz w:val="13"/>
              </w:rPr>
              <w:t>LIHC: HALLMARK_BILE_ACID_METABOLISM</w:t>
            </w:r>
          </w:p>
        </w:tc>
        <w:tc>
          <w:tcPr>
            <w:tcW w:type="dxa" w:w="680"/>
            <w:vAlign w:val="center"/>
          </w:tcPr>
          <w:p>
            <w:pPr>
              <w:spacing w:line="216" w:lineRule="auto" w:after="0"/>
            </w:pPr>
            <w:r>
              <w:rPr>
                <w:sz w:val="13"/>
              </w:rPr>
              <w:t>354</w:t>
            </w:r>
          </w:p>
        </w:tc>
        <w:tc>
          <w:tcPr>
            <w:tcW w:type="dxa" w:w="1020"/>
            <w:vAlign w:val="center"/>
          </w:tcPr>
          <w:p>
            <w:pPr>
              <w:spacing w:line="216" w:lineRule="auto" w:after="0"/>
            </w:pPr>
            <w:r>
              <w:rPr>
                <w:sz w:val="13"/>
              </w:rPr>
              <w:t>0.545</w:t>
            </w:r>
          </w:p>
        </w:tc>
        <w:tc>
          <w:tcPr>
            <w:tcW w:type="dxa" w:w="1134"/>
            <w:vAlign w:val="center"/>
          </w:tcPr>
          <w:p>
            <w:pPr>
              <w:spacing w:line="216" w:lineRule="auto" w:after="0"/>
            </w:pPr>
            <w:r>
              <w:rPr>
                <w:sz w:val="13"/>
              </w:rPr>
              <w:t>0.226</w:t>
            </w:r>
          </w:p>
        </w:tc>
        <w:tc>
          <w:tcPr>
            <w:tcW w:type="dxa" w:w="1304"/>
            <w:vAlign w:val="center"/>
          </w:tcPr>
          <w:p>
            <w:pPr>
              <w:spacing w:line="216" w:lineRule="auto" w:after="0"/>
            </w:pPr>
            <w:r>
              <w:rPr>
                <w:sz w:val="13"/>
              </w:rPr>
              <w:t>0.418</w:t>
            </w:r>
          </w:p>
        </w:tc>
        <w:tc>
          <w:tcPr>
            <w:tcW w:type="dxa" w:w="2098"/>
            <w:vAlign w:val="center"/>
          </w:tcPr>
          <w:p>
            <w:pPr>
              <w:spacing w:line="216" w:lineRule="auto" w:after="0"/>
            </w:pPr>
            <w:r>
              <w:rPr>
                <w:sz w:val="13"/>
              </w:rPr>
              <w:t>TITAN+Giga-SSL+Prov-GigaPath</w:t>
            </w:r>
          </w:p>
        </w:tc>
      </w:tr>
      <w:tr>
        <w:trPr>
          <w:cantSplit/>
        </w:trPr>
        <w:tc>
          <w:tcPr>
            <w:tcW w:type="dxa" w:w="1701"/>
            <w:vAlign w:val="center"/>
          </w:tcPr>
          <w:p>
            <w:pPr>
              <w:spacing w:line="216" w:lineRule="auto" w:after="0"/>
            </w:pPr>
            <w:r>
              <w:rPr>
                <w:sz w:val="13"/>
              </w:rPr>
              <w:t>RNA pathway activity</w:t>
            </w:r>
          </w:p>
        </w:tc>
        <w:tc>
          <w:tcPr>
            <w:tcW w:type="dxa" w:w="2381"/>
            <w:vAlign w:val="center"/>
          </w:tcPr>
          <w:p>
            <w:pPr>
              <w:spacing w:line="216" w:lineRule="auto" w:after="0"/>
            </w:pPr>
            <w:r>
              <w:rPr>
                <w:sz w:val="13"/>
              </w:rPr>
              <w:t>PAAD: HALLMARK_NOTCH_SIGNALING</w:t>
            </w:r>
          </w:p>
        </w:tc>
        <w:tc>
          <w:tcPr>
            <w:tcW w:type="dxa" w:w="680"/>
            <w:vAlign w:val="center"/>
          </w:tcPr>
          <w:p>
            <w:pPr>
              <w:spacing w:line="216" w:lineRule="auto" w:after="0"/>
            </w:pPr>
            <w:r>
              <w:rPr>
                <w:sz w:val="13"/>
              </w:rPr>
              <w:t>176</w:t>
            </w:r>
          </w:p>
        </w:tc>
        <w:tc>
          <w:tcPr>
            <w:tcW w:type="dxa" w:w="1020"/>
            <w:vAlign w:val="center"/>
          </w:tcPr>
          <w:p>
            <w:pPr>
              <w:spacing w:line="216" w:lineRule="auto" w:after="0"/>
            </w:pPr>
            <w:r>
              <w:rPr>
                <w:sz w:val="13"/>
              </w:rPr>
              <w:t>0.503</w:t>
            </w:r>
          </w:p>
        </w:tc>
        <w:tc>
          <w:tcPr>
            <w:tcW w:type="dxa" w:w="1134"/>
            <w:vAlign w:val="center"/>
          </w:tcPr>
          <w:p>
            <w:pPr>
              <w:spacing w:line="216" w:lineRule="auto" w:after="0"/>
            </w:pPr>
            <w:r>
              <w:rPr>
                <w:sz w:val="13"/>
              </w:rPr>
              <w:t>0.391</w:t>
            </w:r>
          </w:p>
        </w:tc>
        <w:tc>
          <w:tcPr>
            <w:tcW w:type="dxa" w:w="1304"/>
            <w:vAlign w:val="center"/>
          </w:tcPr>
          <w:p>
            <w:pPr>
              <w:spacing w:line="216" w:lineRule="auto" w:after="0"/>
            </w:pPr>
            <w:r>
              <w:rPr>
                <w:sz w:val="13"/>
              </w:rPr>
              <w:t>0.409</w:t>
            </w:r>
          </w:p>
        </w:tc>
        <w:tc>
          <w:tcPr>
            <w:tcW w:type="dxa" w:w="2098"/>
            <w:vAlign w:val="center"/>
          </w:tcPr>
          <w:p>
            <w:pPr>
              <w:spacing w:line="216" w:lineRule="auto" w:after="0"/>
            </w:pPr>
            <w:r>
              <w:rPr>
                <w:sz w:val="13"/>
              </w:rPr>
              <w:t>TITAN+Giga-SSL+Prov-GigaPath</w:t>
            </w:r>
          </w:p>
        </w:tc>
      </w:tr>
      <w:tr>
        <w:trPr>
          <w:cantSplit/>
        </w:trPr>
        <w:tc>
          <w:tcPr>
            <w:tcW w:type="dxa" w:w="1701"/>
            <w:vAlign w:val="center"/>
          </w:tcPr>
          <w:p>
            <w:pPr>
              <w:spacing w:line="216" w:lineRule="auto" w:after="0"/>
            </w:pPr>
            <w:r>
              <w:rPr>
                <w:sz w:val="13"/>
              </w:rPr>
              <w:t>RNA inflammatory signature</w:t>
            </w:r>
          </w:p>
        </w:tc>
        <w:tc>
          <w:tcPr>
            <w:tcW w:type="dxa" w:w="2381"/>
            <w:vAlign w:val="center"/>
          </w:tcPr>
          <w:p>
            <w:pPr>
              <w:spacing w:line="216" w:lineRule="auto" w:after="0"/>
            </w:pPr>
            <w:r>
              <w:rPr>
                <w:sz w:val="13"/>
              </w:rPr>
              <w:t>TGCT: TGF-beta Response</w:t>
            </w:r>
          </w:p>
        </w:tc>
        <w:tc>
          <w:tcPr>
            <w:tcW w:type="dxa" w:w="680"/>
            <w:vAlign w:val="center"/>
          </w:tcPr>
          <w:p>
            <w:pPr>
              <w:spacing w:line="216" w:lineRule="auto" w:after="0"/>
            </w:pPr>
            <w:r>
              <w:rPr>
                <w:sz w:val="13"/>
              </w:rPr>
              <w:t>148</w:t>
            </w:r>
          </w:p>
        </w:tc>
        <w:tc>
          <w:tcPr>
            <w:tcW w:type="dxa" w:w="1020"/>
            <w:vAlign w:val="center"/>
          </w:tcPr>
          <w:p>
            <w:pPr>
              <w:spacing w:line="216" w:lineRule="auto" w:after="0"/>
            </w:pPr>
            <w:r>
              <w:rPr>
                <w:sz w:val="13"/>
              </w:rPr>
              <w:t>0.662</w:t>
            </w:r>
          </w:p>
        </w:tc>
        <w:tc>
          <w:tcPr>
            <w:tcW w:type="dxa" w:w="1134"/>
            <w:vAlign w:val="center"/>
          </w:tcPr>
          <w:p>
            <w:pPr>
              <w:spacing w:line="216" w:lineRule="auto" w:after="0"/>
            </w:pPr>
            <w:r>
              <w:rPr>
                <w:sz w:val="13"/>
              </w:rPr>
              <w:t>0.647</w:t>
            </w:r>
          </w:p>
        </w:tc>
        <w:tc>
          <w:tcPr>
            <w:tcW w:type="dxa" w:w="1304"/>
            <w:vAlign w:val="center"/>
          </w:tcPr>
          <w:p>
            <w:pPr>
              <w:spacing w:line="216" w:lineRule="auto" w:after="0"/>
            </w:pPr>
            <w:r>
              <w:rPr>
                <w:sz w:val="13"/>
              </w:rPr>
              <w:t>0.601</w:t>
            </w:r>
          </w:p>
        </w:tc>
        <w:tc>
          <w:tcPr>
            <w:tcW w:type="dxa" w:w="2098"/>
            <w:vAlign w:val="center"/>
          </w:tcPr>
          <w:p>
            <w:pPr>
              <w:spacing w:line="216" w:lineRule="auto" w:after="0"/>
            </w:pPr>
            <w:r>
              <w:rPr>
                <w:sz w:val="13"/>
              </w:rPr>
              <w:t>TITAN+Giga-SSL+Prov-GigaPath</w:t>
            </w:r>
          </w:p>
        </w:tc>
      </w:tr>
      <w:tr>
        <w:trPr>
          <w:cantSplit/>
        </w:trPr>
        <w:tc>
          <w:tcPr>
            <w:tcW w:type="dxa" w:w="1701"/>
            <w:vAlign w:val="center"/>
          </w:tcPr>
          <w:p>
            <w:pPr>
              <w:spacing w:line="216" w:lineRule="auto" w:after="0"/>
            </w:pPr>
            <w:r>
              <w:rPr>
                <w:sz w:val="13"/>
              </w:rPr>
              <w:t>Inferred immune fraction</w:t>
            </w:r>
          </w:p>
        </w:tc>
        <w:tc>
          <w:tcPr>
            <w:tcW w:type="dxa" w:w="2381"/>
            <w:vAlign w:val="center"/>
          </w:tcPr>
          <w:p>
            <w:pPr>
              <w:spacing w:line="216" w:lineRule="auto" w:after="0"/>
            </w:pPr>
            <w:r>
              <w:rPr>
                <w:sz w:val="13"/>
              </w:rPr>
              <w:t>THYM: Th17 Cells</w:t>
            </w:r>
          </w:p>
        </w:tc>
        <w:tc>
          <w:tcPr>
            <w:tcW w:type="dxa" w:w="680"/>
            <w:vAlign w:val="center"/>
          </w:tcPr>
          <w:p>
            <w:pPr>
              <w:spacing w:line="216" w:lineRule="auto" w:after="0"/>
            </w:pPr>
            <w:r>
              <w:rPr>
                <w:sz w:val="13"/>
              </w:rPr>
              <w:t>113</w:t>
            </w:r>
          </w:p>
        </w:tc>
        <w:tc>
          <w:tcPr>
            <w:tcW w:type="dxa" w:w="1020"/>
            <w:vAlign w:val="center"/>
          </w:tcPr>
          <w:p>
            <w:pPr>
              <w:spacing w:line="216" w:lineRule="auto" w:after="0"/>
            </w:pPr>
            <w:r>
              <w:rPr>
                <w:sz w:val="13"/>
              </w:rPr>
              <w:t>0.617</w:t>
            </w:r>
          </w:p>
        </w:tc>
        <w:tc>
          <w:tcPr>
            <w:tcW w:type="dxa" w:w="1134"/>
            <w:vAlign w:val="center"/>
          </w:tcPr>
          <w:p>
            <w:pPr>
              <w:spacing w:line="216" w:lineRule="auto" w:after="0"/>
            </w:pPr>
            <w:r>
              <w:rPr>
                <w:sz w:val="13"/>
              </w:rPr>
              <w:t>0.522</w:t>
            </w:r>
          </w:p>
        </w:tc>
        <w:tc>
          <w:tcPr>
            <w:tcW w:type="dxa" w:w="1304"/>
            <w:vAlign w:val="center"/>
          </w:tcPr>
          <w:p>
            <w:pPr>
              <w:spacing w:line="216" w:lineRule="auto" w:after="0"/>
            </w:pPr>
            <w:r>
              <w:rPr>
                <w:sz w:val="13"/>
              </w:rPr>
              <w:t>0.425</w:t>
            </w:r>
          </w:p>
        </w:tc>
        <w:tc>
          <w:tcPr>
            <w:tcW w:type="dxa" w:w="2098"/>
            <w:vAlign w:val="center"/>
          </w:tcPr>
          <w:p>
            <w:pPr>
              <w:spacing w:line="216" w:lineRule="auto" w:after="0"/>
            </w:pPr>
            <w:r>
              <w:rPr>
                <w:sz w:val="13"/>
              </w:rPr>
              <w:t>TITAN+Giga-SSL+Prov-GigaPath</w:t>
            </w:r>
          </w:p>
        </w:tc>
      </w:tr>
      <w:tr>
        <w:trPr>
          <w:cantSplit/>
        </w:trPr>
        <w:tc>
          <w:tcPr>
            <w:tcW w:type="dxa" w:w="1701"/>
            <w:vAlign w:val="center"/>
          </w:tcPr>
          <w:p>
            <w:pPr>
              <w:spacing w:line="216" w:lineRule="auto" w:after="0"/>
            </w:pPr>
            <w:r>
              <w:rPr>
                <w:sz w:val="13"/>
              </w:rPr>
              <w:t>Methylation-derived fraction</w:t>
            </w:r>
          </w:p>
        </w:tc>
        <w:tc>
          <w:tcPr>
            <w:tcW w:type="dxa" w:w="2381"/>
            <w:vAlign w:val="center"/>
          </w:tcPr>
          <w:p>
            <w:pPr>
              <w:spacing w:line="216" w:lineRule="auto" w:after="0"/>
            </w:pPr>
            <w:r>
              <w:rPr>
                <w:sz w:val="13"/>
              </w:rPr>
              <w:t>BLCA: Leukocyte Fraction</w:t>
            </w:r>
          </w:p>
        </w:tc>
        <w:tc>
          <w:tcPr>
            <w:tcW w:type="dxa" w:w="680"/>
            <w:vAlign w:val="center"/>
          </w:tcPr>
          <w:p>
            <w:pPr>
              <w:spacing w:line="216" w:lineRule="auto" w:after="0"/>
            </w:pPr>
            <w:r>
              <w:rPr>
                <w:sz w:val="13"/>
              </w:rPr>
              <w:t>386</w:t>
            </w:r>
          </w:p>
        </w:tc>
        <w:tc>
          <w:tcPr>
            <w:tcW w:type="dxa" w:w="1020"/>
            <w:vAlign w:val="center"/>
          </w:tcPr>
          <w:p>
            <w:pPr>
              <w:spacing w:line="216" w:lineRule="auto" w:after="0"/>
            </w:pPr>
            <w:r>
              <w:rPr>
                <w:sz w:val="13"/>
              </w:rPr>
              <w:t>0.364</w:t>
            </w:r>
          </w:p>
        </w:tc>
        <w:tc>
          <w:tcPr>
            <w:tcW w:type="dxa" w:w="1134"/>
            <w:vAlign w:val="center"/>
          </w:tcPr>
          <w:p>
            <w:pPr>
              <w:spacing w:line="216" w:lineRule="auto" w:after="0"/>
            </w:pPr>
            <w:r>
              <w:rPr>
                <w:sz w:val="13"/>
              </w:rPr>
              <w:t>0.404</w:t>
            </w:r>
          </w:p>
        </w:tc>
        <w:tc>
          <w:tcPr>
            <w:tcW w:type="dxa" w:w="1304"/>
            <w:vAlign w:val="center"/>
          </w:tcPr>
          <w:p>
            <w:pPr>
              <w:spacing w:line="216" w:lineRule="auto" w:after="0"/>
            </w:pPr>
            <w:r>
              <w:rPr>
                <w:sz w:val="13"/>
              </w:rPr>
              <w:t>0.379</w:t>
            </w:r>
          </w:p>
        </w:tc>
        <w:tc>
          <w:tcPr>
            <w:tcW w:type="dxa" w:w="2098"/>
            <w:vAlign w:val="center"/>
          </w:tcPr>
          <w:p>
            <w:pPr>
              <w:spacing w:line="216" w:lineRule="auto" w:after="0"/>
            </w:pPr>
            <w:r>
              <w:rPr>
                <w:sz w:val="13"/>
              </w:rPr>
              <w:t>TITAN+Giga-SSL+Prov-GigaPath</w:t>
            </w:r>
          </w:p>
        </w:tc>
      </w:tr>
      <w:tr>
        <w:trPr>
          <w:cantSplit/>
        </w:trPr>
        <w:tc>
          <w:tcPr>
            <w:tcW w:type="dxa" w:w="1701"/>
            <w:vAlign w:val="center"/>
          </w:tcPr>
          <w:p>
            <w:pPr>
              <w:spacing w:line="216" w:lineRule="auto" w:after="0"/>
            </w:pPr>
            <w:r>
              <w:rPr>
                <w:sz w:val="13"/>
              </w:rPr>
              <w:t>Methylation-derived fraction</w:t>
            </w:r>
          </w:p>
        </w:tc>
        <w:tc>
          <w:tcPr>
            <w:tcW w:type="dxa" w:w="2381"/>
            <w:vAlign w:val="center"/>
          </w:tcPr>
          <w:p>
            <w:pPr>
              <w:spacing w:line="216" w:lineRule="auto" w:after="0"/>
            </w:pPr>
            <w:r>
              <w:rPr>
                <w:sz w:val="13"/>
              </w:rPr>
              <w:t>KIRP: Leukocyte Fraction</w:t>
            </w:r>
          </w:p>
        </w:tc>
        <w:tc>
          <w:tcPr>
            <w:tcW w:type="dxa" w:w="680"/>
            <w:vAlign w:val="center"/>
          </w:tcPr>
          <w:p>
            <w:pPr>
              <w:spacing w:line="216" w:lineRule="auto" w:after="0"/>
            </w:pPr>
            <w:r>
              <w:rPr>
                <w:sz w:val="13"/>
              </w:rPr>
              <w:t>268</w:t>
            </w:r>
          </w:p>
        </w:tc>
        <w:tc>
          <w:tcPr>
            <w:tcW w:type="dxa" w:w="1020"/>
            <w:vAlign w:val="center"/>
          </w:tcPr>
          <w:p>
            <w:pPr>
              <w:spacing w:line="216" w:lineRule="auto" w:after="0"/>
            </w:pPr>
            <w:r>
              <w:rPr>
                <w:sz w:val="13"/>
              </w:rPr>
              <w:t>0.368</w:t>
            </w:r>
          </w:p>
        </w:tc>
        <w:tc>
          <w:tcPr>
            <w:tcW w:type="dxa" w:w="1134"/>
            <w:vAlign w:val="center"/>
          </w:tcPr>
          <w:p>
            <w:pPr>
              <w:spacing w:line="216" w:lineRule="auto" w:after="0"/>
            </w:pPr>
            <w:r>
              <w:rPr>
                <w:sz w:val="13"/>
              </w:rPr>
              <w:t>0.401</w:t>
            </w:r>
          </w:p>
        </w:tc>
        <w:tc>
          <w:tcPr>
            <w:tcW w:type="dxa" w:w="1304"/>
            <w:vAlign w:val="center"/>
          </w:tcPr>
          <w:p>
            <w:pPr>
              <w:spacing w:line="216" w:lineRule="auto" w:after="0"/>
            </w:pPr>
            <w:r>
              <w:rPr>
                <w:sz w:val="13"/>
              </w:rPr>
              <w:t>0.407</w:t>
            </w:r>
          </w:p>
        </w:tc>
        <w:tc>
          <w:tcPr>
            <w:tcW w:type="dxa" w:w="2098"/>
            <w:vAlign w:val="center"/>
          </w:tcPr>
          <w:p>
            <w:pPr>
              <w:spacing w:line="216" w:lineRule="auto" w:after="0"/>
            </w:pPr>
            <w:r>
              <w:rPr>
                <w:sz w:val="13"/>
              </w:rPr>
              <w:t>TITAN+Giga-SSL+Prov-GigaPath</w:t>
            </w:r>
          </w:p>
        </w:tc>
      </w:tr>
      <w:tr>
        <w:trPr>
          <w:cantSplit/>
        </w:trPr>
        <w:tc>
          <w:tcPr>
            <w:tcW w:type="dxa" w:w="1701"/>
            <w:vAlign w:val="center"/>
          </w:tcPr>
          <w:p>
            <w:pPr>
              <w:spacing w:line="216" w:lineRule="auto" w:after="0"/>
            </w:pPr>
            <w:r>
              <w:rPr>
                <w:sz w:val="13"/>
              </w:rPr>
              <w:t>Immune repertoire</w:t>
            </w:r>
          </w:p>
        </w:tc>
        <w:tc>
          <w:tcPr>
            <w:tcW w:type="dxa" w:w="2381"/>
            <w:vAlign w:val="center"/>
          </w:tcPr>
          <w:p>
            <w:pPr>
              <w:spacing w:line="216" w:lineRule="auto" w:after="0"/>
            </w:pPr>
            <w:r>
              <w:rPr>
                <w:sz w:val="13"/>
              </w:rPr>
              <w:t>THYM: TCR Shannon</w:t>
            </w:r>
          </w:p>
        </w:tc>
        <w:tc>
          <w:tcPr>
            <w:tcW w:type="dxa" w:w="680"/>
            <w:vAlign w:val="center"/>
          </w:tcPr>
          <w:p>
            <w:pPr>
              <w:spacing w:line="216" w:lineRule="auto" w:after="0"/>
            </w:pPr>
            <w:r>
              <w:rPr>
                <w:sz w:val="13"/>
              </w:rPr>
              <w:t>113</w:t>
            </w:r>
          </w:p>
        </w:tc>
        <w:tc>
          <w:tcPr>
            <w:tcW w:type="dxa" w:w="1020"/>
            <w:vAlign w:val="center"/>
          </w:tcPr>
          <w:p>
            <w:pPr>
              <w:spacing w:line="216" w:lineRule="auto" w:after="0"/>
            </w:pPr>
            <w:r>
              <w:rPr>
                <w:sz w:val="13"/>
              </w:rPr>
              <w:t>0.478</w:t>
            </w:r>
          </w:p>
        </w:tc>
        <w:tc>
          <w:tcPr>
            <w:tcW w:type="dxa" w:w="1134"/>
            <w:vAlign w:val="center"/>
          </w:tcPr>
          <w:p>
            <w:pPr>
              <w:spacing w:line="216" w:lineRule="auto" w:after="0"/>
            </w:pPr>
            <w:r>
              <w:rPr>
                <w:sz w:val="13"/>
              </w:rPr>
              <w:t>0.455</w:t>
            </w:r>
          </w:p>
        </w:tc>
        <w:tc>
          <w:tcPr>
            <w:tcW w:type="dxa" w:w="1304"/>
            <w:vAlign w:val="center"/>
          </w:tcPr>
          <w:p>
            <w:pPr>
              <w:spacing w:line="216" w:lineRule="auto" w:after="0"/>
            </w:pPr>
            <w:r>
              <w:rPr>
                <w:sz w:val="13"/>
              </w:rPr>
              <w:t>0.377</w:t>
            </w:r>
          </w:p>
        </w:tc>
        <w:tc>
          <w:tcPr>
            <w:tcW w:type="dxa" w:w="2098"/>
            <w:vAlign w:val="center"/>
          </w:tcPr>
          <w:p>
            <w:pPr>
              <w:spacing w:line="216" w:lineRule="auto" w:after="0"/>
            </w:pPr>
            <w:r>
              <w:rPr>
                <w:sz w:val="13"/>
              </w:rPr>
              <w:t>TITAN+Giga-SSL+Prov-GigaPath</w:t>
            </w:r>
          </w:p>
        </w:tc>
      </w:tr>
      <w:tr>
        <w:trPr>
          <w:cantSplit/>
        </w:trPr>
        <w:tc>
          <w:tcPr>
            <w:tcW w:type="dxa" w:w="1701"/>
            <w:vAlign w:val="center"/>
          </w:tcPr>
          <w:p>
            <w:pPr>
              <w:spacing w:line="216" w:lineRule="auto" w:after="0"/>
            </w:pPr>
            <w:r>
              <w:rPr>
                <w:sz w:val="13"/>
              </w:rPr>
              <w:t>Composite tissue context</w:t>
            </w:r>
          </w:p>
        </w:tc>
        <w:tc>
          <w:tcPr>
            <w:tcW w:type="dxa" w:w="2381"/>
            <w:vAlign w:val="center"/>
          </w:tcPr>
          <w:p>
            <w:pPr>
              <w:spacing w:line="216" w:lineRule="auto" w:after="0"/>
            </w:pPr>
            <w:r>
              <w:rPr>
                <w:sz w:val="13"/>
              </w:rPr>
              <w:t>TGCT: Stromal Fraction</w:t>
            </w:r>
          </w:p>
        </w:tc>
        <w:tc>
          <w:tcPr>
            <w:tcW w:type="dxa" w:w="680"/>
            <w:vAlign w:val="center"/>
          </w:tcPr>
          <w:p>
            <w:pPr>
              <w:spacing w:line="216" w:lineRule="auto" w:after="0"/>
            </w:pPr>
            <w:r>
              <w:rPr>
                <w:sz w:val="13"/>
              </w:rPr>
              <w:t>148</w:t>
            </w:r>
          </w:p>
        </w:tc>
        <w:tc>
          <w:tcPr>
            <w:tcW w:type="dxa" w:w="1020"/>
            <w:vAlign w:val="center"/>
          </w:tcPr>
          <w:p>
            <w:pPr>
              <w:spacing w:line="216" w:lineRule="auto" w:after="0"/>
            </w:pPr>
            <w:r>
              <w:rPr>
                <w:sz w:val="13"/>
              </w:rPr>
              <w:t>0.473</w:t>
            </w:r>
          </w:p>
        </w:tc>
        <w:tc>
          <w:tcPr>
            <w:tcW w:type="dxa" w:w="1134"/>
            <w:vAlign w:val="center"/>
          </w:tcPr>
          <w:p>
            <w:pPr>
              <w:spacing w:line="216" w:lineRule="auto" w:after="0"/>
            </w:pPr>
            <w:r>
              <w:rPr>
                <w:sz w:val="13"/>
              </w:rPr>
              <w:t>0.427</w:t>
            </w:r>
          </w:p>
        </w:tc>
        <w:tc>
          <w:tcPr>
            <w:tcW w:type="dxa" w:w="1304"/>
            <w:vAlign w:val="center"/>
          </w:tcPr>
          <w:p>
            <w:pPr>
              <w:spacing w:line="216" w:lineRule="auto" w:after="0"/>
            </w:pPr>
            <w:r>
              <w:rPr>
                <w:sz w:val="13"/>
              </w:rPr>
              <w:t>0.437</w:t>
            </w:r>
          </w:p>
        </w:tc>
        <w:tc>
          <w:tcPr>
            <w:tcW w:type="dxa" w:w="2098"/>
            <w:vAlign w:val="center"/>
          </w:tcPr>
          <w:p>
            <w:pPr>
              <w:spacing w:line="216" w:lineRule="auto" w:after="0"/>
            </w:pPr>
            <w:r>
              <w:rPr>
                <w:sz w:val="13"/>
              </w:rPr>
              <w:t>TITAN+Giga-SSL+Prov-GigaPath</w:t>
            </w:r>
          </w:p>
        </w:tc>
      </w:tr>
      <w:tr>
        <w:trPr>
          <w:cantSplit/>
        </w:trPr>
        <w:tc>
          <w:tcPr>
            <w:tcW w:type="dxa" w:w="1701"/>
            <w:vAlign w:val="center"/>
          </w:tcPr>
          <w:p>
            <w:pPr>
              <w:spacing w:line="216" w:lineRule="auto" w:after="0"/>
            </w:pPr>
            <w:r>
              <w:rPr>
                <w:sz w:val="13"/>
              </w:rPr>
              <w:t>RNA inflammatory signature</w:t>
            </w:r>
          </w:p>
        </w:tc>
        <w:tc>
          <w:tcPr>
            <w:tcW w:type="dxa" w:w="2381"/>
            <w:vAlign w:val="center"/>
          </w:tcPr>
          <w:p>
            <w:pPr>
              <w:spacing w:line="216" w:lineRule="auto" w:after="0"/>
            </w:pPr>
            <w:r>
              <w:rPr>
                <w:sz w:val="13"/>
              </w:rPr>
              <w:t>THCA: Lymphocyte Infiltration Signature Score</w:t>
            </w:r>
          </w:p>
        </w:tc>
        <w:tc>
          <w:tcPr>
            <w:tcW w:type="dxa" w:w="680"/>
            <w:vAlign w:val="center"/>
          </w:tcPr>
          <w:p>
            <w:pPr>
              <w:spacing w:line="216" w:lineRule="auto" w:after="0"/>
            </w:pPr>
            <w:r>
              <w:rPr>
                <w:sz w:val="13"/>
              </w:rPr>
              <w:t>488</w:t>
            </w:r>
          </w:p>
        </w:tc>
        <w:tc>
          <w:tcPr>
            <w:tcW w:type="dxa" w:w="1020"/>
            <w:vAlign w:val="center"/>
          </w:tcPr>
          <w:p>
            <w:pPr>
              <w:spacing w:line="216" w:lineRule="auto" w:after="0"/>
            </w:pPr>
            <w:r>
              <w:rPr>
                <w:sz w:val="13"/>
              </w:rPr>
              <w:t>0.565</w:t>
            </w:r>
          </w:p>
        </w:tc>
        <w:tc>
          <w:tcPr>
            <w:tcW w:type="dxa" w:w="1134"/>
            <w:vAlign w:val="center"/>
          </w:tcPr>
          <w:p>
            <w:pPr>
              <w:spacing w:line="216" w:lineRule="auto" w:after="0"/>
            </w:pPr>
            <w:r>
              <w:rPr>
                <w:sz w:val="13"/>
              </w:rPr>
              <w:t>0.348</w:t>
            </w:r>
          </w:p>
        </w:tc>
        <w:tc>
          <w:tcPr>
            <w:tcW w:type="dxa" w:w="1304"/>
            <w:vAlign w:val="center"/>
          </w:tcPr>
          <w:p>
            <w:pPr>
              <w:spacing w:line="216" w:lineRule="auto" w:after="0"/>
            </w:pPr>
            <w:r>
              <w:rPr>
                <w:sz w:val="13"/>
              </w:rPr>
              <w:t>0.487</w:t>
            </w:r>
          </w:p>
        </w:tc>
        <w:tc>
          <w:tcPr>
            <w:tcW w:type="dxa" w:w="2098"/>
            <w:vAlign w:val="center"/>
          </w:tcPr>
          <w:p>
            <w:pPr>
              <w:spacing w:line="216" w:lineRule="auto" w:after="0"/>
            </w:pPr>
            <w:r>
              <w:rPr>
                <w:sz w:val="13"/>
              </w:rPr>
              <w:t>TITAN+Giga-SSL+Prov-GigaPath</w:t>
            </w:r>
          </w:p>
        </w:tc>
      </w:tr>
      <w:tr>
        <w:trPr>
          <w:cantSplit/>
        </w:trPr>
        <w:tc>
          <w:tcPr>
            <w:tcW w:type="dxa" w:w="1701"/>
            <w:vAlign w:val="center"/>
          </w:tcPr>
          <w:p>
            <w:pPr>
              <w:spacing w:line="216" w:lineRule="auto" w:after="0"/>
            </w:pPr>
            <w:r>
              <w:rPr>
                <w:sz w:val="13"/>
              </w:rPr>
              <w:t>Fusion burden</w:t>
            </w:r>
          </w:p>
        </w:tc>
        <w:tc>
          <w:tcPr>
            <w:tcW w:type="dxa" w:w="2381"/>
            <w:vAlign w:val="center"/>
          </w:tcPr>
          <w:p>
            <w:pPr>
              <w:spacing w:line="216" w:lineRule="auto" w:after="0"/>
            </w:pPr>
            <w:r>
              <w:rPr>
                <w:sz w:val="13"/>
              </w:rPr>
              <w:t>UCEC: Fusion burden</w:t>
            </w:r>
          </w:p>
        </w:tc>
        <w:tc>
          <w:tcPr>
            <w:tcW w:type="dxa" w:w="680"/>
            <w:vAlign w:val="center"/>
          </w:tcPr>
          <w:p>
            <w:pPr>
              <w:spacing w:line="216" w:lineRule="auto" w:after="0"/>
            </w:pPr>
            <w:r>
              <w:rPr>
                <w:sz w:val="13"/>
              </w:rPr>
              <w:t>152</w:t>
            </w:r>
          </w:p>
        </w:tc>
        <w:tc>
          <w:tcPr>
            <w:tcW w:type="dxa" w:w="1020"/>
            <w:vAlign w:val="center"/>
          </w:tcPr>
          <w:p>
            <w:pPr>
              <w:spacing w:line="216" w:lineRule="auto" w:after="0"/>
            </w:pPr>
            <w:r>
              <w:rPr>
                <w:sz w:val="13"/>
              </w:rPr>
              <w:t>0.385</w:t>
            </w:r>
          </w:p>
        </w:tc>
        <w:tc>
          <w:tcPr>
            <w:tcW w:type="dxa" w:w="1134"/>
            <w:vAlign w:val="center"/>
          </w:tcPr>
          <w:p>
            <w:pPr>
              <w:spacing w:line="216" w:lineRule="auto" w:after="0"/>
            </w:pPr>
            <w:r>
              <w:rPr>
                <w:sz w:val="13"/>
              </w:rPr>
              <w:t>0.089</w:t>
            </w:r>
          </w:p>
        </w:tc>
        <w:tc>
          <w:tcPr>
            <w:tcW w:type="dxa" w:w="1304"/>
            <w:vAlign w:val="center"/>
          </w:tcPr>
          <w:p>
            <w:pPr>
              <w:spacing w:line="216" w:lineRule="auto" w:after="0"/>
            </w:pPr>
            <w:r>
              <w:rPr>
                <w:sz w:val="13"/>
              </w:rPr>
              <w:t>0.073</w:t>
            </w:r>
          </w:p>
        </w:tc>
        <w:tc>
          <w:tcPr>
            <w:tcW w:type="dxa" w:w="2098"/>
            <w:vAlign w:val="center"/>
          </w:tcPr>
          <w:p>
            <w:pPr>
              <w:spacing w:line="216" w:lineRule="auto" w:after="0"/>
            </w:pPr>
            <w:r>
              <w:rPr>
                <w:sz w:val="13"/>
              </w:rPr>
              <w:t>TITAN</w:t>
            </w:r>
          </w:p>
        </w:tc>
      </w:tr>
      <w:tr>
        <w:trPr>
          <w:cantSplit/>
        </w:trPr>
        <w:tc>
          <w:tcPr>
            <w:tcW w:type="dxa" w:w="1701"/>
            <w:vAlign w:val="center"/>
          </w:tcPr>
          <w:p>
            <w:pPr>
              <w:spacing w:line="216" w:lineRule="auto" w:after="0"/>
            </w:pPr>
            <w:r>
              <w:rPr>
                <w:sz w:val="13"/>
              </w:rPr>
              <w:t>Fusion burden</w:t>
            </w:r>
          </w:p>
        </w:tc>
        <w:tc>
          <w:tcPr>
            <w:tcW w:type="dxa" w:w="2381"/>
            <w:vAlign w:val="center"/>
          </w:tcPr>
          <w:p>
            <w:pPr>
              <w:spacing w:line="216" w:lineRule="auto" w:after="0"/>
            </w:pPr>
            <w:r>
              <w:rPr>
                <w:sz w:val="13"/>
              </w:rPr>
              <w:t>LGG: Fusion burden</w:t>
            </w:r>
          </w:p>
        </w:tc>
        <w:tc>
          <w:tcPr>
            <w:tcW w:type="dxa" w:w="680"/>
            <w:vAlign w:val="center"/>
          </w:tcPr>
          <w:p>
            <w:pPr>
              <w:spacing w:line="216" w:lineRule="auto" w:after="0"/>
            </w:pPr>
            <w:r>
              <w:rPr>
                <w:sz w:val="13"/>
              </w:rPr>
              <w:t>487</w:t>
            </w:r>
          </w:p>
        </w:tc>
        <w:tc>
          <w:tcPr>
            <w:tcW w:type="dxa" w:w="1020"/>
            <w:vAlign w:val="center"/>
          </w:tcPr>
          <w:p>
            <w:pPr>
              <w:spacing w:line="216" w:lineRule="auto" w:after="0"/>
            </w:pPr>
            <w:r>
              <w:rPr>
                <w:sz w:val="13"/>
              </w:rPr>
              <w:t>0.220</w:t>
            </w:r>
          </w:p>
        </w:tc>
        <w:tc>
          <w:tcPr>
            <w:tcW w:type="dxa" w:w="1134"/>
            <w:vAlign w:val="center"/>
          </w:tcPr>
          <w:p>
            <w:pPr>
              <w:spacing w:line="216" w:lineRule="auto" w:after="0"/>
            </w:pPr>
            <w:r>
              <w:rPr>
                <w:sz w:val="13"/>
              </w:rPr>
              <w:t>0.114</w:t>
            </w:r>
          </w:p>
        </w:tc>
        <w:tc>
          <w:tcPr>
            <w:tcW w:type="dxa" w:w="1304"/>
            <w:vAlign w:val="center"/>
          </w:tcPr>
          <w:p>
            <w:pPr>
              <w:spacing w:line="216" w:lineRule="auto" w:after="0"/>
            </w:pPr>
            <w:r>
              <w:rPr>
                <w:sz w:val="13"/>
              </w:rPr>
              <w:t>0.113</w:t>
            </w:r>
          </w:p>
        </w:tc>
        <w:tc>
          <w:tcPr>
            <w:tcW w:type="dxa" w:w="2098"/>
            <w:vAlign w:val="center"/>
          </w:tcPr>
          <w:p>
            <w:pPr>
              <w:spacing w:line="216" w:lineRule="auto" w:after="0"/>
            </w:pPr>
            <w:r>
              <w:rPr>
                <w:sz w:val="13"/>
              </w:rPr>
              <w:t>TITAN</w:t>
            </w:r>
          </w:p>
        </w:tc>
      </w:tr>
      <w:tr>
        <w:trPr>
          <w:cantSplit/>
        </w:trPr>
        <w:tc>
          <w:tcPr>
            <w:tcW w:type="dxa" w:w="1701"/>
            <w:vAlign w:val="center"/>
          </w:tcPr>
          <w:p>
            <w:pPr>
              <w:spacing w:line="216" w:lineRule="auto" w:after="0"/>
            </w:pPr>
            <w:r>
              <w:rPr>
                <w:sz w:val="13"/>
              </w:rPr>
              <w:t>Aneuploidy</w:t>
            </w:r>
          </w:p>
        </w:tc>
        <w:tc>
          <w:tcPr>
            <w:tcW w:type="dxa" w:w="2381"/>
            <w:vAlign w:val="center"/>
          </w:tcPr>
          <w:p>
            <w:pPr>
              <w:spacing w:line="216" w:lineRule="auto" w:after="0"/>
            </w:pPr>
            <w:r>
              <w:rPr>
                <w:sz w:val="13"/>
              </w:rPr>
              <w:t>UCEC: Aneuploidy score</w:t>
            </w:r>
          </w:p>
        </w:tc>
        <w:tc>
          <w:tcPr>
            <w:tcW w:type="dxa" w:w="680"/>
            <w:vAlign w:val="center"/>
          </w:tcPr>
          <w:p>
            <w:pPr>
              <w:spacing w:line="216" w:lineRule="auto" w:after="0"/>
            </w:pPr>
            <w:r>
              <w:rPr>
                <w:sz w:val="13"/>
              </w:rPr>
              <w:t>476</w:t>
            </w:r>
          </w:p>
        </w:tc>
        <w:tc>
          <w:tcPr>
            <w:tcW w:type="dxa" w:w="1020"/>
            <w:vAlign w:val="center"/>
          </w:tcPr>
          <w:p>
            <w:pPr>
              <w:spacing w:line="216" w:lineRule="auto" w:after="0"/>
            </w:pPr>
            <w:r>
              <w:rPr>
                <w:sz w:val="13"/>
              </w:rPr>
              <w:t>0.319</w:t>
            </w:r>
          </w:p>
        </w:tc>
        <w:tc>
          <w:tcPr>
            <w:tcW w:type="dxa" w:w="1134"/>
            <w:vAlign w:val="center"/>
          </w:tcPr>
          <w:p>
            <w:pPr>
              <w:spacing w:line="216" w:lineRule="auto" w:after="0"/>
            </w:pPr>
            <w:r>
              <w:rPr>
                <w:sz w:val="13"/>
              </w:rPr>
              <w:t>0.156</w:t>
            </w:r>
          </w:p>
        </w:tc>
        <w:tc>
          <w:tcPr>
            <w:tcW w:type="dxa" w:w="1304"/>
            <w:vAlign w:val="center"/>
          </w:tcPr>
          <w:p>
            <w:pPr>
              <w:spacing w:line="216" w:lineRule="auto" w:after="0"/>
            </w:pPr>
            <w:r>
              <w:rPr>
                <w:sz w:val="13"/>
              </w:rPr>
              <w:t>0.239</w:t>
            </w:r>
          </w:p>
        </w:tc>
        <w:tc>
          <w:tcPr>
            <w:tcW w:type="dxa" w:w="2098"/>
            <w:vAlign w:val="center"/>
          </w:tcPr>
          <w:p>
            <w:pPr>
              <w:spacing w:line="216" w:lineRule="auto" w:after="0"/>
            </w:pPr>
            <w:r>
              <w:rPr>
                <w:sz w:val="13"/>
              </w:rPr>
              <w:t>TITAN+Prov-GigaPath</w:t>
            </w:r>
          </w:p>
        </w:tc>
      </w:tr>
    </w:tbl>
    <w:p/>
    <w:p>
      <w:r>
        <w:t>Continuous fusion burden crossed only with TITAN in UCEC and LGG. This contrasts with the broader binary any-fusion results and shows that detecting the presence of a called fusion is not equivalent to predicting the number of fusion calls.</w:t>
      </w:r>
    </w:p>
    <w:p>
      <w:pPr>
        <w:pStyle w:val="Heading1"/>
      </w:pPr>
      <w:r>
        <w:t>Table S6. Feature-family predictability across all three representation pipelines</w:t>
      </w:r>
    </w:p>
    <w:p>
      <w:r>
        <w:t>Each cell reports effect-threshold crossings divided by eligible cancer-endpoint pairs. Binary crossings use AUROC at least 0.60 and continuous crossings use Q² at least 0.20. Counts measure task-level breadth within this catalogue, not independent biological discoveries.</w:t>
      </w:r>
    </w:p>
    <w:tbl>
      <w:tblPr>
        <w:tblStyle w:val="TableGrid"/>
        <w:tblW w:type="dxa" w:w="9976"/>
        <w:jc w:val="left"/>
        <w:tblLayout w:type="fixed"/>
        <w:tblLook w:firstColumn="1" w:firstRow="1" w:lastColumn="0" w:lastRow="0" w:noHBand="0" w:noVBand="1" w:val="04A0"/>
        <w:tblLayout w:type="fixed"/>
        <w:tblInd w:type="dxa" w:w="0"/>
      </w:tblPr>
      <w:tblGrid>
        <w:gridCol w:w="964"/>
        <w:gridCol w:w="3061"/>
        <w:gridCol w:w="1020"/>
        <w:gridCol w:w="1587"/>
        <w:gridCol w:w="1587"/>
        <w:gridCol w:w="1757"/>
      </w:tblGrid>
      <w:tr>
        <w:trPr>
          <w:tblHeader w:val="true"/>
          <w:cantSplit/>
        </w:trPr>
        <w:tc>
          <w:tcPr>
            <w:tcW w:type="dxa" w:w="964"/>
          </w:tcPr>
          <w:p>
            <w:pPr>
              <w:spacing w:line="216" w:lineRule="auto" w:after="0"/>
            </w:pPr>
            <w:r>
              <w:rPr>
                <w:b/>
                <w:sz w:val="14"/>
              </w:rPr>
              <w:t>Outcome</w:t>
            </w:r>
          </w:p>
        </w:tc>
        <w:tc>
          <w:tcPr>
            <w:tcW w:type="dxa" w:w="3061"/>
          </w:tcPr>
          <w:p>
            <w:pPr>
              <w:spacing w:line="216" w:lineRule="auto" w:after="0"/>
            </w:pPr>
            <w:r>
              <w:rPr>
                <w:b/>
                <w:sz w:val="14"/>
              </w:rPr>
              <w:t>Tumour-feature family</w:t>
            </w:r>
          </w:p>
        </w:tc>
        <w:tc>
          <w:tcPr>
            <w:tcW w:type="dxa" w:w="1020"/>
          </w:tcPr>
          <w:p>
            <w:pPr>
              <w:spacing w:line="216" w:lineRule="auto" w:after="0"/>
            </w:pPr>
            <w:r>
              <w:rPr>
                <w:b/>
                <w:sz w:val="14"/>
              </w:rPr>
              <w:t>Eligible tasks</w:t>
            </w:r>
          </w:p>
        </w:tc>
        <w:tc>
          <w:tcPr>
            <w:tcW w:type="dxa" w:w="1587"/>
          </w:tcPr>
          <w:p>
            <w:pPr>
              <w:spacing w:line="216" w:lineRule="auto" w:after="0"/>
            </w:pPr>
            <w:r>
              <w:rPr>
                <w:b/>
                <w:sz w:val="14"/>
              </w:rPr>
              <w:t>TITAN</w:t>
            </w:r>
          </w:p>
        </w:tc>
        <w:tc>
          <w:tcPr>
            <w:tcW w:type="dxa" w:w="1587"/>
          </w:tcPr>
          <w:p>
            <w:pPr>
              <w:spacing w:line="216" w:lineRule="auto" w:after="0"/>
            </w:pPr>
            <w:r>
              <w:rPr>
                <w:b/>
                <w:sz w:val="14"/>
              </w:rPr>
              <w:t>Giga-SSL</w:t>
            </w:r>
          </w:p>
        </w:tc>
        <w:tc>
          <w:tcPr>
            <w:tcW w:type="dxa" w:w="1757"/>
          </w:tcPr>
          <w:p>
            <w:pPr>
              <w:spacing w:line="216" w:lineRule="auto" w:after="0"/>
            </w:pPr>
            <w:r>
              <w:rPr>
                <w:b/>
                <w:sz w:val="14"/>
              </w:rPr>
              <w:t>Prov-GigaPath</w:t>
            </w:r>
          </w:p>
        </w:tc>
      </w:tr>
      <w:tr>
        <w:trPr>
          <w:cantSplit/>
        </w:trPr>
        <w:tc>
          <w:tcPr>
            <w:tcW w:type="dxa" w:w="964"/>
            <w:vAlign w:val="center"/>
          </w:tcPr>
          <w:p>
            <w:pPr>
              <w:spacing w:line="216" w:lineRule="auto" w:after="0"/>
            </w:pPr>
            <w:r>
              <w:rPr>
                <w:sz w:val="13"/>
              </w:rPr>
              <w:t>Binary</w:t>
            </w:r>
          </w:p>
        </w:tc>
        <w:tc>
          <w:tcPr>
            <w:tcW w:type="dxa" w:w="3061"/>
            <w:vAlign w:val="center"/>
          </w:tcPr>
          <w:p>
            <w:pPr>
              <w:spacing w:line="216" w:lineRule="auto" w:after="0"/>
            </w:pPr>
            <w:r>
              <w:rPr>
                <w:sz w:val="13"/>
              </w:rPr>
              <w:t>Driver mutations</w:t>
            </w:r>
          </w:p>
        </w:tc>
        <w:tc>
          <w:tcPr>
            <w:tcW w:type="dxa" w:w="1020"/>
            <w:vAlign w:val="center"/>
          </w:tcPr>
          <w:p>
            <w:pPr>
              <w:spacing w:line="216" w:lineRule="auto" w:after="0"/>
            </w:pPr>
            <w:r>
              <w:rPr>
                <w:sz w:val="13"/>
              </w:rPr>
              <w:t>217</w:t>
            </w:r>
          </w:p>
        </w:tc>
        <w:tc>
          <w:tcPr>
            <w:tcW w:type="dxa" w:w="1587"/>
            <w:vAlign w:val="center"/>
          </w:tcPr>
          <w:p>
            <w:pPr>
              <w:spacing w:line="216" w:lineRule="auto" w:after="0"/>
            </w:pPr>
            <w:r>
              <w:rPr>
                <w:sz w:val="13"/>
              </w:rPr>
              <w:t>125/217 (57.6%)</w:t>
            </w:r>
          </w:p>
        </w:tc>
        <w:tc>
          <w:tcPr>
            <w:tcW w:type="dxa" w:w="1587"/>
            <w:vAlign w:val="center"/>
          </w:tcPr>
          <w:p>
            <w:pPr>
              <w:spacing w:line="216" w:lineRule="auto" w:after="0"/>
            </w:pPr>
            <w:r>
              <w:rPr>
                <w:sz w:val="13"/>
              </w:rPr>
              <w:t>81/217 (37.3%)</w:t>
            </w:r>
          </w:p>
        </w:tc>
        <w:tc>
          <w:tcPr>
            <w:tcW w:type="dxa" w:w="1757"/>
            <w:vAlign w:val="center"/>
          </w:tcPr>
          <w:p>
            <w:pPr>
              <w:spacing w:line="216" w:lineRule="auto" w:after="0"/>
            </w:pPr>
            <w:r>
              <w:rPr>
                <w:sz w:val="13"/>
              </w:rPr>
              <w:t>88/217 (40.6%)</w:t>
            </w:r>
          </w:p>
        </w:tc>
      </w:tr>
      <w:tr>
        <w:trPr>
          <w:cantSplit/>
        </w:trPr>
        <w:tc>
          <w:tcPr>
            <w:tcW w:type="dxa" w:w="964"/>
            <w:vAlign w:val="center"/>
          </w:tcPr>
          <w:p>
            <w:pPr>
              <w:spacing w:line="216" w:lineRule="auto" w:after="0"/>
            </w:pPr>
            <w:r>
              <w:rPr>
                <w:sz w:val="13"/>
              </w:rPr>
              <w:t>Binary</w:t>
            </w:r>
          </w:p>
        </w:tc>
        <w:tc>
          <w:tcPr>
            <w:tcW w:type="dxa" w:w="3061"/>
            <w:vAlign w:val="center"/>
          </w:tcPr>
          <w:p>
            <w:pPr>
              <w:spacing w:line="216" w:lineRule="auto" w:after="0"/>
            </w:pPr>
            <w:r>
              <w:rPr>
                <w:sz w:val="13"/>
              </w:rPr>
              <w:t>Fusion status and recurrent fusion pairs</w:t>
            </w:r>
          </w:p>
        </w:tc>
        <w:tc>
          <w:tcPr>
            <w:tcW w:type="dxa" w:w="1020"/>
            <w:vAlign w:val="center"/>
          </w:tcPr>
          <w:p>
            <w:pPr>
              <w:spacing w:line="216" w:lineRule="auto" w:after="0"/>
            </w:pPr>
            <w:r>
              <w:rPr>
                <w:sz w:val="13"/>
              </w:rPr>
              <w:t>26</w:t>
            </w:r>
          </w:p>
        </w:tc>
        <w:tc>
          <w:tcPr>
            <w:tcW w:type="dxa" w:w="1587"/>
            <w:vAlign w:val="center"/>
          </w:tcPr>
          <w:p>
            <w:pPr>
              <w:spacing w:line="216" w:lineRule="auto" w:after="0"/>
            </w:pPr>
            <w:r>
              <w:rPr>
                <w:sz w:val="13"/>
              </w:rPr>
              <w:t>12/26 (46.2%)</w:t>
            </w:r>
          </w:p>
        </w:tc>
        <w:tc>
          <w:tcPr>
            <w:tcW w:type="dxa" w:w="1587"/>
            <w:vAlign w:val="center"/>
          </w:tcPr>
          <w:p>
            <w:pPr>
              <w:spacing w:line="216" w:lineRule="auto" w:after="0"/>
            </w:pPr>
            <w:r>
              <w:rPr>
                <w:sz w:val="13"/>
              </w:rPr>
              <w:t>11/26 (42.3%)</w:t>
            </w:r>
          </w:p>
        </w:tc>
        <w:tc>
          <w:tcPr>
            <w:tcW w:type="dxa" w:w="1757"/>
            <w:vAlign w:val="center"/>
          </w:tcPr>
          <w:p>
            <w:pPr>
              <w:spacing w:line="216" w:lineRule="auto" w:after="0"/>
            </w:pPr>
            <w:r>
              <w:rPr>
                <w:sz w:val="13"/>
              </w:rPr>
              <w:t>10/26 (38.5%)</w:t>
            </w:r>
          </w:p>
        </w:tc>
      </w:tr>
      <w:tr>
        <w:trPr>
          <w:cantSplit/>
        </w:trPr>
        <w:tc>
          <w:tcPr>
            <w:tcW w:type="dxa" w:w="964"/>
            <w:vAlign w:val="center"/>
          </w:tcPr>
          <w:p>
            <w:pPr>
              <w:spacing w:line="216" w:lineRule="auto" w:after="0"/>
            </w:pPr>
            <w:r>
              <w:rPr>
                <w:sz w:val="13"/>
              </w:rPr>
              <w:t>Binary</w:t>
            </w:r>
          </w:p>
        </w:tc>
        <w:tc>
          <w:tcPr>
            <w:tcW w:type="dxa" w:w="3061"/>
            <w:vAlign w:val="center"/>
          </w:tcPr>
          <w:p>
            <w:pPr>
              <w:spacing w:line="216" w:lineRule="auto" w:after="0"/>
            </w:pPr>
            <w:r>
              <w:rPr>
                <w:sz w:val="13"/>
              </w:rPr>
              <w:t>Genome doubling</w:t>
            </w:r>
          </w:p>
        </w:tc>
        <w:tc>
          <w:tcPr>
            <w:tcW w:type="dxa" w:w="1020"/>
            <w:vAlign w:val="center"/>
          </w:tcPr>
          <w:p>
            <w:pPr>
              <w:spacing w:line="216" w:lineRule="auto" w:after="0"/>
            </w:pPr>
            <w:r>
              <w:rPr>
                <w:sz w:val="13"/>
              </w:rPr>
              <w:t>21</w:t>
            </w:r>
          </w:p>
        </w:tc>
        <w:tc>
          <w:tcPr>
            <w:tcW w:type="dxa" w:w="1587"/>
            <w:vAlign w:val="center"/>
          </w:tcPr>
          <w:p>
            <w:pPr>
              <w:spacing w:line="216" w:lineRule="auto" w:after="0"/>
            </w:pPr>
            <w:r>
              <w:rPr>
                <w:sz w:val="13"/>
              </w:rPr>
              <w:t>17/21 (81.0%)</w:t>
            </w:r>
          </w:p>
        </w:tc>
        <w:tc>
          <w:tcPr>
            <w:tcW w:type="dxa" w:w="1587"/>
            <w:vAlign w:val="center"/>
          </w:tcPr>
          <w:p>
            <w:pPr>
              <w:spacing w:line="216" w:lineRule="auto" w:after="0"/>
            </w:pPr>
            <w:r>
              <w:rPr>
                <w:sz w:val="13"/>
              </w:rPr>
              <w:t>16/21 (76.2%)</w:t>
            </w:r>
          </w:p>
        </w:tc>
        <w:tc>
          <w:tcPr>
            <w:tcW w:type="dxa" w:w="1757"/>
            <w:vAlign w:val="center"/>
          </w:tcPr>
          <w:p>
            <w:pPr>
              <w:spacing w:line="216" w:lineRule="auto" w:after="0"/>
            </w:pPr>
            <w:r>
              <w:rPr>
                <w:sz w:val="13"/>
              </w:rPr>
              <w:t>17/21 (81.0%)</w:t>
            </w:r>
          </w:p>
        </w:tc>
      </w:tr>
      <w:tr>
        <w:trPr>
          <w:cantSplit/>
        </w:trPr>
        <w:tc>
          <w:tcPr>
            <w:tcW w:type="dxa" w:w="964"/>
            <w:vAlign w:val="center"/>
          </w:tcPr>
          <w:p>
            <w:pPr>
              <w:spacing w:line="216" w:lineRule="auto" w:after="0"/>
            </w:pPr>
            <w:r>
              <w:rPr>
                <w:sz w:val="13"/>
              </w:rPr>
              <w:t>Binary</w:t>
            </w:r>
          </w:p>
        </w:tc>
        <w:tc>
          <w:tcPr>
            <w:tcW w:type="dxa" w:w="3061"/>
            <w:vAlign w:val="center"/>
          </w:tcPr>
          <w:p>
            <w:pPr>
              <w:spacing w:line="216" w:lineRule="auto" w:after="0"/>
            </w:pPr>
            <w:r>
              <w:rPr>
                <w:sz w:val="13"/>
              </w:rPr>
              <w:t>MSI-H</w:t>
            </w:r>
          </w:p>
        </w:tc>
        <w:tc>
          <w:tcPr>
            <w:tcW w:type="dxa" w:w="1020"/>
            <w:vAlign w:val="center"/>
          </w:tcPr>
          <w:p>
            <w:pPr>
              <w:spacing w:line="216" w:lineRule="auto" w:after="0"/>
            </w:pPr>
            <w:r>
              <w:rPr>
                <w:sz w:val="13"/>
              </w:rPr>
              <w:t>3</w:t>
            </w:r>
          </w:p>
        </w:tc>
        <w:tc>
          <w:tcPr>
            <w:tcW w:type="dxa" w:w="1587"/>
            <w:vAlign w:val="center"/>
          </w:tcPr>
          <w:p>
            <w:pPr>
              <w:spacing w:line="216" w:lineRule="auto" w:after="0"/>
            </w:pPr>
            <w:r>
              <w:rPr>
                <w:sz w:val="13"/>
              </w:rPr>
              <w:t>3/3 (100.0%)</w:t>
            </w:r>
          </w:p>
        </w:tc>
        <w:tc>
          <w:tcPr>
            <w:tcW w:type="dxa" w:w="1587"/>
            <w:vAlign w:val="center"/>
          </w:tcPr>
          <w:p>
            <w:pPr>
              <w:spacing w:line="216" w:lineRule="auto" w:after="0"/>
            </w:pPr>
            <w:r>
              <w:rPr>
                <w:sz w:val="13"/>
              </w:rPr>
              <w:t>3/3 (100.0%)</w:t>
            </w:r>
          </w:p>
        </w:tc>
        <w:tc>
          <w:tcPr>
            <w:tcW w:type="dxa" w:w="1757"/>
            <w:vAlign w:val="center"/>
          </w:tcPr>
          <w:p>
            <w:pPr>
              <w:spacing w:line="216" w:lineRule="auto" w:after="0"/>
            </w:pPr>
            <w:r>
              <w:rPr>
                <w:sz w:val="13"/>
              </w:rPr>
              <w:t>3/3 (100.0%)</w:t>
            </w:r>
          </w:p>
        </w:tc>
      </w:tr>
      <w:tr>
        <w:trPr>
          <w:cantSplit/>
        </w:trPr>
        <w:tc>
          <w:tcPr>
            <w:tcW w:type="dxa" w:w="964"/>
            <w:vAlign w:val="center"/>
          </w:tcPr>
          <w:p>
            <w:pPr>
              <w:spacing w:line="216" w:lineRule="auto" w:after="0"/>
            </w:pPr>
            <w:r>
              <w:rPr>
                <w:sz w:val="13"/>
              </w:rPr>
              <w:t>Binary</w:t>
            </w:r>
          </w:p>
        </w:tc>
        <w:tc>
          <w:tcPr>
            <w:tcW w:type="dxa" w:w="3061"/>
            <w:vAlign w:val="center"/>
          </w:tcPr>
          <w:p>
            <w:pPr>
              <w:spacing w:line="216" w:lineRule="auto" w:after="0"/>
            </w:pPr>
            <w:r>
              <w:rPr>
                <w:sz w:val="13"/>
              </w:rPr>
              <w:t>Strict MSI-H sensitivity</w:t>
            </w:r>
          </w:p>
        </w:tc>
        <w:tc>
          <w:tcPr>
            <w:tcW w:type="dxa" w:w="1020"/>
            <w:vAlign w:val="center"/>
          </w:tcPr>
          <w:p>
            <w:pPr>
              <w:spacing w:line="216" w:lineRule="auto" w:after="0"/>
            </w:pPr>
            <w:r>
              <w:rPr>
                <w:sz w:val="13"/>
              </w:rPr>
              <w:t>3</w:t>
            </w:r>
          </w:p>
        </w:tc>
        <w:tc>
          <w:tcPr>
            <w:tcW w:type="dxa" w:w="1587"/>
            <w:vAlign w:val="center"/>
          </w:tcPr>
          <w:p>
            <w:pPr>
              <w:spacing w:line="216" w:lineRule="auto" w:after="0"/>
            </w:pPr>
            <w:r>
              <w:rPr>
                <w:sz w:val="13"/>
              </w:rPr>
              <w:t>3/3 (100.0%)</w:t>
            </w:r>
          </w:p>
        </w:tc>
        <w:tc>
          <w:tcPr>
            <w:tcW w:type="dxa" w:w="1587"/>
            <w:vAlign w:val="center"/>
          </w:tcPr>
          <w:p>
            <w:pPr>
              <w:spacing w:line="216" w:lineRule="auto" w:after="0"/>
            </w:pPr>
            <w:r>
              <w:rPr>
                <w:sz w:val="13"/>
              </w:rPr>
              <w:t>2/3 (66.7%)</w:t>
            </w:r>
          </w:p>
        </w:tc>
        <w:tc>
          <w:tcPr>
            <w:tcW w:type="dxa" w:w="1757"/>
            <w:vAlign w:val="center"/>
          </w:tcPr>
          <w:p>
            <w:pPr>
              <w:spacing w:line="216" w:lineRule="auto" w:after="0"/>
            </w:pPr>
            <w:r>
              <w:rPr>
                <w:sz w:val="13"/>
              </w:rPr>
              <w:t>3/3 (100.0%)</w:t>
            </w:r>
          </w:p>
        </w:tc>
      </w:tr>
      <w:tr>
        <w:trPr>
          <w:cantSplit/>
        </w:trPr>
        <w:tc>
          <w:tcPr>
            <w:tcW w:type="dxa" w:w="964"/>
            <w:vAlign w:val="center"/>
          </w:tcPr>
          <w:p>
            <w:pPr>
              <w:spacing w:line="216" w:lineRule="auto" w:after="0"/>
            </w:pPr>
            <w:r>
              <w:rPr>
                <w:sz w:val="13"/>
              </w:rPr>
              <w:t>Binary</w:t>
            </w:r>
          </w:p>
        </w:tc>
        <w:tc>
          <w:tcPr>
            <w:tcW w:type="dxa" w:w="3061"/>
            <w:vAlign w:val="center"/>
          </w:tcPr>
          <w:p>
            <w:pPr>
              <w:spacing w:line="216" w:lineRule="auto" w:after="0"/>
            </w:pPr>
            <w:r>
              <w:rPr>
                <w:sz w:val="13"/>
              </w:rPr>
              <w:t>Oncogenic-pathway status</w:t>
            </w:r>
          </w:p>
        </w:tc>
        <w:tc>
          <w:tcPr>
            <w:tcW w:type="dxa" w:w="1020"/>
            <w:vAlign w:val="center"/>
          </w:tcPr>
          <w:p>
            <w:pPr>
              <w:spacing w:line="216" w:lineRule="auto" w:after="0"/>
            </w:pPr>
            <w:r>
              <w:rPr>
                <w:sz w:val="13"/>
              </w:rPr>
              <w:t>156</w:t>
            </w:r>
          </w:p>
        </w:tc>
        <w:tc>
          <w:tcPr>
            <w:tcW w:type="dxa" w:w="1587"/>
            <w:vAlign w:val="center"/>
          </w:tcPr>
          <w:p>
            <w:pPr>
              <w:spacing w:line="216" w:lineRule="auto" w:after="0"/>
            </w:pPr>
            <w:r>
              <w:rPr>
                <w:sz w:val="13"/>
              </w:rPr>
              <w:t>70/156 (44.9%)</w:t>
            </w:r>
          </w:p>
        </w:tc>
        <w:tc>
          <w:tcPr>
            <w:tcW w:type="dxa" w:w="1587"/>
            <w:vAlign w:val="center"/>
          </w:tcPr>
          <w:p>
            <w:pPr>
              <w:spacing w:line="216" w:lineRule="auto" w:after="0"/>
            </w:pPr>
            <w:r>
              <w:rPr>
                <w:sz w:val="13"/>
              </w:rPr>
              <w:t>53/156 (34.0%)</w:t>
            </w:r>
          </w:p>
        </w:tc>
        <w:tc>
          <w:tcPr>
            <w:tcW w:type="dxa" w:w="1757"/>
            <w:vAlign w:val="center"/>
          </w:tcPr>
          <w:p>
            <w:pPr>
              <w:spacing w:line="216" w:lineRule="auto" w:after="0"/>
            </w:pPr>
            <w:r>
              <w:rPr>
                <w:sz w:val="13"/>
              </w:rPr>
              <w:t>55/156 (35.3%)</w:t>
            </w:r>
          </w:p>
        </w:tc>
      </w:tr>
      <w:tr>
        <w:trPr>
          <w:cantSplit/>
        </w:trPr>
        <w:tc>
          <w:tcPr>
            <w:tcW w:type="dxa" w:w="964"/>
            <w:vAlign w:val="center"/>
          </w:tcPr>
          <w:p>
            <w:pPr>
              <w:spacing w:line="216" w:lineRule="auto" w:after="0"/>
            </w:pPr>
            <w:r>
              <w:rPr>
                <w:sz w:val="13"/>
              </w:rPr>
              <w:t>Continuous</w:t>
            </w:r>
          </w:p>
        </w:tc>
        <w:tc>
          <w:tcPr>
            <w:tcW w:type="dxa" w:w="3061"/>
            <w:vAlign w:val="center"/>
          </w:tcPr>
          <w:p>
            <w:pPr>
              <w:spacing w:line="216" w:lineRule="auto" w:after="0"/>
            </w:pPr>
            <w:r>
              <w:rPr>
                <w:sz w:val="13"/>
              </w:rPr>
              <w:t>Thorsson immune, inflammatory and context features</w:t>
            </w:r>
          </w:p>
        </w:tc>
        <w:tc>
          <w:tcPr>
            <w:tcW w:type="dxa" w:w="1020"/>
            <w:vAlign w:val="center"/>
          </w:tcPr>
          <w:p>
            <w:pPr>
              <w:spacing w:line="216" w:lineRule="auto" w:after="0"/>
            </w:pPr>
            <w:r>
              <w:rPr>
                <w:sz w:val="13"/>
              </w:rPr>
              <w:t>1339</w:t>
            </w:r>
          </w:p>
        </w:tc>
        <w:tc>
          <w:tcPr>
            <w:tcW w:type="dxa" w:w="1587"/>
            <w:vAlign w:val="center"/>
          </w:tcPr>
          <w:p>
            <w:pPr>
              <w:spacing w:line="216" w:lineRule="auto" w:after="0"/>
            </w:pPr>
            <w:r>
              <w:rPr>
                <w:sz w:val="13"/>
              </w:rPr>
              <w:t>186/1339 (13.9%)</w:t>
            </w:r>
          </w:p>
        </w:tc>
        <w:tc>
          <w:tcPr>
            <w:tcW w:type="dxa" w:w="1587"/>
            <w:vAlign w:val="center"/>
          </w:tcPr>
          <w:p>
            <w:pPr>
              <w:spacing w:line="216" w:lineRule="auto" w:after="0"/>
            </w:pPr>
            <w:r>
              <w:rPr>
                <w:sz w:val="13"/>
              </w:rPr>
              <w:t>109/1339 (8.1%)</w:t>
            </w:r>
          </w:p>
        </w:tc>
        <w:tc>
          <w:tcPr>
            <w:tcW w:type="dxa" w:w="1757"/>
            <w:vAlign w:val="center"/>
          </w:tcPr>
          <w:p>
            <w:pPr>
              <w:spacing w:line="216" w:lineRule="auto" w:after="0"/>
            </w:pPr>
            <w:r>
              <w:rPr>
                <w:sz w:val="13"/>
              </w:rPr>
              <w:t>128/1339 (9.6%)</w:t>
            </w:r>
          </w:p>
        </w:tc>
      </w:tr>
      <w:tr>
        <w:trPr>
          <w:cantSplit/>
        </w:trPr>
        <w:tc>
          <w:tcPr>
            <w:tcW w:type="dxa" w:w="964"/>
            <w:vAlign w:val="center"/>
          </w:tcPr>
          <w:p>
            <w:pPr>
              <w:spacing w:line="216" w:lineRule="auto" w:after="0"/>
            </w:pPr>
            <w:r>
              <w:rPr>
                <w:sz w:val="13"/>
              </w:rPr>
              <w:t>Continuous</w:t>
            </w:r>
          </w:p>
        </w:tc>
        <w:tc>
          <w:tcPr>
            <w:tcW w:type="dxa" w:w="3061"/>
            <w:vAlign w:val="center"/>
          </w:tcPr>
          <w:p>
            <w:pPr>
              <w:spacing w:line="216" w:lineRule="auto" w:after="0"/>
            </w:pPr>
            <w:r>
              <w:rPr>
                <w:sz w:val="13"/>
              </w:rPr>
              <w:t>Aneuploidy burdens</w:t>
            </w:r>
          </w:p>
        </w:tc>
        <w:tc>
          <w:tcPr>
            <w:tcW w:type="dxa" w:w="1020"/>
            <w:vAlign w:val="center"/>
          </w:tcPr>
          <w:p>
            <w:pPr>
              <w:spacing w:line="216" w:lineRule="auto" w:after="0"/>
            </w:pPr>
            <w:r>
              <w:rPr>
                <w:sz w:val="13"/>
              </w:rPr>
              <w:t>84</w:t>
            </w:r>
          </w:p>
        </w:tc>
        <w:tc>
          <w:tcPr>
            <w:tcW w:type="dxa" w:w="1587"/>
            <w:vAlign w:val="center"/>
          </w:tcPr>
          <w:p>
            <w:pPr>
              <w:spacing w:line="216" w:lineRule="auto" w:after="0"/>
            </w:pPr>
            <w:r>
              <w:rPr>
                <w:sz w:val="13"/>
              </w:rPr>
              <w:t>6/84 (7.1%)</w:t>
            </w:r>
          </w:p>
        </w:tc>
        <w:tc>
          <w:tcPr>
            <w:tcW w:type="dxa" w:w="1587"/>
            <w:vAlign w:val="center"/>
          </w:tcPr>
          <w:p>
            <w:pPr>
              <w:spacing w:line="216" w:lineRule="auto" w:after="0"/>
            </w:pPr>
            <w:r>
              <w:rPr>
                <w:sz w:val="13"/>
              </w:rPr>
              <w:t>3/84 (3.6%)</w:t>
            </w:r>
          </w:p>
        </w:tc>
        <w:tc>
          <w:tcPr>
            <w:tcW w:type="dxa" w:w="1757"/>
            <w:vAlign w:val="center"/>
          </w:tcPr>
          <w:p>
            <w:pPr>
              <w:spacing w:line="216" w:lineRule="auto" w:after="0"/>
            </w:pPr>
            <w:r>
              <w:rPr>
                <w:sz w:val="13"/>
              </w:rPr>
              <w:t>5/84 (6.0%)</w:t>
            </w:r>
          </w:p>
        </w:tc>
      </w:tr>
      <w:tr>
        <w:trPr>
          <w:cantSplit/>
        </w:trPr>
        <w:tc>
          <w:tcPr>
            <w:tcW w:type="dxa" w:w="964"/>
            <w:vAlign w:val="center"/>
          </w:tcPr>
          <w:p>
            <w:pPr>
              <w:spacing w:line="216" w:lineRule="auto" w:after="0"/>
            </w:pPr>
            <w:r>
              <w:rPr>
                <w:sz w:val="13"/>
              </w:rPr>
              <w:t>Continuous</w:t>
            </w:r>
          </w:p>
        </w:tc>
        <w:tc>
          <w:tcPr>
            <w:tcW w:type="dxa" w:w="3061"/>
            <w:vAlign w:val="center"/>
          </w:tcPr>
          <w:p>
            <w:pPr>
              <w:spacing w:line="216" w:lineRule="auto" w:after="0"/>
            </w:pPr>
            <w:r>
              <w:rPr>
                <w:sz w:val="13"/>
              </w:rPr>
              <w:t>Fusion burden</w:t>
            </w:r>
          </w:p>
        </w:tc>
        <w:tc>
          <w:tcPr>
            <w:tcW w:type="dxa" w:w="1020"/>
            <w:vAlign w:val="center"/>
          </w:tcPr>
          <w:p>
            <w:pPr>
              <w:spacing w:line="216" w:lineRule="auto" w:after="0"/>
            </w:pPr>
            <w:r>
              <w:rPr>
                <w:sz w:val="13"/>
              </w:rPr>
              <w:t>28</w:t>
            </w:r>
          </w:p>
        </w:tc>
        <w:tc>
          <w:tcPr>
            <w:tcW w:type="dxa" w:w="1587"/>
            <w:vAlign w:val="center"/>
          </w:tcPr>
          <w:p>
            <w:pPr>
              <w:spacing w:line="216" w:lineRule="auto" w:after="0"/>
            </w:pPr>
            <w:r>
              <w:rPr>
                <w:sz w:val="13"/>
              </w:rPr>
              <w:t>2/28 (7.1%)</w:t>
            </w:r>
          </w:p>
        </w:tc>
        <w:tc>
          <w:tcPr>
            <w:tcW w:type="dxa" w:w="1587"/>
            <w:vAlign w:val="center"/>
          </w:tcPr>
          <w:p>
            <w:pPr>
              <w:spacing w:line="216" w:lineRule="auto" w:after="0"/>
            </w:pPr>
            <w:r>
              <w:rPr>
                <w:sz w:val="13"/>
              </w:rPr>
              <w:t>0/28 (0.0%)</w:t>
            </w:r>
          </w:p>
        </w:tc>
        <w:tc>
          <w:tcPr>
            <w:tcW w:type="dxa" w:w="1757"/>
            <w:vAlign w:val="center"/>
          </w:tcPr>
          <w:p>
            <w:pPr>
              <w:spacing w:line="216" w:lineRule="auto" w:after="0"/>
            </w:pPr>
            <w:r>
              <w:rPr>
                <w:sz w:val="13"/>
              </w:rPr>
              <w:t>0/28 (0.0%)</w:t>
            </w:r>
          </w:p>
        </w:tc>
      </w:tr>
      <w:tr>
        <w:trPr>
          <w:cantSplit/>
        </w:trPr>
        <w:tc>
          <w:tcPr>
            <w:tcW w:type="dxa" w:w="964"/>
            <w:vAlign w:val="center"/>
          </w:tcPr>
          <w:p>
            <w:pPr>
              <w:spacing w:line="216" w:lineRule="auto" w:after="0"/>
            </w:pPr>
            <w:r>
              <w:rPr>
                <w:sz w:val="13"/>
              </w:rPr>
              <w:t>Continuous</w:t>
            </w:r>
          </w:p>
        </w:tc>
        <w:tc>
          <w:tcPr>
            <w:tcW w:type="dxa" w:w="3061"/>
            <w:vAlign w:val="center"/>
          </w:tcPr>
          <w:p>
            <w:pPr>
              <w:spacing w:line="216" w:lineRule="auto" w:after="0"/>
            </w:pPr>
            <w:r>
              <w:rPr>
                <w:sz w:val="13"/>
              </w:rPr>
              <w:t>MSI scores</w:t>
            </w:r>
          </w:p>
        </w:tc>
        <w:tc>
          <w:tcPr>
            <w:tcW w:type="dxa" w:w="1020"/>
            <w:vAlign w:val="center"/>
          </w:tcPr>
          <w:p>
            <w:pPr>
              <w:spacing w:line="216" w:lineRule="auto" w:after="0"/>
            </w:pPr>
            <w:r>
              <w:rPr>
                <w:sz w:val="13"/>
              </w:rPr>
              <w:t>56</w:t>
            </w:r>
          </w:p>
        </w:tc>
        <w:tc>
          <w:tcPr>
            <w:tcW w:type="dxa" w:w="1587"/>
            <w:vAlign w:val="center"/>
          </w:tcPr>
          <w:p>
            <w:pPr>
              <w:spacing w:line="216" w:lineRule="auto" w:after="0"/>
            </w:pPr>
            <w:r>
              <w:rPr>
                <w:sz w:val="13"/>
              </w:rPr>
              <w:t>2/56 (3.6%)</w:t>
            </w:r>
          </w:p>
        </w:tc>
        <w:tc>
          <w:tcPr>
            <w:tcW w:type="dxa" w:w="1587"/>
            <w:vAlign w:val="center"/>
          </w:tcPr>
          <w:p>
            <w:pPr>
              <w:spacing w:line="216" w:lineRule="auto" w:after="0"/>
            </w:pPr>
            <w:r>
              <w:rPr>
                <w:sz w:val="13"/>
              </w:rPr>
              <w:t>1/56 (1.8%)</w:t>
            </w:r>
          </w:p>
        </w:tc>
        <w:tc>
          <w:tcPr>
            <w:tcW w:type="dxa" w:w="1757"/>
            <w:vAlign w:val="center"/>
          </w:tcPr>
          <w:p>
            <w:pPr>
              <w:spacing w:line="216" w:lineRule="auto" w:after="0"/>
            </w:pPr>
            <w:r>
              <w:rPr>
                <w:sz w:val="13"/>
              </w:rPr>
              <w:t>3/56 (5.4%)</w:t>
            </w:r>
          </w:p>
        </w:tc>
      </w:tr>
      <w:tr>
        <w:trPr>
          <w:cantSplit/>
        </w:trPr>
        <w:tc>
          <w:tcPr>
            <w:tcW w:type="dxa" w:w="964"/>
            <w:vAlign w:val="center"/>
          </w:tcPr>
          <w:p>
            <w:pPr>
              <w:spacing w:line="216" w:lineRule="auto" w:after="0"/>
            </w:pPr>
            <w:r>
              <w:rPr>
                <w:sz w:val="13"/>
              </w:rPr>
              <w:t>Continuous</w:t>
            </w:r>
          </w:p>
        </w:tc>
        <w:tc>
          <w:tcPr>
            <w:tcW w:type="dxa" w:w="3061"/>
            <w:vAlign w:val="center"/>
          </w:tcPr>
          <w:p>
            <w:pPr>
              <w:spacing w:line="216" w:lineRule="auto" w:after="0"/>
            </w:pPr>
            <w:r>
              <w:rPr>
                <w:sz w:val="13"/>
              </w:rPr>
              <w:t>RNA-derived pathway activities</w:t>
            </w:r>
          </w:p>
        </w:tc>
        <w:tc>
          <w:tcPr>
            <w:tcW w:type="dxa" w:w="1020"/>
            <w:vAlign w:val="center"/>
          </w:tcPr>
          <w:p>
            <w:pPr>
              <w:spacing w:line="216" w:lineRule="auto" w:after="0"/>
            </w:pPr>
            <w:r>
              <w:rPr>
                <w:sz w:val="13"/>
              </w:rPr>
              <w:t>1456</w:t>
            </w:r>
          </w:p>
        </w:tc>
        <w:tc>
          <w:tcPr>
            <w:tcW w:type="dxa" w:w="1587"/>
            <w:vAlign w:val="center"/>
          </w:tcPr>
          <w:p>
            <w:pPr>
              <w:spacing w:line="216" w:lineRule="auto" w:after="0"/>
            </w:pPr>
            <w:r>
              <w:rPr>
                <w:sz w:val="13"/>
              </w:rPr>
              <w:t>447/1456 (30.7%)</w:t>
            </w:r>
          </w:p>
        </w:tc>
        <w:tc>
          <w:tcPr>
            <w:tcW w:type="dxa" w:w="1587"/>
            <w:vAlign w:val="center"/>
          </w:tcPr>
          <w:p>
            <w:pPr>
              <w:spacing w:line="216" w:lineRule="auto" w:after="0"/>
            </w:pPr>
            <w:r>
              <w:rPr>
                <w:sz w:val="13"/>
              </w:rPr>
              <w:t>249/1456 (17.1%)</w:t>
            </w:r>
          </w:p>
        </w:tc>
        <w:tc>
          <w:tcPr>
            <w:tcW w:type="dxa" w:w="1757"/>
            <w:vAlign w:val="center"/>
          </w:tcPr>
          <w:p>
            <w:pPr>
              <w:spacing w:line="216" w:lineRule="auto" w:after="0"/>
            </w:pPr>
            <w:r>
              <w:rPr>
                <w:sz w:val="13"/>
              </w:rPr>
              <w:t>305/1456 (20.9%)</w:t>
            </w:r>
          </w:p>
        </w:tc>
      </w:tr>
    </w:tbl>
    <w:p/>
    <w:p>
      <w:pPr>
        <w:pStyle w:val="Heading1"/>
      </w:pPr>
      <w:r>
        <w:t>Table S7. Literature context and contribution by tumour-feature class</w:t>
      </w:r>
    </w:p>
    <w:tbl>
      <w:tblPr>
        <w:tblStyle w:val="TableGrid"/>
        <w:tblW w:type="dxa" w:w="9638"/>
        <w:jc w:val="left"/>
        <w:tblLayout w:type="fixed"/>
        <w:tblLook w:firstColumn="1" w:firstRow="1" w:lastColumn="0" w:lastRow="0" w:noHBand="0" w:noVBand="1" w:val="04A0"/>
        <w:tblLayout w:type="fixed"/>
        <w:tblInd w:type="dxa" w:w="0"/>
      </w:tblPr>
      <w:tblGrid>
        <w:gridCol w:w="1814"/>
        <w:gridCol w:w="3855"/>
        <w:gridCol w:w="3969"/>
      </w:tblGrid>
      <w:tr>
        <w:trPr>
          <w:tblHeader w:val="true"/>
          <w:cantSplit/>
        </w:trPr>
        <w:tc>
          <w:tcPr>
            <w:tcW w:type="dxa" w:w="1814"/>
          </w:tcPr>
          <w:p>
            <w:pPr>
              <w:spacing w:line="228" w:lineRule="auto" w:after="0"/>
            </w:pPr>
            <w:r>
              <w:rPr>
                <w:b/>
                <w:sz w:val="14"/>
              </w:rPr>
              <w:t>Feature class</w:t>
            </w:r>
          </w:p>
        </w:tc>
        <w:tc>
          <w:tcPr>
            <w:tcW w:type="dxa" w:w="3855"/>
          </w:tcPr>
          <w:p>
            <w:pPr>
              <w:spacing w:line="228" w:lineRule="auto" w:after="0"/>
            </w:pPr>
            <w:r>
              <w:rPr>
                <w:b/>
                <w:sz w:val="14"/>
              </w:rPr>
              <w:t>Representative prior H&amp;E evidence</w:t>
            </w:r>
          </w:p>
        </w:tc>
        <w:tc>
          <w:tcPr>
            <w:tcW w:type="dxa" w:w="3969"/>
          </w:tcPr>
          <w:p>
            <w:pPr>
              <w:spacing w:line="228" w:lineRule="auto" w:after="0"/>
            </w:pPr>
            <w:r>
              <w:rPr>
                <w:b/>
                <w:sz w:val="14"/>
              </w:rPr>
              <w:t>What the present atlas contributes</w:t>
            </w:r>
          </w:p>
        </w:tc>
      </w:tr>
      <w:tr>
        <w:trPr>
          <w:cantSplit/>
        </w:trPr>
        <w:tc>
          <w:tcPr>
            <w:tcW w:type="dxa" w:w="1814"/>
            <w:vAlign w:val="center"/>
          </w:tcPr>
          <w:p>
            <w:pPr>
              <w:spacing w:line="228" w:lineRule="auto" w:after="0"/>
            </w:pPr>
            <w:r>
              <w:rPr>
                <w:sz w:val="13"/>
              </w:rPr>
              <w:t>Driver mutations</w:t>
            </w:r>
          </w:p>
        </w:tc>
        <w:tc>
          <w:tcPr>
            <w:tcW w:type="dxa" w:w="3855"/>
            <w:vAlign w:val="center"/>
          </w:tcPr>
          <w:p>
            <w:pPr>
              <w:spacing w:line="228" w:lineRule="auto" w:after="0"/>
            </w:pPr>
            <w:r>
              <w:rPr>
                <w:sz w:val="13"/>
              </w:rPr>
              <w:t>Coudray et al.; Fu et al.; Kather et al.; Loeffler et al.; Saldanha et al.; Arslan et al. [1,4-8]</w:t>
            </w:r>
          </w:p>
        </w:tc>
        <w:tc>
          <w:tcPr>
            <w:tcW w:type="dxa" w:w="3969"/>
            <w:vAlign w:val="center"/>
          </w:tcPr>
          <w:p>
            <w:pPr>
              <w:spacing w:line="228" w:lineRule="auto" w:after="0"/>
            </w:pPr>
            <w:r>
              <w:rPr>
                <w:sz w:val="13"/>
              </w:rPr>
              <w:t>Matched patient-level comparison of three released representation pipelines, negative and ineligible records, and cancer-specific reusable linear heads.</w:t>
            </w:r>
          </w:p>
        </w:tc>
      </w:tr>
      <w:tr>
        <w:trPr>
          <w:cantSplit/>
        </w:trPr>
        <w:tc>
          <w:tcPr>
            <w:tcW w:type="dxa" w:w="1814"/>
            <w:vAlign w:val="center"/>
          </w:tcPr>
          <w:p>
            <w:pPr>
              <w:spacing w:line="228" w:lineRule="auto" w:after="0"/>
            </w:pPr>
            <w:r>
              <w:rPr>
                <w:sz w:val="13"/>
              </w:rPr>
              <w:t>Gene fusions</w:t>
            </w:r>
          </w:p>
        </w:tc>
        <w:tc>
          <w:tcPr>
            <w:tcW w:type="dxa" w:w="3855"/>
            <w:vAlign w:val="center"/>
          </w:tcPr>
          <w:p>
            <w:pPr>
              <w:spacing w:line="228" w:lineRule="auto" w:after="0"/>
            </w:pPr>
            <w:r>
              <w:rPr>
                <w:sz w:val="13"/>
              </w:rPr>
              <w:t>ERG rearrangement in prostate cancer and ALK/ROS1 fusions in lung cancer were predicted previously, including external testing [12-13].</w:t>
            </w:r>
          </w:p>
        </w:tc>
        <w:tc>
          <w:tcPr>
            <w:tcW w:type="dxa" w:w="3969"/>
            <w:vAlign w:val="center"/>
          </w:tcPr>
          <w:p>
            <w:pPr>
              <w:spacing w:line="228" w:lineRule="auto" w:after="0"/>
            </w:pPr>
            <w:r>
              <w:rPr>
                <w:sz w:val="13"/>
              </w:rPr>
              <w:t>Compares any-fusion and eligible recurrent-pair tasks across cancers and representations; identifies UCEC any-fusion as the strongest shared result and separates fusion status from continuous fusion burden.</w:t>
            </w:r>
          </w:p>
        </w:tc>
      </w:tr>
      <w:tr>
        <w:trPr>
          <w:cantSplit/>
        </w:trPr>
        <w:tc>
          <w:tcPr>
            <w:tcW w:type="dxa" w:w="1814"/>
            <w:vAlign w:val="center"/>
          </w:tcPr>
          <w:p>
            <w:pPr>
              <w:spacing w:line="228" w:lineRule="auto" w:after="0"/>
            </w:pPr>
            <w:r>
              <w:rPr>
                <w:sz w:val="13"/>
              </w:rPr>
              <w:t>MSI</w:t>
            </w:r>
          </w:p>
        </w:tc>
        <w:tc>
          <w:tcPr>
            <w:tcW w:type="dxa" w:w="3855"/>
            <w:vAlign w:val="center"/>
          </w:tcPr>
          <w:p>
            <w:pPr>
              <w:spacing w:line="228" w:lineRule="auto" w:after="0"/>
            </w:pPr>
            <w:r>
              <w:rPr>
                <w:sz w:val="13"/>
              </w:rPr>
              <w:t>CRC, gastric and UCEC MSI models have strong precedent, including independent cohorts [2-3,5].</w:t>
            </w:r>
          </w:p>
        </w:tc>
        <w:tc>
          <w:tcPr>
            <w:tcW w:type="dxa" w:w="3969"/>
            <w:vAlign w:val="center"/>
          </w:tcPr>
          <w:p>
            <w:pPr>
              <w:spacing w:line="228" w:lineRule="auto" w:after="0"/>
            </w:pPr>
            <w:r>
              <w:rPr>
                <w:sz w:val="13"/>
              </w:rPr>
              <w:t>Applies common broad and strict MANTIS definitions across the matched pipelines and reports PR-AUC, prevalence and cohort-structure sensitivity.</w:t>
            </w:r>
          </w:p>
        </w:tc>
      </w:tr>
      <w:tr>
        <w:trPr>
          <w:cantSplit/>
        </w:trPr>
        <w:tc>
          <w:tcPr>
            <w:tcW w:type="dxa" w:w="1814"/>
            <w:vAlign w:val="center"/>
          </w:tcPr>
          <w:p>
            <w:pPr>
              <w:spacing w:line="228" w:lineRule="auto" w:after="0"/>
            </w:pPr>
            <w:r>
              <w:rPr>
                <w:sz w:val="13"/>
              </w:rPr>
              <w:t>Aneuploidy and genome doubling</w:t>
            </w:r>
          </w:p>
        </w:tc>
        <w:tc>
          <w:tcPr>
            <w:tcW w:type="dxa" w:w="3855"/>
            <w:vAlign w:val="center"/>
          </w:tcPr>
          <w:p>
            <w:pPr>
              <w:spacing w:line="228" w:lineRule="auto" w:after="0"/>
            </w:pPr>
            <w:r>
              <w:rPr>
                <w:sz w:val="13"/>
              </w:rPr>
              <w:t>Fu et al. linked H&amp;E features to whole-genome duplication and chromosomal aneuploidies [4].</w:t>
            </w:r>
          </w:p>
        </w:tc>
        <w:tc>
          <w:tcPr>
            <w:tcW w:type="dxa" w:w="3969"/>
            <w:vAlign w:val="center"/>
          </w:tcPr>
          <w:p>
            <w:pPr>
              <w:spacing w:line="228" w:lineRule="auto" w:after="0"/>
            </w:pPr>
            <w:r>
              <w:rPr>
                <w:sz w:val="13"/>
              </w:rPr>
              <w:t>Evaluates Taylor arm-level burdens and genome doubling with the same patient-level probe across all three representation pipelines.</w:t>
            </w:r>
          </w:p>
        </w:tc>
      </w:tr>
      <w:tr>
        <w:trPr>
          <w:cantSplit/>
        </w:trPr>
        <w:tc>
          <w:tcPr>
            <w:tcW w:type="dxa" w:w="1814"/>
            <w:vAlign w:val="center"/>
          </w:tcPr>
          <w:p>
            <w:pPr>
              <w:spacing w:line="228" w:lineRule="auto" w:after="0"/>
            </w:pPr>
            <w:r>
              <w:rPr>
                <w:sz w:val="13"/>
              </w:rPr>
              <w:t>Oncogenic pathways</w:t>
            </w:r>
          </w:p>
        </w:tc>
        <w:tc>
          <w:tcPr>
            <w:tcW w:type="dxa" w:w="3855"/>
            <w:vAlign w:val="center"/>
          </w:tcPr>
          <w:p>
            <w:pPr>
              <w:spacing w:line="228" w:lineRule="auto" w:after="0"/>
            </w:pPr>
            <w:r>
              <w:rPr>
                <w:sz w:val="13"/>
              </w:rPr>
              <w:t>Loeffler et al. compared gene and pathway alterations; HE2RNA linked histology to transcriptomic pathways [6,9].</w:t>
            </w:r>
          </w:p>
        </w:tc>
        <w:tc>
          <w:tcPr>
            <w:tcW w:type="dxa" w:w="3969"/>
            <w:vAlign w:val="center"/>
          </w:tcPr>
          <w:p>
            <w:pPr>
              <w:spacing w:line="228" w:lineRule="auto" w:after="0"/>
            </w:pPr>
            <w:r>
              <w:rPr>
                <w:sz w:val="13"/>
              </w:rPr>
              <w:t>Screens the same ten Sanchez-Vega pathway states across eligible cancers and all three representations.</w:t>
            </w:r>
          </w:p>
        </w:tc>
      </w:tr>
      <w:tr>
        <w:trPr>
          <w:cantSplit/>
        </w:trPr>
        <w:tc>
          <w:tcPr>
            <w:tcW w:type="dxa" w:w="1814"/>
            <w:vAlign w:val="center"/>
          </w:tcPr>
          <w:p>
            <w:pPr>
              <w:spacing w:line="228" w:lineRule="auto" w:after="0"/>
            </w:pPr>
            <w:r>
              <w:rPr>
                <w:sz w:val="13"/>
              </w:rPr>
              <w:t>Immune and inflammatory phenotypes</w:t>
            </w:r>
          </w:p>
        </w:tc>
        <w:tc>
          <w:tcPr>
            <w:tcW w:type="dxa" w:w="3855"/>
            <w:vAlign w:val="center"/>
          </w:tcPr>
          <w:p>
            <w:pPr>
              <w:spacing w:line="228" w:lineRule="auto" w:after="0"/>
            </w:pPr>
            <w:r>
              <w:rPr>
                <w:sz w:val="13"/>
              </w:rPr>
              <w:t>Fu et al., HE2RNA, regression-based biomarker modelling and HistoTME predicted tumour composition, expression or microenvironment phenotypes [4,9-10,15].</w:t>
            </w:r>
          </w:p>
        </w:tc>
        <w:tc>
          <w:tcPr>
            <w:tcW w:type="dxa" w:w="3969"/>
            <w:vAlign w:val="center"/>
          </w:tcPr>
          <w:p>
            <w:pPr>
              <w:spacing w:line="228" w:lineRule="auto" w:after="0"/>
            </w:pPr>
            <w:r>
              <w:rPr>
                <w:sz w:val="13"/>
              </w:rPr>
              <w:t>Evaluates one documented panel of inferred fractions, RNA signatures, repertoire measures and composite tissue-context scores across 32 cancers while preserving their reference-label provenance.</w:t>
            </w:r>
          </w:p>
        </w:tc>
      </w:tr>
      <w:tr>
        <w:trPr>
          <w:cantSplit/>
        </w:trPr>
        <w:tc>
          <w:tcPr>
            <w:tcW w:type="dxa" w:w="1814"/>
            <w:vAlign w:val="center"/>
          </w:tcPr>
          <w:p>
            <w:pPr>
              <w:spacing w:line="228" w:lineRule="auto" w:after="0"/>
            </w:pPr>
            <w:r>
              <w:rPr>
                <w:sz w:val="13"/>
              </w:rPr>
              <w:t>Broad multi-omic screening</w:t>
            </w:r>
          </w:p>
        </w:tc>
        <w:tc>
          <w:tcPr>
            <w:tcW w:type="dxa" w:w="3855"/>
            <w:vAlign w:val="center"/>
          </w:tcPr>
          <w:p>
            <w:pPr>
              <w:spacing w:line="228" w:lineRule="auto" w:after="0"/>
            </w:pPr>
            <w:r>
              <w:rPr>
                <w:sz w:val="13"/>
              </w:rPr>
              <w:t>Arslan et al. trained 12,093 models for 4,031 biomarkers across the same 32 TCGA cancers [8].</w:t>
            </w:r>
          </w:p>
        </w:tc>
        <w:tc>
          <w:tcPr>
            <w:tcW w:type="dxa" w:w="3969"/>
            <w:vAlign w:val="center"/>
          </w:tcPr>
          <w:p>
            <w:pPr>
              <w:spacing w:line="228" w:lineRule="auto" w:after="0"/>
            </w:pPr>
            <w:r>
              <w:rPr>
                <w:sz w:val="13"/>
              </w:rPr>
              <w:t>Adds a matched three-representation comparison, deterministic patient-level slide pooling, explicit tested-negative outputs and representation-specific linear model records.</w:t>
            </w:r>
          </w:p>
        </w:tc>
      </w:tr>
    </w:tbl>
    <w:p/>
    <w:p>
      <w:r>
        <w:t>The literature establishes precedent for every broad feature class. The contribution of this study lies primarily in the common three-pipeline, patient-level atlas and its reusable model records. Some exact cancer-feature combinations, including UCEC and LGG fusion burden, appear less commonly studied, but we do not claim endpoint novelty without a dedicated systematic review.</w:t>
      </w:r>
    </w:p>
    <w:p>
      <w:pPr>
        <w:pStyle w:val="Heading1"/>
      </w:pPr>
      <w:r>
        <w:t>Table S8. Statistical and robustness audit summary</w:t>
      </w:r>
    </w:p>
    <w:tbl>
      <w:tblPr>
        <w:tblStyle w:val="TableGrid"/>
        <w:tblW w:type="dxa" w:w="9411"/>
        <w:jc w:val="left"/>
        <w:tblLayout w:type="fixed"/>
        <w:tblLook w:firstColumn="1" w:firstRow="1" w:lastColumn="0" w:lastRow="0" w:noHBand="0" w:noVBand="1" w:val="04A0"/>
        <w:tblLayout w:type="fixed"/>
        <w:tblInd w:type="dxa" w:w="0"/>
      </w:tblPr>
      <w:tblGrid>
        <w:gridCol w:w="1814"/>
        <w:gridCol w:w="1701"/>
        <w:gridCol w:w="3515"/>
        <w:gridCol w:w="2381"/>
      </w:tblGrid>
      <w:tr>
        <w:trPr>
          <w:tblHeader w:val="true"/>
          <w:cantSplit/>
        </w:trPr>
        <w:tc>
          <w:tcPr>
            <w:tcW w:type="dxa" w:w="1814"/>
          </w:tcPr>
          <w:p>
            <w:pPr>
              <w:spacing w:line="240" w:lineRule="auto" w:after="0"/>
            </w:pPr>
            <w:r>
              <w:rPr>
                <w:b/>
                <w:sz w:val="14"/>
              </w:rPr>
              <w:t>Audit</w:t>
            </w:r>
          </w:p>
        </w:tc>
        <w:tc>
          <w:tcPr>
            <w:tcW w:type="dxa" w:w="1701"/>
          </w:tcPr>
          <w:p>
            <w:pPr>
              <w:spacing w:line="240" w:lineRule="auto" w:after="0"/>
            </w:pPr>
            <w:r>
              <w:rPr>
                <w:b/>
                <w:sz w:val="14"/>
              </w:rPr>
              <w:t>Scope</w:t>
            </w:r>
          </w:p>
        </w:tc>
        <w:tc>
          <w:tcPr>
            <w:tcW w:type="dxa" w:w="3515"/>
          </w:tcPr>
          <w:p>
            <w:pPr>
              <w:spacing w:line="240" w:lineRule="auto" w:after="0"/>
            </w:pPr>
            <w:r>
              <w:rPr>
                <w:b/>
                <w:sz w:val="14"/>
              </w:rPr>
              <w:t>Principal result</w:t>
            </w:r>
          </w:p>
        </w:tc>
        <w:tc>
          <w:tcPr>
            <w:tcW w:type="dxa" w:w="2381"/>
          </w:tcPr>
          <w:p>
            <w:pPr>
              <w:spacing w:line="240" w:lineRule="auto" w:after="0"/>
            </w:pPr>
            <w:r>
              <w:rPr>
                <w:b/>
                <w:sz w:val="14"/>
              </w:rPr>
              <w:t>Complete companion</w:t>
            </w:r>
          </w:p>
        </w:tc>
      </w:tr>
      <w:tr>
        <w:trPr>
          <w:cantSplit/>
        </w:trPr>
        <w:tc>
          <w:tcPr>
            <w:tcW w:type="dxa" w:w="1814"/>
            <w:vAlign w:val="center"/>
          </w:tcPr>
          <w:p>
            <w:pPr>
              <w:spacing w:line="240" w:lineRule="auto" w:after="0"/>
            </w:pPr>
            <w:r>
              <w:rPr>
                <w:sz w:val="14"/>
              </w:rPr>
              <w:t>Permutation and multiplicity</w:t>
            </w:r>
          </w:p>
        </w:tc>
        <w:tc>
          <w:tcPr>
            <w:tcW w:type="dxa" w:w="1701"/>
            <w:vAlign w:val="center"/>
          </w:tcPr>
          <w:p>
            <w:pPr>
              <w:spacing w:line="240" w:lineRule="auto" w:after="0"/>
            </w:pPr>
            <w:r>
              <w:rPr>
                <w:sz w:val="14"/>
              </w:rPr>
              <w:t>3,633 eligible TITAN tasks</w:t>
            </w:r>
          </w:p>
        </w:tc>
        <w:tc>
          <w:tcPr>
            <w:tcW w:type="dxa" w:w="3515"/>
            <w:vAlign w:val="center"/>
          </w:tcPr>
          <w:p>
            <w:pPr>
              <w:spacing w:line="240" w:lineRule="auto" w:after="0"/>
            </w:pPr>
            <w:r>
              <w:rPr>
                <w:sz w:val="14"/>
              </w:rPr>
              <w:t>864/3633 passed the single atlas-wide BH sensitivity</w:t>
            </w:r>
          </w:p>
        </w:tc>
        <w:tc>
          <w:tcPr>
            <w:tcW w:type="dxa" w:w="2381"/>
            <w:vAlign w:val="center"/>
          </w:tcPr>
          <w:p>
            <w:pPr>
              <w:spacing w:line="240" w:lineRule="auto" w:after="0"/>
            </w:pPr>
            <w:r>
              <w:rPr>
                <w:sz w:val="14"/>
              </w:rPr>
              <w:t>multiplicity_denominator_audit.csv</w:t>
            </w:r>
          </w:p>
        </w:tc>
      </w:tr>
      <w:tr>
        <w:trPr>
          <w:cantSplit/>
        </w:trPr>
        <w:tc>
          <w:tcPr>
            <w:tcW w:type="dxa" w:w="1814"/>
            <w:vAlign w:val="center"/>
          </w:tcPr>
          <w:p>
            <w:pPr>
              <w:spacing w:line="240" w:lineRule="auto" w:after="0"/>
            </w:pPr>
            <w:r>
              <w:rPr>
                <w:sz w:val="14"/>
              </w:rPr>
              <w:t>Tissue-source-site-code grouping</w:t>
            </w:r>
          </w:p>
        </w:tc>
        <w:tc>
          <w:tcPr>
            <w:tcW w:type="dxa" w:w="1701"/>
            <w:vAlign w:val="center"/>
          </w:tcPr>
          <w:p>
            <w:pPr>
              <w:spacing w:line="240" w:lineRule="auto" w:after="0"/>
            </w:pPr>
            <w:r>
              <w:rPr>
                <w:sz w:val="14"/>
              </w:rPr>
              <w:t>869 TITAN candidates</w:t>
            </w:r>
          </w:p>
        </w:tc>
        <w:tc>
          <w:tcPr>
            <w:tcW w:type="dxa" w:w="3515"/>
            <w:vAlign w:val="center"/>
          </w:tcPr>
          <w:p>
            <w:pPr>
              <w:spacing w:line="240" w:lineRule="auto" w:after="0"/>
            </w:pPr>
            <w:r>
              <w:rPr>
                <w:sz w:val="14"/>
              </w:rPr>
              <w:t>210 fell below the original effect threshold</w:t>
            </w:r>
          </w:p>
        </w:tc>
        <w:tc>
          <w:tcPr>
            <w:tcW w:type="dxa" w:w="2381"/>
            <w:vAlign w:val="center"/>
          </w:tcPr>
          <w:p>
            <w:pPr>
              <w:spacing w:line="240" w:lineRule="auto" w:after="0"/>
            </w:pPr>
            <w:r>
              <w:rPr>
                <w:sz w:val="14"/>
              </w:rPr>
              <w:t>site_grouped_models_below_effect_threshold.csv</w:t>
            </w:r>
          </w:p>
        </w:tc>
      </w:tr>
      <w:tr>
        <w:trPr>
          <w:cantSplit/>
        </w:trPr>
        <w:tc>
          <w:tcPr>
            <w:tcW w:type="dxa" w:w="1814"/>
            <w:vAlign w:val="center"/>
          </w:tcPr>
          <w:p>
            <w:pPr>
              <w:spacing w:line="240" w:lineRule="auto" w:after="0"/>
            </w:pPr>
            <w:r>
              <w:rPr>
                <w:sz w:val="14"/>
              </w:rPr>
              <w:t>Binary class size</w:t>
            </w:r>
          </w:p>
        </w:tc>
        <w:tc>
          <w:tcPr>
            <w:tcW w:type="dxa" w:w="1701"/>
            <w:vAlign w:val="center"/>
          </w:tcPr>
          <w:p>
            <w:pPr>
              <w:spacing w:line="240" w:lineRule="auto" w:after="0"/>
            </w:pPr>
            <w:r>
              <w:rPr>
                <w:sz w:val="14"/>
              </w:rPr>
              <w:t>99 TITAN candidates</w:t>
            </w:r>
          </w:p>
        </w:tc>
        <w:tc>
          <w:tcPr>
            <w:tcW w:type="dxa" w:w="3515"/>
            <w:vAlign w:val="center"/>
          </w:tcPr>
          <w:p>
            <w:pPr>
              <w:spacing w:line="240" w:lineRule="auto" w:after="0"/>
            </w:pPr>
            <w:r>
              <w:rPr>
                <w:sz w:val="14"/>
              </w:rPr>
              <w:t>19 had fewer than 50 patients in one class</w:t>
            </w:r>
          </w:p>
        </w:tc>
        <w:tc>
          <w:tcPr>
            <w:tcW w:type="dxa" w:w="2381"/>
            <w:vAlign w:val="center"/>
          </w:tcPr>
          <w:p>
            <w:pPr>
              <w:spacing w:line="240" w:lineRule="auto" w:after="0"/>
            </w:pPr>
            <w:r>
              <w:rPr>
                <w:sz w:val="14"/>
              </w:rPr>
              <w:t>binary_class_reliability_summary.csv</w:t>
            </w:r>
          </w:p>
        </w:tc>
      </w:tr>
      <w:tr>
        <w:trPr>
          <w:cantSplit/>
        </w:trPr>
        <w:tc>
          <w:tcPr>
            <w:tcW w:type="dxa" w:w="1814"/>
            <w:vAlign w:val="center"/>
          </w:tcPr>
          <w:p>
            <w:pPr>
              <w:spacing w:line="240" w:lineRule="auto" w:after="0"/>
            </w:pPr>
            <w:r>
              <w:rPr>
                <w:sz w:val="14"/>
              </w:rPr>
              <w:t>Continuous sample size</w:t>
            </w:r>
          </w:p>
        </w:tc>
        <w:tc>
          <w:tcPr>
            <w:tcW w:type="dxa" w:w="1701"/>
            <w:vAlign w:val="center"/>
          </w:tcPr>
          <w:p>
            <w:pPr>
              <w:spacing w:line="240" w:lineRule="auto" w:after="0"/>
            </w:pPr>
            <w:r>
              <w:rPr>
                <w:sz w:val="14"/>
              </w:rPr>
              <w:t>770 TITAN candidates</w:t>
            </w:r>
          </w:p>
        </w:tc>
        <w:tc>
          <w:tcPr>
            <w:tcW w:type="dxa" w:w="3515"/>
            <w:vAlign w:val="center"/>
          </w:tcPr>
          <w:p>
            <w:pPr>
              <w:spacing w:line="240" w:lineRule="auto" w:after="0"/>
            </w:pPr>
            <w:r>
              <w:rPr>
                <w:sz w:val="14"/>
              </w:rPr>
              <w:t>91 had fewer than 100 labelled patients</w:t>
            </w:r>
          </w:p>
        </w:tc>
        <w:tc>
          <w:tcPr>
            <w:tcW w:type="dxa" w:w="2381"/>
            <w:vAlign w:val="center"/>
          </w:tcPr>
          <w:p>
            <w:pPr>
              <w:spacing w:line="240" w:lineRule="auto" w:after="0"/>
            </w:pPr>
            <w:r>
              <w:rPr>
                <w:sz w:val="14"/>
              </w:rPr>
              <w:t>continuous_reliability_by_model.csv</w:t>
            </w:r>
          </w:p>
        </w:tc>
      </w:tr>
      <w:tr>
        <w:trPr>
          <w:cantSplit/>
        </w:trPr>
        <w:tc>
          <w:tcPr>
            <w:tcW w:type="dxa" w:w="1814"/>
            <w:vAlign w:val="center"/>
          </w:tcPr>
          <w:p>
            <w:pPr>
              <w:spacing w:line="240" w:lineRule="auto" w:after="0"/>
            </w:pPr>
            <w:r>
              <w:rPr>
                <w:sz w:val="14"/>
              </w:rPr>
              <w:t>PLS versus ridge</w:t>
            </w:r>
          </w:p>
        </w:tc>
        <w:tc>
          <w:tcPr>
            <w:tcW w:type="dxa" w:w="1701"/>
            <w:vAlign w:val="center"/>
          </w:tcPr>
          <w:p>
            <w:pPr>
              <w:spacing w:line="240" w:lineRule="auto" w:after="0"/>
            </w:pPr>
            <w:r>
              <w:rPr>
                <w:sz w:val="14"/>
              </w:rPr>
              <w:t>50 metadata-selected targets</w:t>
            </w:r>
          </w:p>
        </w:tc>
        <w:tc>
          <w:tcPr>
            <w:tcW w:type="dxa" w:w="3515"/>
            <w:vAlign w:val="center"/>
          </w:tcPr>
          <w:p>
            <w:pPr>
              <w:spacing w:line="240" w:lineRule="auto" w:after="0"/>
            </w:pPr>
            <w:r>
              <w:rPr>
                <w:sz w:val="14"/>
              </w:rPr>
              <w:t>Ridge favoured 18, PLS favoured 3, uncertain 29</w:t>
            </w:r>
          </w:p>
        </w:tc>
        <w:tc>
          <w:tcPr>
            <w:tcW w:type="dxa" w:w="2381"/>
            <w:vAlign w:val="center"/>
          </w:tcPr>
          <w:p>
            <w:pPr>
              <w:spacing w:line="240" w:lineRule="auto" w:after="0"/>
            </w:pPr>
            <w:r>
              <w:rPr>
                <w:sz w:val="14"/>
              </w:rPr>
              <w:t>pls_vs_ridge_representative_models.csv</w:t>
            </w:r>
          </w:p>
        </w:tc>
      </w:tr>
      <w:tr>
        <w:trPr>
          <w:cantSplit/>
        </w:trPr>
        <w:tc>
          <w:tcPr>
            <w:tcW w:type="dxa" w:w="1814"/>
            <w:vAlign w:val="center"/>
          </w:tcPr>
          <w:p>
            <w:pPr>
              <w:spacing w:line="240" w:lineRule="auto" w:after="0"/>
            </w:pPr>
            <w:r>
              <w:rPr>
                <w:sz w:val="14"/>
              </w:rPr>
              <w:t>Median versus mean pooling</w:t>
            </w:r>
          </w:p>
        </w:tc>
        <w:tc>
          <w:tcPr>
            <w:tcW w:type="dxa" w:w="1701"/>
            <w:vAlign w:val="center"/>
          </w:tcPr>
          <w:p>
            <w:pPr>
              <w:spacing w:line="240" w:lineRule="auto" w:after="0"/>
            </w:pPr>
            <w:r>
              <w:rPr>
                <w:sz w:val="14"/>
              </w:rPr>
              <w:t>869 TITAN models</w:t>
            </w:r>
          </w:p>
        </w:tc>
        <w:tc>
          <w:tcPr>
            <w:tcW w:type="dxa" w:w="3515"/>
            <w:vAlign w:val="center"/>
          </w:tcPr>
          <w:p>
            <w:pPr>
              <w:spacing w:line="240" w:lineRule="auto" w:after="0"/>
            </w:pPr>
            <w:r>
              <w:rPr>
                <w:sz w:val="14"/>
              </w:rPr>
              <w:t>Small median changes with outcome-specific rank concordance reported</w:t>
            </w:r>
          </w:p>
        </w:tc>
        <w:tc>
          <w:tcPr>
            <w:tcW w:type="dxa" w:w="2381"/>
            <w:vAlign w:val="center"/>
          </w:tcPr>
          <w:p>
            <w:pPr>
              <w:spacing w:line="240" w:lineRule="auto" w:after="0"/>
            </w:pPr>
            <w:r>
              <w:rPr>
                <w:sz w:val="14"/>
              </w:rPr>
              <w:t>median_pooling_sensitivity_summary.csv</w:t>
            </w:r>
          </w:p>
        </w:tc>
      </w:tr>
    </w:tbl>
    <w:p/>
    <w:p>
      <w:r>
        <w:t>The AUROC-centred binary and operating-rule sensitivity is summarised in text rather than a separate small table. TITAN: 230 AUROC crossings, median AUROC 0.615 and median PR-AUC 0.273; Giga-SSL: 166 AUROC crossings, median AUROC 0.576 and median PR-AUC 0.254; Prov-GigaPath: 176 AUROC crossings, median AUROC 0.583 and median PR-AUC 0.260. Complete empirical-prior, equal-prior, training-threshold and fold-level threshold records remain machine readable.</w:t>
      </w:r>
    </w:p>
    <w:p>
      <w:pPr>
        <w:pStyle w:val="Heading1"/>
      </w:pPr>
      <w:r>
        <w:t>Table S9. Endpoint provenance, derivation and assay equivalence</w:t>
      </w:r>
    </w:p>
    <w:tbl>
      <w:tblPr>
        <w:tblStyle w:val="TableGrid"/>
        <w:tblW w:type="dxa" w:w="9638"/>
        <w:jc w:val="left"/>
        <w:tblLayout w:type="fixed"/>
        <w:tblLook w:firstColumn="1" w:firstRow="1" w:lastColumn="0" w:lastRow="0" w:noHBand="0" w:noVBand="1" w:val="04A0"/>
        <w:tblLayout w:type="fixed"/>
        <w:tblInd w:type="dxa" w:w="0"/>
      </w:tblPr>
      <w:tblGrid>
        <w:gridCol w:w="4535"/>
        <w:gridCol w:w="1701"/>
        <w:gridCol w:w="1701"/>
        <w:gridCol w:w="1701"/>
      </w:tblGrid>
      <w:tr>
        <w:trPr>
          <w:tblHeader w:val="true"/>
          <w:cantSplit/>
        </w:trPr>
        <w:tc>
          <w:tcPr>
            <w:tcW w:type="dxa" w:w="4535"/>
          </w:tcPr>
          <w:p>
            <w:pPr>
              <w:spacing w:line="240" w:lineRule="auto" w:after="0"/>
            </w:pPr>
            <w:r>
              <w:rPr>
                <w:b/>
                <w:sz w:val="14"/>
              </w:rPr>
              <w:t>Measurement class</w:t>
            </w:r>
          </w:p>
        </w:tc>
        <w:tc>
          <w:tcPr>
            <w:tcW w:type="dxa" w:w="1701"/>
          </w:tcPr>
          <w:p>
            <w:pPr>
              <w:spacing w:line="240" w:lineRule="auto" w:after="0"/>
            </w:pPr>
            <w:r>
              <w:rPr>
                <w:b/>
                <w:sz w:val="14"/>
              </w:rPr>
              <w:t>Cancer-endpoint tests</w:t>
            </w:r>
          </w:p>
        </w:tc>
        <w:tc>
          <w:tcPr>
            <w:tcW w:type="dxa" w:w="1701"/>
          </w:tcPr>
          <w:p>
            <w:pPr>
              <w:spacing w:line="240" w:lineRule="auto" w:after="0"/>
            </w:pPr>
            <w:r>
              <w:rPr>
                <w:b/>
                <w:sz w:val="14"/>
              </w:rPr>
              <w:t>Unique definitions</w:t>
            </w:r>
          </w:p>
        </w:tc>
        <w:tc>
          <w:tcPr>
            <w:tcW w:type="dxa" w:w="1701"/>
          </w:tcPr>
          <w:p>
            <w:pPr>
              <w:spacing w:line="240" w:lineRule="auto" w:after="0"/>
            </w:pPr>
            <w:r>
              <w:rPr>
                <w:b/>
                <w:sz w:val="14"/>
              </w:rPr>
              <w:t>Same-H&amp;E tests</w:t>
            </w:r>
          </w:p>
        </w:tc>
      </w:tr>
      <w:tr>
        <w:trPr>
          <w:cantSplit/>
        </w:trPr>
        <w:tc>
          <w:tcPr>
            <w:tcW w:type="dxa" w:w="4535"/>
            <w:vAlign w:val="center"/>
          </w:tcPr>
          <w:p>
            <w:pPr>
              <w:spacing w:line="240" w:lineRule="auto" w:after="0"/>
            </w:pPr>
            <w:r>
              <w:rPr>
                <w:sz w:val="14"/>
              </w:rPr>
              <w:t>directly observed genomic alteration</w:t>
            </w:r>
          </w:p>
        </w:tc>
        <w:tc>
          <w:tcPr>
            <w:tcW w:type="dxa" w:w="1701"/>
            <w:vAlign w:val="center"/>
          </w:tcPr>
          <w:p>
            <w:pPr>
              <w:spacing w:line="240" w:lineRule="auto" w:after="0"/>
            </w:pPr>
            <w:r>
              <w:rPr>
                <w:sz w:val="14"/>
              </w:rPr>
              <w:t>265</w:t>
            </w:r>
          </w:p>
        </w:tc>
        <w:tc>
          <w:tcPr>
            <w:tcW w:type="dxa" w:w="1701"/>
            <w:vAlign w:val="center"/>
          </w:tcPr>
          <w:p>
            <w:pPr>
              <w:spacing w:line="240" w:lineRule="auto" w:after="0"/>
            </w:pPr>
            <w:r>
              <w:rPr>
                <w:sz w:val="14"/>
              </w:rPr>
              <w:t>125</w:t>
            </w:r>
          </w:p>
        </w:tc>
        <w:tc>
          <w:tcPr>
            <w:tcW w:type="dxa" w:w="1701"/>
            <w:vAlign w:val="center"/>
          </w:tcPr>
          <w:p>
            <w:pPr>
              <w:spacing w:line="240" w:lineRule="auto" w:after="0"/>
            </w:pPr>
            <w:r>
              <w:rPr>
                <w:sz w:val="14"/>
              </w:rPr>
              <w:t>0</w:t>
            </w:r>
          </w:p>
        </w:tc>
      </w:tr>
      <w:tr>
        <w:trPr>
          <w:cantSplit/>
        </w:trPr>
        <w:tc>
          <w:tcPr>
            <w:tcW w:type="dxa" w:w="4535"/>
            <w:vAlign w:val="center"/>
          </w:tcPr>
          <w:p>
            <w:pPr>
              <w:spacing w:line="240" w:lineRule="auto" w:after="0"/>
            </w:pPr>
            <w:r>
              <w:rPr>
                <w:sz w:val="14"/>
              </w:rPr>
              <w:t>sequencing-derived continuous burden</w:t>
            </w:r>
          </w:p>
        </w:tc>
        <w:tc>
          <w:tcPr>
            <w:tcW w:type="dxa" w:w="1701"/>
            <w:vAlign w:val="center"/>
          </w:tcPr>
          <w:p>
            <w:pPr>
              <w:spacing w:line="240" w:lineRule="auto" w:after="0"/>
            </w:pPr>
            <w:r>
              <w:rPr>
                <w:sz w:val="14"/>
              </w:rPr>
              <w:t>439</w:t>
            </w:r>
          </w:p>
        </w:tc>
        <w:tc>
          <w:tcPr>
            <w:tcW w:type="dxa" w:w="1701"/>
            <w:vAlign w:val="center"/>
          </w:tcPr>
          <w:p>
            <w:pPr>
              <w:spacing w:line="240" w:lineRule="auto" w:after="0"/>
            </w:pPr>
            <w:r>
              <w:rPr>
                <w:sz w:val="14"/>
              </w:rPr>
              <w:t>16</w:t>
            </w:r>
          </w:p>
        </w:tc>
        <w:tc>
          <w:tcPr>
            <w:tcW w:type="dxa" w:w="1701"/>
            <w:vAlign w:val="center"/>
          </w:tcPr>
          <w:p>
            <w:pPr>
              <w:spacing w:line="240" w:lineRule="auto" w:after="0"/>
            </w:pPr>
            <w:r>
              <w:rPr>
                <w:sz w:val="14"/>
              </w:rPr>
              <w:t>0</w:t>
            </w:r>
          </w:p>
        </w:tc>
      </w:tr>
      <w:tr>
        <w:trPr>
          <w:cantSplit/>
        </w:trPr>
        <w:tc>
          <w:tcPr>
            <w:tcW w:type="dxa" w:w="4535"/>
            <w:vAlign w:val="center"/>
          </w:tcPr>
          <w:p>
            <w:pPr>
              <w:spacing w:line="240" w:lineRule="auto" w:after="0"/>
            </w:pPr>
            <w:r>
              <w:rPr>
                <w:sz w:val="14"/>
              </w:rPr>
              <w:t>computationally inferred immune-cell fraction</w:t>
            </w:r>
          </w:p>
        </w:tc>
        <w:tc>
          <w:tcPr>
            <w:tcW w:type="dxa" w:w="1701"/>
            <w:vAlign w:val="center"/>
          </w:tcPr>
          <w:p>
            <w:pPr>
              <w:spacing w:line="240" w:lineRule="auto" w:after="0"/>
            </w:pPr>
            <w:r>
              <w:rPr>
                <w:sz w:val="14"/>
              </w:rPr>
              <w:t>685</w:t>
            </w:r>
          </w:p>
        </w:tc>
        <w:tc>
          <w:tcPr>
            <w:tcW w:type="dxa" w:w="1701"/>
            <w:vAlign w:val="center"/>
          </w:tcPr>
          <w:p>
            <w:pPr>
              <w:spacing w:line="240" w:lineRule="auto" w:after="0"/>
            </w:pPr>
            <w:r>
              <w:rPr>
                <w:sz w:val="14"/>
              </w:rPr>
              <w:t>23</w:t>
            </w:r>
          </w:p>
        </w:tc>
        <w:tc>
          <w:tcPr>
            <w:tcW w:type="dxa" w:w="1701"/>
            <w:vAlign w:val="center"/>
          </w:tcPr>
          <w:p>
            <w:pPr>
              <w:spacing w:line="240" w:lineRule="auto" w:after="0"/>
            </w:pPr>
            <w:r>
              <w:rPr>
                <w:sz w:val="14"/>
              </w:rPr>
              <w:t>0</w:t>
            </w:r>
          </w:p>
        </w:tc>
      </w:tr>
      <w:tr>
        <w:trPr>
          <w:cantSplit/>
        </w:trPr>
        <w:tc>
          <w:tcPr>
            <w:tcW w:type="dxa" w:w="4535"/>
            <w:vAlign w:val="center"/>
          </w:tcPr>
          <w:p>
            <w:pPr>
              <w:spacing w:line="240" w:lineRule="auto" w:after="0"/>
            </w:pPr>
            <w:r>
              <w:rPr>
                <w:sz w:val="14"/>
              </w:rPr>
              <w:t>transcriptomic signature</w:t>
            </w:r>
          </w:p>
        </w:tc>
        <w:tc>
          <w:tcPr>
            <w:tcW w:type="dxa" w:w="1701"/>
            <w:vAlign w:val="center"/>
          </w:tcPr>
          <w:p>
            <w:pPr>
              <w:spacing w:line="240" w:lineRule="auto" w:after="0"/>
            </w:pPr>
            <w:r>
              <w:rPr>
                <w:sz w:val="14"/>
              </w:rPr>
              <w:t>299</w:t>
            </w:r>
          </w:p>
        </w:tc>
        <w:tc>
          <w:tcPr>
            <w:tcW w:type="dxa" w:w="1701"/>
            <w:vAlign w:val="center"/>
          </w:tcPr>
          <w:p>
            <w:pPr>
              <w:spacing w:line="240" w:lineRule="auto" w:after="0"/>
            </w:pPr>
            <w:r>
              <w:rPr>
                <w:sz w:val="14"/>
              </w:rPr>
              <w:t>10</w:t>
            </w:r>
          </w:p>
        </w:tc>
        <w:tc>
          <w:tcPr>
            <w:tcW w:type="dxa" w:w="1701"/>
            <w:vAlign w:val="center"/>
          </w:tcPr>
          <w:p>
            <w:pPr>
              <w:spacing w:line="240" w:lineRule="auto" w:after="0"/>
            </w:pPr>
            <w:r>
              <w:rPr>
                <w:sz w:val="14"/>
              </w:rPr>
              <w:t>0</w:t>
            </w:r>
          </w:p>
        </w:tc>
      </w:tr>
      <w:tr>
        <w:trPr>
          <w:cantSplit/>
        </w:trPr>
        <w:tc>
          <w:tcPr>
            <w:tcW w:type="dxa" w:w="4535"/>
            <w:vAlign w:val="center"/>
          </w:tcPr>
          <w:p>
            <w:pPr>
              <w:spacing w:line="240" w:lineRule="auto" w:after="0"/>
            </w:pPr>
            <w:r>
              <w:rPr>
                <w:sz w:val="14"/>
              </w:rPr>
              <w:t>pathology-associated quantity</w:t>
            </w:r>
          </w:p>
        </w:tc>
        <w:tc>
          <w:tcPr>
            <w:tcW w:type="dxa" w:w="1701"/>
            <w:vAlign w:val="center"/>
          </w:tcPr>
          <w:p>
            <w:pPr>
              <w:spacing w:line="240" w:lineRule="auto" w:after="0"/>
            </w:pPr>
            <w:r>
              <w:rPr>
                <w:sz w:val="14"/>
              </w:rPr>
              <w:t>13</w:t>
            </w:r>
          </w:p>
        </w:tc>
        <w:tc>
          <w:tcPr>
            <w:tcW w:type="dxa" w:w="1701"/>
            <w:vAlign w:val="center"/>
          </w:tcPr>
          <w:p>
            <w:pPr>
              <w:spacing w:line="240" w:lineRule="auto" w:after="0"/>
            </w:pPr>
            <w:r>
              <w:rPr>
                <w:sz w:val="14"/>
              </w:rPr>
              <w:t>1</w:t>
            </w:r>
          </w:p>
        </w:tc>
        <w:tc>
          <w:tcPr>
            <w:tcW w:type="dxa" w:w="1701"/>
            <w:vAlign w:val="center"/>
          </w:tcPr>
          <w:p>
            <w:pPr>
              <w:spacing w:line="240" w:lineRule="auto" w:after="0"/>
            </w:pPr>
            <w:r>
              <w:rPr>
                <w:sz w:val="14"/>
              </w:rPr>
              <w:t>13</w:t>
            </w:r>
          </w:p>
        </w:tc>
      </w:tr>
      <w:tr>
        <w:trPr>
          <w:cantSplit/>
        </w:trPr>
        <w:tc>
          <w:tcPr>
            <w:tcW w:type="dxa" w:w="4535"/>
            <w:vAlign w:val="center"/>
          </w:tcPr>
          <w:p>
            <w:pPr>
              <w:spacing w:line="240" w:lineRule="auto" w:after="0"/>
            </w:pPr>
            <w:r>
              <w:rPr>
                <w:sz w:val="14"/>
              </w:rPr>
              <w:t>composite genomic-context score</w:t>
            </w:r>
          </w:p>
        </w:tc>
        <w:tc>
          <w:tcPr>
            <w:tcW w:type="dxa" w:w="1701"/>
            <w:vAlign w:val="center"/>
          </w:tcPr>
          <w:p>
            <w:pPr>
              <w:spacing w:line="240" w:lineRule="auto" w:after="0"/>
            </w:pPr>
            <w:r>
              <w:rPr>
                <w:sz w:val="14"/>
              </w:rPr>
              <w:t>372</w:t>
            </w:r>
          </w:p>
        </w:tc>
        <w:tc>
          <w:tcPr>
            <w:tcW w:type="dxa" w:w="1701"/>
            <w:vAlign w:val="center"/>
          </w:tcPr>
          <w:p>
            <w:pPr>
              <w:spacing w:line="240" w:lineRule="auto" w:after="0"/>
            </w:pPr>
            <w:r>
              <w:rPr>
                <w:sz w:val="14"/>
              </w:rPr>
              <w:t>19</w:t>
            </w:r>
          </w:p>
        </w:tc>
        <w:tc>
          <w:tcPr>
            <w:tcW w:type="dxa" w:w="1701"/>
            <w:vAlign w:val="center"/>
          </w:tcPr>
          <w:p>
            <w:pPr>
              <w:spacing w:line="240" w:lineRule="auto" w:after="0"/>
            </w:pPr>
            <w:r>
              <w:rPr>
                <w:sz w:val="14"/>
              </w:rPr>
              <w:t>0</w:t>
            </w:r>
          </w:p>
        </w:tc>
      </w:tr>
    </w:tbl>
    <w:p/>
    <w:tbl>
      <w:tblPr>
        <w:tblStyle w:val="TableGrid"/>
        <w:tblW w:type="dxa" w:w="9638"/>
        <w:jc w:val="left"/>
        <w:tblLayout w:type="fixed"/>
        <w:tblLook w:firstColumn="1" w:firstRow="1" w:lastColumn="0" w:lastRow="0" w:noHBand="0" w:noVBand="1" w:val="04A0"/>
        <w:tblLayout w:type="fixed"/>
        <w:tblInd w:type="dxa" w:w="0"/>
      </w:tblPr>
      <w:tblGrid>
        <w:gridCol w:w="1531"/>
        <w:gridCol w:w="2381"/>
        <w:gridCol w:w="1531"/>
        <w:gridCol w:w="4195"/>
      </w:tblGrid>
      <w:tr>
        <w:trPr>
          <w:tblHeader w:val="true"/>
          <w:cantSplit/>
        </w:trPr>
        <w:tc>
          <w:tcPr>
            <w:tcW w:type="dxa" w:w="1531"/>
          </w:tcPr>
          <w:p>
            <w:pPr>
              <w:spacing w:line="216" w:lineRule="auto" w:after="0"/>
            </w:pPr>
            <w:r>
              <w:rPr>
                <w:b/>
                <w:sz w:val="13"/>
              </w:rPr>
              <w:t>Source</w:t>
            </w:r>
          </w:p>
        </w:tc>
        <w:tc>
          <w:tcPr>
            <w:tcW w:type="dxa" w:w="2381"/>
          </w:tcPr>
          <w:p>
            <w:pPr>
              <w:spacing w:line="216" w:lineRule="auto" w:after="0"/>
            </w:pPr>
            <w:r>
              <w:rPr>
                <w:b/>
                <w:sz w:val="13"/>
              </w:rPr>
              <w:t>Label domains</w:t>
            </w:r>
          </w:p>
        </w:tc>
        <w:tc>
          <w:tcPr>
            <w:tcW w:type="dxa" w:w="1531"/>
          </w:tcPr>
          <w:p>
            <w:pPr>
              <w:spacing w:line="216" w:lineRule="auto" w:after="0"/>
            </w:pPr>
            <w:r>
              <w:rPr>
                <w:b/>
                <w:sz w:val="13"/>
              </w:rPr>
              <w:t>Identifier</w:t>
            </w:r>
          </w:p>
        </w:tc>
        <w:tc>
          <w:tcPr>
            <w:tcW w:type="dxa" w:w="4195"/>
          </w:tcPr>
          <w:p>
            <w:pPr>
              <w:spacing w:line="216" w:lineRule="auto" w:after="0"/>
            </w:pPr>
            <w:r>
              <w:rPr>
                <w:b/>
                <w:sz w:val="13"/>
              </w:rPr>
              <w:t>Processing and participant rule</w:t>
            </w:r>
          </w:p>
        </w:tc>
      </w:tr>
      <w:tr>
        <w:trPr>
          <w:cantSplit/>
        </w:trPr>
        <w:tc>
          <w:tcPr>
            <w:tcW w:type="dxa" w:w="1531"/>
            <w:vAlign w:val="center"/>
          </w:tcPr>
          <w:p>
            <w:pPr>
              <w:spacing w:line="216" w:lineRule="auto" w:after="0"/>
            </w:pPr>
            <w:r>
              <w:rPr>
                <w:sz w:val="13"/>
              </w:rPr>
              <w:t>Thorsson PanImmune</w:t>
            </w:r>
          </w:p>
        </w:tc>
        <w:tc>
          <w:tcPr>
            <w:tcW w:type="dxa" w:w="2381"/>
            <w:vAlign w:val="center"/>
          </w:tcPr>
          <w:p>
            <w:pPr>
              <w:spacing w:line="216" w:lineRule="auto" w:after="0"/>
            </w:pPr>
            <w:r>
              <w:rPr>
                <w:sz w:val="13"/>
              </w:rPr>
              <w:t>22 CIBERSORT LM22 fractions; methylation-derived leukocyte fraction; 10 RNA inflammatory or immune signatures; six BCR/TCR repertoire metrics; two mutation rates; two predicted neoantigen burdens; six genomic-context quantities; H&amp;E-derived TIL Regional Fraction</w:t>
            </w:r>
          </w:p>
        </w:tc>
        <w:tc>
          <w:tcPr>
            <w:tcW w:type="dxa" w:w="1531"/>
            <w:vAlign w:val="center"/>
          </w:tcPr>
          <w:p>
            <w:pPr>
              <w:spacing w:line="216" w:lineRule="auto" w:after="0"/>
            </w:pPr>
            <w:r>
              <w:rPr>
                <w:sz w:val="13"/>
              </w:rPr>
              <w:t>12-character TCGA Participant Barcode only</w:t>
            </w:r>
          </w:p>
        </w:tc>
        <w:tc>
          <w:tcPr>
            <w:tcW w:type="dxa" w:w="4195"/>
            <w:vAlign w:val="center"/>
          </w:tcPr>
          <w:p>
            <w:pPr>
              <w:spacing w:line="216" w:lineRule="auto" w:after="0"/>
            </w:pPr>
            <w:r>
              <w:rPr>
                <w:sz w:val="13"/>
              </w:rPr>
              <w:t>Selected 50 non-survival, non-subtype, non-aggregate fields; imported published values rather than recomputing them; One published participant row; endpoint-specific missing values retained; Not applicable to continuous endpoints; absence from the table remained missing</w:t>
            </w:r>
          </w:p>
        </w:tc>
      </w:tr>
      <w:tr>
        <w:trPr>
          <w:cantSplit/>
        </w:trPr>
        <w:tc>
          <w:tcPr>
            <w:tcW w:type="dxa" w:w="1531"/>
            <w:vAlign w:val="center"/>
          </w:tcPr>
          <w:p>
            <w:pPr>
              <w:spacing w:line="216" w:lineRule="auto" w:after="0"/>
            </w:pPr>
            <w:r>
              <w:rPr>
                <w:sz w:val="13"/>
              </w:rPr>
              <w:t>MC3 mutations with Bailey driver catalogue</w:t>
            </w:r>
          </w:p>
        </w:tc>
        <w:tc>
          <w:tcPr>
            <w:tcW w:type="dxa" w:w="2381"/>
            <w:vAlign w:val="center"/>
          </w:tcPr>
          <w:p>
            <w:pPr>
              <w:spacing w:line="216" w:lineRule="auto" w:after="0"/>
            </w:pPr>
            <w:r>
              <w:rPr>
                <w:sz w:val="13"/>
              </w:rPr>
              <w:t>Binary tissue-specific driver-gene mutation status</w:t>
            </w:r>
          </w:p>
        </w:tc>
        <w:tc>
          <w:tcPr>
            <w:tcW w:type="dxa" w:w="1531"/>
            <w:vAlign w:val="center"/>
          </w:tcPr>
          <w:p>
            <w:pPr>
              <w:spacing w:line="216" w:lineRule="auto" w:after="0"/>
            </w:pPr>
            <w:r>
              <w:rPr>
                <w:sz w:val="13"/>
              </w:rPr>
              <w:t>15-character TCGA Tumor Sample Barcode from MC3 clinical metadata</w:t>
            </w:r>
          </w:p>
        </w:tc>
        <w:tc>
          <w:tcPr>
            <w:tcW w:type="dxa" w:w="4195"/>
            <w:vAlign w:val="center"/>
          </w:tcPr>
          <w:p>
            <w:pPr>
              <w:spacing w:line="216" w:lineRule="auto" w:after="0"/>
            </w:pPr>
            <w:r>
              <w:rPr>
                <w:sz w:val="13"/>
              </w:rPr>
              <w:t>Retained primary-tumour sample type 01, FILTER=PASS and protein-altering missense, nonsense, nonstop, splice-site, translation-start, frameshift or in-frame variants; COADREAD drivers mapped to COAD and READ; Any qualifying variant in any matched profiled primary sample defined mutated; Wild type assigned only to patients with an MC3-profiled primary tumour and no qualifying variant in that gene; patients without MC3 profiling remained missing</w:t>
            </w:r>
          </w:p>
        </w:tc>
      </w:tr>
      <w:tr>
        <w:trPr>
          <w:cantSplit/>
        </w:trPr>
        <w:tc>
          <w:tcPr>
            <w:tcW w:type="dxa" w:w="1531"/>
            <w:vAlign w:val="center"/>
          </w:tcPr>
          <w:p>
            <w:pPr>
              <w:spacing w:line="216" w:lineRule="auto" w:after="0"/>
            </w:pPr>
            <w:r>
              <w:rPr>
                <w:sz w:val="13"/>
              </w:rPr>
              <w:t>Sanchez-Vega oncogenic pathways</w:t>
            </w:r>
          </w:p>
        </w:tc>
        <w:tc>
          <w:tcPr>
            <w:tcW w:type="dxa" w:w="2381"/>
            <w:vAlign w:val="center"/>
          </w:tcPr>
          <w:p>
            <w:pPr>
              <w:spacing w:line="216" w:lineRule="auto" w:after="0"/>
            </w:pPr>
            <w:r>
              <w:rPr>
                <w:sz w:val="13"/>
              </w:rPr>
              <w:t>Binary alteration status for ten oncogenic signalling pathways</w:t>
            </w:r>
          </w:p>
        </w:tc>
        <w:tc>
          <w:tcPr>
            <w:tcW w:type="dxa" w:w="1531"/>
            <w:vAlign w:val="center"/>
          </w:tcPr>
          <w:p>
            <w:pPr>
              <w:spacing w:line="216" w:lineRule="auto" w:after="0"/>
            </w:pPr>
            <w:r>
              <w:rPr>
                <w:sz w:val="13"/>
              </w:rPr>
              <w:t>15-character SAMPLE_BARCODE</w:t>
            </w:r>
          </w:p>
        </w:tc>
        <w:tc>
          <w:tcPr>
            <w:tcW w:type="dxa" w:w="4195"/>
            <w:vAlign w:val="center"/>
          </w:tcPr>
          <w:p>
            <w:pPr>
              <w:spacing w:line="216" w:lineRule="auto" w:after="0"/>
            </w:pPr>
            <w:r>
              <w:rPr>
                <w:sz w:val="13"/>
              </w:rPr>
              <w:t>Retained primary-tumour sample type 01 and the published pathway-level binary matrix; Any altered primary sample defined the patient-level pathway as altered; Covered primary samples without the pathway alteration were negative; participants absent from the source remained missing</w:t>
            </w:r>
          </w:p>
        </w:tc>
      </w:tr>
      <w:tr>
        <w:trPr>
          <w:cantSplit/>
        </w:trPr>
        <w:tc>
          <w:tcPr>
            <w:tcW w:type="dxa" w:w="1531"/>
            <w:vAlign w:val="center"/>
          </w:tcPr>
          <w:p>
            <w:pPr>
              <w:spacing w:line="216" w:lineRule="auto" w:after="0"/>
            </w:pPr>
            <w:r>
              <w:rPr>
                <w:sz w:val="13"/>
              </w:rPr>
              <w:t>Taylor aneuploidy</w:t>
            </w:r>
          </w:p>
        </w:tc>
        <w:tc>
          <w:tcPr>
            <w:tcW w:type="dxa" w:w="2381"/>
            <w:vAlign w:val="center"/>
          </w:tcPr>
          <w:p>
            <w:pPr>
              <w:spacing w:line="216" w:lineRule="auto" w:after="0"/>
            </w:pPr>
            <w:r>
              <w:rPr>
                <w:sz w:val="13"/>
              </w:rPr>
              <w:t>Aneuploidy score, deleted-arm count, amplified-arm count and genome doubling</w:t>
            </w:r>
          </w:p>
        </w:tc>
        <w:tc>
          <w:tcPr>
            <w:tcW w:type="dxa" w:w="1531"/>
            <w:vAlign w:val="center"/>
          </w:tcPr>
          <w:p>
            <w:pPr>
              <w:spacing w:line="216" w:lineRule="auto" w:after="0"/>
            </w:pPr>
            <w:r>
              <w:rPr>
                <w:sz w:val="13"/>
              </w:rPr>
              <w:t>15-character Sample barcode</w:t>
            </w:r>
          </w:p>
        </w:tc>
        <w:tc>
          <w:tcPr>
            <w:tcW w:type="dxa" w:w="4195"/>
            <w:vAlign w:val="center"/>
          </w:tcPr>
          <w:p>
            <w:pPr>
              <w:spacing w:line="216" w:lineRule="auto" w:after="0"/>
            </w:pPr>
            <w:r>
              <w:rPr>
                <w:sz w:val="13"/>
              </w:rPr>
              <w:t>Retained primary-tumour sample type 01 and the published aneuploidy fields; Continuous values were averaged across primary samples; any positive primary sample defined genome doubling; Participants absent from the source remained missing</w:t>
            </w:r>
          </w:p>
        </w:tc>
      </w:tr>
      <w:tr>
        <w:trPr>
          <w:cantSplit/>
        </w:trPr>
        <w:tc>
          <w:tcPr>
            <w:tcW w:type="dxa" w:w="1531"/>
            <w:vAlign w:val="center"/>
          </w:tcPr>
          <w:p>
            <w:pPr>
              <w:spacing w:line="216" w:lineRule="auto" w:after="0"/>
            </w:pPr>
            <w:r>
              <w:rPr>
                <w:sz w:val="13"/>
              </w:rPr>
              <w:t>Gao fusions</w:t>
            </w:r>
          </w:p>
        </w:tc>
        <w:tc>
          <w:tcPr>
            <w:tcW w:type="dxa" w:w="2381"/>
            <w:vAlign w:val="center"/>
          </w:tcPr>
          <w:p>
            <w:pPr>
              <w:spacing w:line="216" w:lineRule="auto" w:after="0"/>
            </w:pPr>
            <w:r>
              <w:rPr>
                <w:sz w:val="13"/>
              </w:rPr>
              <w:t>Fusion burden, any called fusion and eligible recurrent fusion-pair indicators</w:t>
            </w:r>
          </w:p>
        </w:tc>
        <w:tc>
          <w:tcPr>
            <w:tcW w:type="dxa" w:w="1531"/>
            <w:vAlign w:val="center"/>
          </w:tcPr>
          <w:p>
            <w:pPr>
              <w:spacing w:line="216" w:lineRule="auto" w:after="0"/>
            </w:pPr>
            <w:r>
              <w:rPr>
                <w:sz w:val="13"/>
              </w:rPr>
              <w:t>15-character Sample barcode</w:t>
            </w:r>
          </w:p>
        </w:tc>
        <w:tc>
          <w:tcPr>
            <w:tcW w:type="dxa" w:w="4195"/>
            <w:vAlign w:val="center"/>
          </w:tcPr>
          <w:p>
            <w:pPr>
              <w:spacing w:line="216" w:lineRule="auto" w:after="0"/>
            </w:pPr>
            <w:r>
              <w:rPr>
                <w:sz w:val="13"/>
              </w:rPr>
              <w:t>Retained primary-tumour sample type 01; the study sample sheet defined assay coverage and the final-call sheet defined unique fusions; Unique fusion calls were collapsed by participant; Within the assayed denominator, no fusion call meant zero; participants outside the study sample list remained missing</w:t>
            </w:r>
          </w:p>
        </w:tc>
      </w:tr>
      <w:tr>
        <w:trPr>
          <w:cantSplit/>
        </w:trPr>
        <w:tc>
          <w:tcPr>
            <w:tcW w:type="dxa" w:w="1531"/>
            <w:vAlign w:val="center"/>
          </w:tcPr>
          <w:p>
            <w:pPr>
              <w:spacing w:line="216" w:lineRule="auto" w:after="0"/>
            </w:pPr>
            <w:r>
              <w:rPr>
                <w:sz w:val="13"/>
              </w:rPr>
              <w:t>cBioPortal TCGA PanCancer MSI</w:t>
            </w:r>
          </w:p>
        </w:tc>
        <w:tc>
          <w:tcPr>
            <w:tcW w:type="dxa" w:w="2381"/>
            <w:vAlign w:val="center"/>
          </w:tcPr>
          <w:p>
            <w:pPr>
              <w:spacing w:line="216" w:lineRule="auto" w:after="0"/>
            </w:pPr>
            <w:r>
              <w:rPr>
                <w:sz w:val="13"/>
              </w:rPr>
              <w:t>MANTIS score, MSIsensor score and two MANTIS-based MSI-H definitions</w:t>
            </w:r>
          </w:p>
        </w:tc>
        <w:tc>
          <w:tcPr>
            <w:tcW w:type="dxa" w:w="1531"/>
            <w:vAlign w:val="center"/>
          </w:tcPr>
          <w:p>
            <w:pPr>
              <w:spacing w:line="216" w:lineRule="auto" w:after="0"/>
            </w:pPr>
            <w:r>
              <w:rPr>
                <w:sz w:val="13"/>
              </w:rPr>
              <w:t>15-character SAMPLE_ID</w:t>
            </w:r>
          </w:p>
        </w:tc>
        <w:tc>
          <w:tcPr>
            <w:tcW w:type="dxa" w:w="4195"/>
            <w:vAlign w:val="center"/>
          </w:tcPr>
          <w:p>
            <w:pPr>
              <w:spacing w:line="216" w:lineRule="auto" w:after="0"/>
            </w:pPr>
            <w:r>
              <w:rPr>
                <w:sz w:val="13"/>
              </w:rPr>
              <w:t>Retained primary-tumour sample type 01 and finite MSI_SCORE_MANTIS or MSI_SENSOR_SCORE values; Finite scores were averaged across primary samples; All missing primary-sample scores remained missing; MANTIS greater than 0.4 defined MSI-H in the main binary definition; the strict sensitivity used greater than 0.6 as MSI-H, less than 0.4 as MSS and excluded 0.4 to 0.6</w:t>
            </w:r>
          </w:p>
        </w:tc>
      </w:tr>
      <w:tr>
        <w:trPr>
          <w:cantSplit/>
        </w:trPr>
        <w:tc>
          <w:tcPr>
            <w:tcW w:type="dxa" w:w="1531"/>
            <w:vAlign w:val="center"/>
          </w:tcPr>
          <w:p>
            <w:pPr>
              <w:spacing w:line="216" w:lineRule="auto" w:after="0"/>
            </w:pPr>
            <w:r>
              <w:rPr>
                <w:sz w:val="13"/>
              </w:rPr>
              <w:t>UCSC Xena RNA pathway activity</w:t>
            </w:r>
          </w:p>
        </w:tc>
        <w:tc>
          <w:tcPr>
            <w:tcW w:type="dxa" w:w="2381"/>
            <w:vAlign w:val="center"/>
          </w:tcPr>
          <w:p>
            <w:pPr>
              <w:spacing w:line="216" w:lineRule="auto" w:after="0"/>
            </w:pPr>
            <w:r>
              <w:rPr>
                <w:sz w:val="13"/>
              </w:rPr>
              <w:t>50 MSigDB Hallmark pathways; Reactome glutathione synthesis and recycling; Gene Ontology vitamin B6 metabolic process</w:t>
            </w:r>
          </w:p>
        </w:tc>
        <w:tc>
          <w:tcPr>
            <w:tcW w:type="dxa" w:w="1531"/>
            <w:vAlign w:val="center"/>
          </w:tcPr>
          <w:p>
            <w:pPr>
              <w:spacing w:line="216" w:lineRule="auto" w:after="0"/>
            </w:pPr>
            <w:r>
              <w:rPr>
                <w:sz w:val="13"/>
              </w:rPr>
              <w:t>15-character TCGA RNA-seq sample barcode</w:t>
            </w:r>
          </w:p>
        </w:tc>
        <w:tc>
          <w:tcPr>
            <w:tcW w:type="dxa" w:w="4195"/>
            <w:vAlign w:val="center"/>
          </w:tcPr>
          <w:p>
            <w:pPr>
              <w:spacing w:line="216" w:lineRule="auto" w:after="0"/>
            </w:pPr>
            <w:r>
              <w:rPr>
                <w:sz w:val="13"/>
              </w:rPr>
              <w:t>Retained primary-tumour sample type 01; standardized each measured gene within cancer; scored each set as mean standardized expression of measured member genes; Expression was averaged across multiple primary-tumour aliquots before pathway scoring; Participants without a matched primary-tumour RNA sample remained missing; a pathway required at least two measured member genes</w:t>
            </w:r>
          </w:p>
        </w:tc>
      </w:tr>
    </w:tbl>
    <w:p/>
    <w:p>
      <w:r>
        <w:t>endpoint_dictionary.csv supplies the complete target-level dictionary, including modality, direct or inferred status, derivation algorithm, scale, transformation, missingness, expected error, interpretation and assay-equivalence caveat.</w:t>
      </w:r>
    </w:p>
    <w:p>
      <w:pPr>
        <w:pStyle w:val="Heading1"/>
      </w:pPr>
      <w:r>
        <w:t>Table S10. Matched three-representation benchmark</w:t>
      </w:r>
    </w:p>
    <w:tbl>
      <w:tblPr>
        <w:tblStyle w:val="TableGrid"/>
        <w:tblW w:type="dxa" w:w="8789"/>
        <w:jc w:val="left"/>
        <w:tblLayout w:type="fixed"/>
        <w:tblLook w:firstColumn="1" w:firstRow="1" w:lastColumn="0" w:lastRow="0" w:noHBand="0" w:noVBand="1" w:val="04A0"/>
        <w:tblLayout w:type="fixed"/>
        <w:tblInd w:type="dxa" w:w="0"/>
      </w:tblPr>
      <w:tblGrid>
        <w:gridCol w:w="1531"/>
        <w:gridCol w:w="1134"/>
        <w:gridCol w:w="1191"/>
        <w:gridCol w:w="1134"/>
        <w:gridCol w:w="907"/>
        <w:gridCol w:w="1531"/>
        <w:gridCol w:w="1361"/>
      </w:tblGrid>
      <w:tr>
        <w:trPr>
          <w:tblHeader w:val="true"/>
          <w:cantSplit/>
        </w:trPr>
        <w:tc>
          <w:tcPr>
            <w:tcW w:type="dxa" w:w="1531"/>
          </w:tcPr>
          <w:p>
            <w:pPr>
              <w:spacing w:line="240" w:lineRule="auto" w:after="0"/>
            </w:pPr>
            <w:r>
              <w:rPr>
                <w:b/>
                <w:sz w:val="14"/>
              </w:rPr>
              <w:t>Representation</w:t>
            </w:r>
          </w:p>
        </w:tc>
        <w:tc>
          <w:tcPr>
            <w:tcW w:type="dxa" w:w="1134"/>
          </w:tcPr>
          <w:p>
            <w:pPr>
              <w:spacing w:line="240" w:lineRule="auto" w:after="0"/>
            </w:pPr>
            <w:r>
              <w:rPr>
                <w:b/>
                <w:sz w:val="14"/>
              </w:rPr>
              <w:t>Released slides</w:t>
            </w:r>
          </w:p>
        </w:tc>
        <w:tc>
          <w:tcPr>
            <w:tcW w:type="dxa" w:w="1191"/>
          </w:tcPr>
          <w:p>
            <w:pPr>
              <w:spacing w:line="240" w:lineRule="auto" w:after="0"/>
            </w:pPr>
            <w:r>
              <w:rPr>
                <w:b/>
                <w:sz w:val="14"/>
              </w:rPr>
              <w:t>Released patients</w:t>
            </w:r>
          </w:p>
        </w:tc>
        <w:tc>
          <w:tcPr>
            <w:tcW w:type="dxa" w:w="1134"/>
          </w:tcPr>
          <w:p>
            <w:pPr>
              <w:spacing w:line="240" w:lineRule="auto" w:after="0"/>
            </w:pPr>
            <w:r>
              <w:rPr>
                <w:b/>
                <w:sz w:val="14"/>
              </w:rPr>
              <w:t>Matched patients</w:t>
            </w:r>
          </w:p>
        </w:tc>
        <w:tc>
          <w:tcPr>
            <w:tcW w:type="dxa" w:w="907"/>
          </w:tcPr>
          <w:p>
            <w:pPr>
              <w:spacing w:line="240" w:lineRule="auto" w:after="0"/>
            </w:pPr>
            <w:r>
              <w:rPr>
                <w:b/>
                <w:sz w:val="14"/>
              </w:rPr>
              <w:t>Dimensions</w:t>
            </w:r>
          </w:p>
        </w:tc>
        <w:tc>
          <w:tcPr>
            <w:tcW w:type="dxa" w:w="1531"/>
          </w:tcPr>
          <w:p>
            <w:pPr>
              <w:spacing w:line="240" w:lineRule="auto" w:after="0"/>
            </w:pPr>
            <w:r>
              <w:rPr>
                <w:b/>
                <w:sz w:val="14"/>
              </w:rPr>
              <w:t>Continuous crossings</w:t>
            </w:r>
          </w:p>
        </w:tc>
        <w:tc>
          <w:tcPr>
            <w:tcW w:type="dxa" w:w="1361"/>
          </w:tcPr>
          <w:p>
            <w:pPr>
              <w:spacing w:line="240" w:lineRule="auto" w:after="0"/>
            </w:pPr>
            <w:r>
              <w:rPr>
                <w:b/>
                <w:sz w:val="14"/>
              </w:rPr>
              <w:t>Binary crossings</w:t>
            </w:r>
          </w:p>
        </w:tc>
      </w:tr>
      <w:tr>
        <w:trPr>
          <w:cantSplit/>
        </w:trPr>
        <w:tc>
          <w:tcPr>
            <w:tcW w:type="dxa" w:w="1531"/>
            <w:vAlign w:val="center"/>
          </w:tcPr>
          <w:p>
            <w:pPr>
              <w:spacing w:line="240" w:lineRule="auto" w:after="0"/>
            </w:pPr>
            <w:r>
              <w:rPr>
                <w:sz w:val="14"/>
              </w:rPr>
              <w:t>TITAN</w:t>
            </w:r>
          </w:p>
        </w:tc>
        <w:tc>
          <w:tcPr>
            <w:tcW w:type="dxa" w:w="1134"/>
            <w:vAlign w:val="center"/>
          </w:tcPr>
          <w:p>
            <w:pPr>
              <w:spacing w:line="240" w:lineRule="auto" w:after="0"/>
            </w:pPr>
            <w:r>
              <w:rPr>
                <w:sz w:val="14"/>
              </w:rPr>
              <w:t>11449</w:t>
            </w:r>
          </w:p>
        </w:tc>
        <w:tc>
          <w:tcPr>
            <w:tcW w:type="dxa" w:w="1191"/>
            <w:vAlign w:val="center"/>
          </w:tcPr>
          <w:p>
            <w:pPr>
              <w:spacing w:line="240" w:lineRule="auto" w:after="0"/>
            </w:pPr>
            <w:r>
              <w:rPr>
                <w:sz w:val="14"/>
              </w:rPr>
              <w:t>9404</w:t>
            </w:r>
          </w:p>
        </w:tc>
        <w:tc>
          <w:tcPr>
            <w:tcW w:type="dxa" w:w="1134"/>
            <w:vAlign w:val="center"/>
          </w:tcPr>
          <w:p>
            <w:pPr>
              <w:spacing w:line="240" w:lineRule="auto" w:after="0"/>
            </w:pPr>
            <w:r>
              <w:rPr>
                <w:sz w:val="14"/>
              </w:rPr>
              <w:t>8241</w:t>
            </w:r>
          </w:p>
        </w:tc>
        <w:tc>
          <w:tcPr>
            <w:tcW w:type="dxa" w:w="907"/>
            <w:vAlign w:val="center"/>
          </w:tcPr>
          <w:p>
            <w:pPr>
              <w:spacing w:line="240" w:lineRule="auto" w:after="0"/>
            </w:pPr>
            <w:r>
              <w:rPr>
                <w:sz w:val="14"/>
              </w:rPr>
              <w:t>768</w:t>
            </w:r>
          </w:p>
        </w:tc>
        <w:tc>
          <w:tcPr>
            <w:tcW w:type="dxa" w:w="1531"/>
            <w:vAlign w:val="center"/>
          </w:tcPr>
          <w:p>
            <w:pPr>
              <w:spacing w:line="240" w:lineRule="auto" w:after="0"/>
            </w:pPr>
            <w:r>
              <w:rPr>
                <w:sz w:val="14"/>
              </w:rPr>
              <w:t>643</w:t>
            </w:r>
          </w:p>
        </w:tc>
        <w:tc>
          <w:tcPr>
            <w:tcW w:type="dxa" w:w="1361"/>
            <w:vAlign w:val="center"/>
          </w:tcPr>
          <w:p>
            <w:pPr>
              <w:spacing w:line="240" w:lineRule="auto" w:after="0"/>
            </w:pPr>
            <w:r>
              <w:rPr>
                <w:sz w:val="14"/>
              </w:rPr>
              <w:t>230</w:t>
            </w:r>
          </w:p>
        </w:tc>
      </w:tr>
      <w:tr>
        <w:trPr>
          <w:cantSplit/>
        </w:trPr>
        <w:tc>
          <w:tcPr>
            <w:tcW w:type="dxa" w:w="1531"/>
            <w:vAlign w:val="center"/>
          </w:tcPr>
          <w:p>
            <w:pPr>
              <w:spacing w:line="240" w:lineRule="auto" w:after="0"/>
            </w:pPr>
            <w:r>
              <w:rPr>
                <w:sz w:val="14"/>
              </w:rPr>
              <w:t>Giga-SSL</w:t>
            </w:r>
          </w:p>
        </w:tc>
        <w:tc>
          <w:tcPr>
            <w:tcW w:type="dxa" w:w="1134"/>
            <w:vAlign w:val="center"/>
          </w:tcPr>
          <w:p>
            <w:pPr>
              <w:spacing w:line="240" w:lineRule="auto" w:after="0"/>
            </w:pPr>
            <w:r>
              <w:rPr>
                <w:sz w:val="14"/>
              </w:rPr>
              <w:t>11427</w:t>
            </w:r>
          </w:p>
        </w:tc>
        <w:tc>
          <w:tcPr>
            <w:tcW w:type="dxa" w:w="1191"/>
            <w:vAlign w:val="center"/>
          </w:tcPr>
          <w:p>
            <w:pPr>
              <w:spacing w:line="240" w:lineRule="auto" w:after="0"/>
            </w:pPr>
            <w:r>
              <w:rPr>
                <w:sz w:val="14"/>
              </w:rPr>
              <w:t>9378</w:t>
            </w:r>
          </w:p>
        </w:tc>
        <w:tc>
          <w:tcPr>
            <w:tcW w:type="dxa" w:w="1134"/>
            <w:vAlign w:val="center"/>
          </w:tcPr>
          <w:p>
            <w:pPr>
              <w:spacing w:line="240" w:lineRule="auto" w:after="0"/>
            </w:pPr>
            <w:r>
              <w:rPr>
                <w:sz w:val="14"/>
              </w:rPr>
              <w:t>8241</w:t>
            </w:r>
          </w:p>
        </w:tc>
        <w:tc>
          <w:tcPr>
            <w:tcW w:type="dxa" w:w="907"/>
            <w:vAlign w:val="center"/>
          </w:tcPr>
          <w:p>
            <w:pPr>
              <w:spacing w:line="240" w:lineRule="auto" w:after="0"/>
            </w:pPr>
            <w:r>
              <w:rPr>
                <w:sz w:val="14"/>
              </w:rPr>
              <w:t>512</w:t>
            </w:r>
          </w:p>
        </w:tc>
        <w:tc>
          <w:tcPr>
            <w:tcW w:type="dxa" w:w="1531"/>
            <w:vAlign w:val="center"/>
          </w:tcPr>
          <w:p>
            <w:pPr>
              <w:spacing w:line="240" w:lineRule="auto" w:after="0"/>
            </w:pPr>
            <w:r>
              <w:rPr>
                <w:sz w:val="14"/>
              </w:rPr>
              <w:t>362</w:t>
            </w:r>
          </w:p>
        </w:tc>
        <w:tc>
          <w:tcPr>
            <w:tcW w:type="dxa" w:w="1361"/>
            <w:vAlign w:val="center"/>
          </w:tcPr>
          <w:p>
            <w:pPr>
              <w:spacing w:line="240" w:lineRule="auto" w:after="0"/>
            </w:pPr>
            <w:r>
              <w:rPr>
                <w:sz w:val="14"/>
              </w:rPr>
              <w:t>166</w:t>
            </w:r>
          </w:p>
        </w:tc>
      </w:tr>
      <w:tr>
        <w:trPr>
          <w:cantSplit/>
        </w:trPr>
        <w:tc>
          <w:tcPr>
            <w:tcW w:type="dxa" w:w="1531"/>
            <w:vAlign w:val="center"/>
          </w:tcPr>
          <w:p>
            <w:pPr>
              <w:spacing w:line="240" w:lineRule="auto" w:after="0"/>
            </w:pPr>
            <w:r>
              <w:rPr>
                <w:sz w:val="14"/>
              </w:rPr>
              <w:t>Prov-GigaPath</w:t>
            </w:r>
          </w:p>
        </w:tc>
        <w:tc>
          <w:tcPr>
            <w:tcW w:type="dxa" w:w="1134"/>
            <w:vAlign w:val="center"/>
          </w:tcPr>
          <w:p>
            <w:pPr>
              <w:spacing w:line="240" w:lineRule="auto" w:after="0"/>
            </w:pPr>
            <w:r>
              <w:rPr>
                <w:sz w:val="14"/>
              </w:rPr>
              <w:t>10328</w:t>
            </w:r>
          </w:p>
        </w:tc>
        <w:tc>
          <w:tcPr>
            <w:tcW w:type="dxa" w:w="1191"/>
            <w:vAlign w:val="center"/>
          </w:tcPr>
          <w:p>
            <w:pPr>
              <w:spacing w:line="240" w:lineRule="auto" w:after="0"/>
            </w:pPr>
            <w:r>
              <w:rPr>
                <w:sz w:val="14"/>
              </w:rPr>
              <w:t>8393</w:t>
            </w:r>
          </w:p>
        </w:tc>
        <w:tc>
          <w:tcPr>
            <w:tcW w:type="dxa" w:w="1134"/>
            <w:vAlign w:val="center"/>
          </w:tcPr>
          <w:p>
            <w:pPr>
              <w:spacing w:line="240" w:lineRule="auto" w:after="0"/>
            </w:pPr>
            <w:r>
              <w:rPr>
                <w:sz w:val="14"/>
              </w:rPr>
              <w:t>8241</w:t>
            </w:r>
          </w:p>
        </w:tc>
        <w:tc>
          <w:tcPr>
            <w:tcW w:type="dxa" w:w="907"/>
            <w:vAlign w:val="center"/>
          </w:tcPr>
          <w:p>
            <w:pPr>
              <w:spacing w:line="240" w:lineRule="auto" w:after="0"/>
            </w:pPr>
            <w:r>
              <w:rPr>
                <w:sz w:val="14"/>
              </w:rPr>
              <w:t>768</w:t>
            </w:r>
          </w:p>
        </w:tc>
        <w:tc>
          <w:tcPr>
            <w:tcW w:type="dxa" w:w="1531"/>
            <w:vAlign w:val="center"/>
          </w:tcPr>
          <w:p>
            <w:pPr>
              <w:spacing w:line="240" w:lineRule="auto" w:after="0"/>
            </w:pPr>
            <w:r>
              <w:rPr>
                <w:sz w:val="14"/>
              </w:rPr>
              <w:t>441</w:t>
            </w:r>
          </w:p>
        </w:tc>
        <w:tc>
          <w:tcPr>
            <w:tcW w:type="dxa" w:w="1361"/>
            <w:vAlign w:val="center"/>
          </w:tcPr>
          <w:p>
            <w:pPr>
              <w:spacing w:line="240" w:lineRule="auto" w:after="0"/>
            </w:pPr>
            <w:r>
              <w:rPr>
                <w:sz w:val="14"/>
              </w:rPr>
              <w:t>176</w:t>
            </w:r>
          </w:p>
        </w:tc>
      </w:tr>
    </w:tbl>
    <w:p/>
    <w:p>
      <w:r>
        <w:t>Crossings use Q² at least 0.20 or AUROC at least 0.60. They are descriptive and are not representation-specific permutation/FDR discoveries.</w:t>
      </w:r>
    </w:p>
    <w:p>
      <w:pPr>
        <w:pStyle w:val="Heading2"/>
      </w:pPr>
      <w:r>
        <w:t>Table S10a. Component-ceiling audit</w:t>
      </w:r>
    </w:p>
    <w:tbl>
      <w:tblPr>
        <w:tblStyle w:val="TableGrid"/>
        <w:tblW w:type="dxa" w:w="8504"/>
        <w:jc w:val="left"/>
        <w:tblLayout w:type="fixed"/>
        <w:tblLook w:firstColumn="1" w:firstRow="1" w:lastColumn="0" w:lastRow="0" w:noHBand="0" w:noVBand="1" w:val="04A0"/>
        <w:tblLayout w:type="fixed"/>
        <w:tblInd w:type="dxa" w:w="0"/>
      </w:tblPr>
      <w:tblGrid>
        <w:gridCol w:w="1531"/>
        <w:gridCol w:w="1134"/>
        <w:gridCol w:w="850"/>
        <w:gridCol w:w="1417"/>
        <w:gridCol w:w="1871"/>
        <w:gridCol w:w="1701"/>
      </w:tblGrid>
      <w:tr>
        <w:trPr>
          <w:tblHeader w:val="true"/>
          <w:cantSplit/>
        </w:trPr>
        <w:tc>
          <w:tcPr>
            <w:tcW w:type="dxa" w:w="1531"/>
          </w:tcPr>
          <w:p>
            <w:pPr>
              <w:spacing w:line="240" w:lineRule="auto" w:after="0"/>
            </w:pPr>
            <w:r>
              <w:rPr>
                <w:b/>
                <w:sz w:val="14"/>
              </w:rPr>
              <w:t>Representation</w:t>
            </w:r>
          </w:p>
        </w:tc>
        <w:tc>
          <w:tcPr>
            <w:tcW w:type="dxa" w:w="1134"/>
          </w:tcPr>
          <w:p>
            <w:pPr>
              <w:spacing w:line="240" w:lineRule="auto" w:after="0"/>
            </w:pPr>
            <w:r>
              <w:rPr>
                <w:b/>
                <w:sz w:val="14"/>
              </w:rPr>
              <w:t>Outcome</w:t>
            </w:r>
          </w:p>
        </w:tc>
        <w:tc>
          <w:tcPr>
            <w:tcW w:type="dxa" w:w="850"/>
          </w:tcPr>
          <w:p>
            <w:pPr>
              <w:spacing w:line="240" w:lineRule="auto" w:after="0"/>
            </w:pPr>
            <w:r>
              <w:rPr>
                <w:b/>
                <w:sz w:val="14"/>
              </w:rPr>
              <w:t>Targets</w:t>
            </w:r>
          </w:p>
        </w:tc>
        <w:tc>
          <w:tcPr>
            <w:tcW w:type="dxa" w:w="1417"/>
          </w:tcPr>
          <w:p>
            <w:pPr>
              <w:spacing w:line="240" w:lineRule="auto" w:after="0"/>
            </w:pPr>
            <w:r>
              <w:rPr>
                <w:b/>
                <w:sz w:val="14"/>
              </w:rPr>
              <w:t>Median components</w:t>
            </w:r>
          </w:p>
        </w:tc>
        <w:tc>
          <w:tcPr>
            <w:tcW w:type="dxa" w:w="1871"/>
          </w:tcPr>
          <w:p>
            <w:pPr>
              <w:spacing w:line="240" w:lineRule="auto" w:after="0"/>
            </w:pPr>
            <w:r>
              <w:rPr>
                <w:b/>
                <w:sz w:val="14"/>
              </w:rPr>
              <w:t>Targets with any ceiling</w:t>
            </w:r>
          </w:p>
        </w:tc>
        <w:tc>
          <w:tcPr>
            <w:tcW w:type="dxa" w:w="1701"/>
          </w:tcPr>
          <w:p>
            <w:pPr>
              <w:spacing w:line="240" w:lineRule="auto" w:after="0"/>
            </w:pPr>
            <w:r>
              <w:rPr>
                <w:b/>
                <w:sz w:val="14"/>
              </w:rPr>
              <w:t>Outer fits at ceiling</w:t>
            </w:r>
          </w:p>
        </w:tc>
      </w:tr>
      <w:tr>
        <w:trPr>
          <w:cantSplit/>
        </w:trPr>
        <w:tc>
          <w:tcPr>
            <w:tcW w:type="dxa" w:w="1531"/>
            <w:vAlign w:val="center"/>
          </w:tcPr>
          <w:p>
            <w:pPr>
              <w:spacing w:line="240" w:lineRule="auto" w:after="0"/>
            </w:pPr>
            <w:r>
              <w:rPr>
                <w:sz w:val="14"/>
              </w:rPr>
              <w:t>Giga-SSL</w:t>
            </w:r>
          </w:p>
        </w:tc>
        <w:tc>
          <w:tcPr>
            <w:tcW w:type="dxa" w:w="1134"/>
            <w:vAlign w:val="center"/>
          </w:tcPr>
          <w:p>
            <w:pPr>
              <w:spacing w:line="240" w:lineRule="auto" w:after="0"/>
            </w:pPr>
            <w:r>
              <w:rPr>
                <w:sz w:val="14"/>
              </w:rPr>
              <w:t>binary</w:t>
            </w:r>
          </w:p>
        </w:tc>
        <w:tc>
          <w:tcPr>
            <w:tcW w:type="dxa" w:w="850"/>
            <w:vAlign w:val="center"/>
          </w:tcPr>
          <w:p>
            <w:pPr>
              <w:spacing w:line="240" w:lineRule="auto" w:after="0"/>
            </w:pPr>
            <w:r>
              <w:rPr>
                <w:sz w:val="14"/>
              </w:rPr>
              <w:t>426</w:t>
            </w:r>
          </w:p>
        </w:tc>
        <w:tc>
          <w:tcPr>
            <w:tcW w:type="dxa" w:w="1417"/>
            <w:vAlign w:val="center"/>
          </w:tcPr>
          <w:p>
            <w:pPr>
              <w:spacing w:line="240" w:lineRule="auto" w:after="0"/>
            </w:pPr>
            <w:r>
              <w:rPr>
                <w:sz w:val="14"/>
              </w:rPr>
              <w:t>4.0</w:t>
            </w:r>
          </w:p>
        </w:tc>
        <w:tc>
          <w:tcPr>
            <w:tcW w:type="dxa" w:w="1871"/>
            <w:vAlign w:val="center"/>
          </w:tcPr>
          <w:p>
            <w:pPr>
              <w:spacing w:line="240" w:lineRule="auto" w:after="0"/>
            </w:pPr>
            <w:r>
              <w:rPr>
                <w:sz w:val="14"/>
              </w:rPr>
              <w:t>62</w:t>
            </w:r>
          </w:p>
        </w:tc>
        <w:tc>
          <w:tcPr>
            <w:tcW w:type="dxa" w:w="1701"/>
            <w:vAlign w:val="center"/>
          </w:tcPr>
          <w:p>
            <w:pPr>
              <w:spacing w:line="240" w:lineRule="auto" w:after="0"/>
            </w:pPr>
            <w:r>
              <w:rPr>
                <w:sz w:val="14"/>
              </w:rPr>
              <w:t>78/2130</w:t>
            </w:r>
          </w:p>
        </w:tc>
      </w:tr>
      <w:tr>
        <w:trPr>
          <w:cantSplit/>
        </w:trPr>
        <w:tc>
          <w:tcPr>
            <w:tcW w:type="dxa" w:w="1531"/>
            <w:vAlign w:val="center"/>
          </w:tcPr>
          <w:p>
            <w:pPr>
              <w:spacing w:line="240" w:lineRule="auto" w:after="0"/>
            </w:pPr>
            <w:r>
              <w:rPr>
                <w:sz w:val="14"/>
              </w:rPr>
              <w:t>Prov-GigaPath</w:t>
            </w:r>
          </w:p>
        </w:tc>
        <w:tc>
          <w:tcPr>
            <w:tcW w:type="dxa" w:w="1134"/>
            <w:vAlign w:val="center"/>
          </w:tcPr>
          <w:p>
            <w:pPr>
              <w:spacing w:line="240" w:lineRule="auto" w:after="0"/>
            </w:pPr>
            <w:r>
              <w:rPr>
                <w:sz w:val="14"/>
              </w:rPr>
              <w:t>binary</w:t>
            </w:r>
          </w:p>
        </w:tc>
        <w:tc>
          <w:tcPr>
            <w:tcW w:type="dxa" w:w="850"/>
            <w:vAlign w:val="center"/>
          </w:tcPr>
          <w:p>
            <w:pPr>
              <w:spacing w:line="240" w:lineRule="auto" w:after="0"/>
            </w:pPr>
            <w:r>
              <w:rPr>
                <w:sz w:val="14"/>
              </w:rPr>
              <w:t>426</w:t>
            </w:r>
          </w:p>
        </w:tc>
        <w:tc>
          <w:tcPr>
            <w:tcW w:type="dxa" w:w="1417"/>
            <w:vAlign w:val="center"/>
          </w:tcPr>
          <w:p>
            <w:pPr>
              <w:spacing w:line="240" w:lineRule="auto" w:after="0"/>
            </w:pPr>
            <w:r>
              <w:rPr>
                <w:sz w:val="14"/>
              </w:rPr>
              <w:t>4.0</w:t>
            </w:r>
          </w:p>
        </w:tc>
        <w:tc>
          <w:tcPr>
            <w:tcW w:type="dxa" w:w="1871"/>
            <w:vAlign w:val="center"/>
          </w:tcPr>
          <w:p>
            <w:pPr>
              <w:spacing w:line="240" w:lineRule="auto" w:after="0"/>
            </w:pPr>
            <w:r>
              <w:rPr>
                <w:sz w:val="14"/>
              </w:rPr>
              <w:t>55</w:t>
            </w:r>
          </w:p>
        </w:tc>
        <w:tc>
          <w:tcPr>
            <w:tcW w:type="dxa" w:w="1701"/>
            <w:vAlign w:val="center"/>
          </w:tcPr>
          <w:p>
            <w:pPr>
              <w:spacing w:line="240" w:lineRule="auto" w:after="0"/>
            </w:pPr>
            <w:r>
              <w:rPr>
                <w:sz w:val="14"/>
              </w:rPr>
              <w:t>70/2130</w:t>
            </w:r>
          </w:p>
        </w:tc>
      </w:tr>
      <w:tr>
        <w:trPr>
          <w:cantSplit/>
        </w:trPr>
        <w:tc>
          <w:tcPr>
            <w:tcW w:type="dxa" w:w="1531"/>
            <w:vAlign w:val="center"/>
          </w:tcPr>
          <w:p>
            <w:pPr>
              <w:spacing w:line="240" w:lineRule="auto" w:after="0"/>
            </w:pPr>
            <w:r>
              <w:rPr>
                <w:sz w:val="14"/>
              </w:rPr>
              <w:t>TITAN</w:t>
            </w:r>
          </w:p>
        </w:tc>
        <w:tc>
          <w:tcPr>
            <w:tcW w:type="dxa" w:w="1134"/>
            <w:vAlign w:val="center"/>
          </w:tcPr>
          <w:p>
            <w:pPr>
              <w:spacing w:line="240" w:lineRule="auto" w:after="0"/>
            </w:pPr>
            <w:r>
              <w:rPr>
                <w:sz w:val="14"/>
              </w:rPr>
              <w:t>binary</w:t>
            </w:r>
          </w:p>
        </w:tc>
        <w:tc>
          <w:tcPr>
            <w:tcW w:type="dxa" w:w="850"/>
            <w:vAlign w:val="center"/>
          </w:tcPr>
          <w:p>
            <w:pPr>
              <w:spacing w:line="240" w:lineRule="auto" w:after="0"/>
            </w:pPr>
            <w:r>
              <w:rPr>
                <w:sz w:val="14"/>
              </w:rPr>
              <w:t>426</w:t>
            </w:r>
          </w:p>
        </w:tc>
        <w:tc>
          <w:tcPr>
            <w:tcW w:type="dxa" w:w="1417"/>
            <w:vAlign w:val="center"/>
          </w:tcPr>
          <w:p>
            <w:pPr>
              <w:spacing w:line="240" w:lineRule="auto" w:after="0"/>
            </w:pPr>
            <w:r>
              <w:rPr>
                <w:sz w:val="14"/>
              </w:rPr>
              <w:t>3.0</w:t>
            </w:r>
          </w:p>
        </w:tc>
        <w:tc>
          <w:tcPr>
            <w:tcW w:type="dxa" w:w="1871"/>
            <w:vAlign w:val="center"/>
          </w:tcPr>
          <w:p>
            <w:pPr>
              <w:spacing w:line="240" w:lineRule="auto" w:after="0"/>
            </w:pPr>
            <w:r>
              <w:rPr>
                <w:sz w:val="14"/>
              </w:rPr>
              <w:t>51</w:t>
            </w:r>
          </w:p>
        </w:tc>
        <w:tc>
          <w:tcPr>
            <w:tcW w:type="dxa" w:w="1701"/>
            <w:vAlign w:val="center"/>
          </w:tcPr>
          <w:p>
            <w:pPr>
              <w:spacing w:line="240" w:lineRule="auto" w:after="0"/>
            </w:pPr>
            <w:r>
              <w:rPr>
                <w:sz w:val="14"/>
              </w:rPr>
              <w:t>63/2130</w:t>
            </w:r>
          </w:p>
        </w:tc>
      </w:tr>
      <w:tr>
        <w:trPr>
          <w:cantSplit/>
        </w:trPr>
        <w:tc>
          <w:tcPr>
            <w:tcW w:type="dxa" w:w="1531"/>
            <w:vAlign w:val="center"/>
          </w:tcPr>
          <w:p>
            <w:pPr>
              <w:spacing w:line="240" w:lineRule="auto" w:after="0"/>
            </w:pPr>
            <w:r>
              <w:rPr>
                <w:sz w:val="14"/>
              </w:rPr>
              <w:t>Giga-SSL</w:t>
            </w:r>
          </w:p>
        </w:tc>
        <w:tc>
          <w:tcPr>
            <w:tcW w:type="dxa" w:w="1134"/>
            <w:vAlign w:val="center"/>
          </w:tcPr>
          <w:p>
            <w:pPr>
              <w:spacing w:line="240" w:lineRule="auto" w:after="0"/>
            </w:pPr>
            <w:r>
              <w:rPr>
                <w:sz w:val="14"/>
              </w:rPr>
              <w:t>continuous</w:t>
            </w:r>
          </w:p>
        </w:tc>
        <w:tc>
          <w:tcPr>
            <w:tcW w:type="dxa" w:w="850"/>
            <w:vAlign w:val="center"/>
          </w:tcPr>
          <w:p>
            <w:pPr>
              <w:spacing w:line="240" w:lineRule="auto" w:after="0"/>
            </w:pPr>
            <w:r>
              <w:rPr>
                <w:sz w:val="14"/>
              </w:rPr>
              <w:t>2963</w:t>
            </w:r>
          </w:p>
        </w:tc>
        <w:tc>
          <w:tcPr>
            <w:tcW w:type="dxa" w:w="1417"/>
            <w:vAlign w:val="center"/>
          </w:tcPr>
          <w:p>
            <w:pPr>
              <w:spacing w:line="240" w:lineRule="auto" w:after="0"/>
            </w:pPr>
            <w:r>
              <w:rPr>
                <w:sz w:val="14"/>
              </w:rPr>
              <w:t>1.0</w:t>
            </w:r>
          </w:p>
        </w:tc>
        <w:tc>
          <w:tcPr>
            <w:tcW w:type="dxa" w:w="1871"/>
            <w:vAlign w:val="center"/>
          </w:tcPr>
          <w:p>
            <w:pPr>
              <w:spacing w:line="240" w:lineRule="auto" w:after="0"/>
            </w:pPr>
            <w:r>
              <w:rPr>
                <w:sz w:val="14"/>
              </w:rPr>
              <w:t>6</w:t>
            </w:r>
          </w:p>
        </w:tc>
        <w:tc>
          <w:tcPr>
            <w:tcW w:type="dxa" w:w="1701"/>
            <w:vAlign w:val="center"/>
          </w:tcPr>
          <w:p>
            <w:pPr>
              <w:spacing w:line="240" w:lineRule="auto" w:after="0"/>
            </w:pPr>
            <w:r>
              <w:rPr>
                <w:sz w:val="14"/>
              </w:rPr>
              <w:t>6/14815</w:t>
            </w:r>
          </w:p>
        </w:tc>
      </w:tr>
      <w:tr>
        <w:trPr>
          <w:cantSplit/>
        </w:trPr>
        <w:tc>
          <w:tcPr>
            <w:tcW w:type="dxa" w:w="1531"/>
            <w:vAlign w:val="center"/>
          </w:tcPr>
          <w:p>
            <w:pPr>
              <w:spacing w:line="240" w:lineRule="auto" w:after="0"/>
            </w:pPr>
            <w:r>
              <w:rPr>
                <w:sz w:val="14"/>
              </w:rPr>
              <w:t>Prov-GigaPath</w:t>
            </w:r>
          </w:p>
        </w:tc>
        <w:tc>
          <w:tcPr>
            <w:tcW w:type="dxa" w:w="1134"/>
            <w:vAlign w:val="center"/>
          </w:tcPr>
          <w:p>
            <w:pPr>
              <w:spacing w:line="240" w:lineRule="auto" w:after="0"/>
            </w:pPr>
            <w:r>
              <w:rPr>
                <w:sz w:val="14"/>
              </w:rPr>
              <w:t>continuous</w:t>
            </w:r>
          </w:p>
        </w:tc>
        <w:tc>
          <w:tcPr>
            <w:tcW w:type="dxa" w:w="850"/>
            <w:vAlign w:val="center"/>
          </w:tcPr>
          <w:p>
            <w:pPr>
              <w:spacing w:line="240" w:lineRule="auto" w:after="0"/>
            </w:pPr>
            <w:r>
              <w:rPr>
                <w:sz w:val="14"/>
              </w:rPr>
              <w:t>2963</w:t>
            </w:r>
          </w:p>
        </w:tc>
        <w:tc>
          <w:tcPr>
            <w:tcW w:type="dxa" w:w="1417"/>
            <w:vAlign w:val="center"/>
          </w:tcPr>
          <w:p>
            <w:pPr>
              <w:spacing w:line="240" w:lineRule="auto" w:after="0"/>
            </w:pPr>
            <w:r>
              <w:rPr>
                <w:sz w:val="14"/>
              </w:rPr>
              <w:t>2.0</w:t>
            </w:r>
          </w:p>
        </w:tc>
        <w:tc>
          <w:tcPr>
            <w:tcW w:type="dxa" w:w="1871"/>
            <w:vAlign w:val="center"/>
          </w:tcPr>
          <w:p>
            <w:pPr>
              <w:spacing w:line="240" w:lineRule="auto" w:after="0"/>
            </w:pPr>
            <w:r>
              <w:rPr>
                <w:sz w:val="14"/>
              </w:rPr>
              <w:t>14</w:t>
            </w:r>
          </w:p>
        </w:tc>
        <w:tc>
          <w:tcPr>
            <w:tcW w:type="dxa" w:w="1701"/>
            <w:vAlign w:val="center"/>
          </w:tcPr>
          <w:p>
            <w:pPr>
              <w:spacing w:line="240" w:lineRule="auto" w:after="0"/>
            </w:pPr>
            <w:r>
              <w:rPr>
                <w:sz w:val="14"/>
              </w:rPr>
              <w:t>14/14815</w:t>
            </w:r>
          </w:p>
        </w:tc>
      </w:tr>
      <w:tr>
        <w:trPr>
          <w:cantSplit/>
        </w:trPr>
        <w:tc>
          <w:tcPr>
            <w:tcW w:type="dxa" w:w="1531"/>
            <w:vAlign w:val="center"/>
          </w:tcPr>
          <w:p>
            <w:pPr>
              <w:spacing w:line="240" w:lineRule="auto" w:after="0"/>
            </w:pPr>
            <w:r>
              <w:rPr>
                <w:sz w:val="14"/>
              </w:rPr>
              <w:t>TITAN</w:t>
            </w:r>
          </w:p>
        </w:tc>
        <w:tc>
          <w:tcPr>
            <w:tcW w:type="dxa" w:w="1134"/>
            <w:vAlign w:val="center"/>
          </w:tcPr>
          <w:p>
            <w:pPr>
              <w:spacing w:line="240" w:lineRule="auto" w:after="0"/>
            </w:pPr>
            <w:r>
              <w:rPr>
                <w:sz w:val="14"/>
              </w:rPr>
              <w:t>continuous</w:t>
            </w:r>
          </w:p>
        </w:tc>
        <w:tc>
          <w:tcPr>
            <w:tcW w:type="dxa" w:w="850"/>
            <w:vAlign w:val="center"/>
          </w:tcPr>
          <w:p>
            <w:pPr>
              <w:spacing w:line="240" w:lineRule="auto" w:after="0"/>
            </w:pPr>
            <w:r>
              <w:rPr>
                <w:sz w:val="14"/>
              </w:rPr>
              <w:t>2963</w:t>
            </w:r>
          </w:p>
        </w:tc>
        <w:tc>
          <w:tcPr>
            <w:tcW w:type="dxa" w:w="1417"/>
            <w:vAlign w:val="center"/>
          </w:tcPr>
          <w:p>
            <w:pPr>
              <w:spacing w:line="240" w:lineRule="auto" w:after="0"/>
            </w:pPr>
            <w:r>
              <w:rPr>
                <w:sz w:val="14"/>
              </w:rPr>
              <w:t>2.0</w:t>
            </w:r>
          </w:p>
        </w:tc>
        <w:tc>
          <w:tcPr>
            <w:tcW w:type="dxa" w:w="1871"/>
            <w:vAlign w:val="center"/>
          </w:tcPr>
          <w:p>
            <w:pPr>
              <w:spacing w:line="240" w:lineRule="auto" w:after="0"/>
            </w:pPr>
            <w:r>
              <w:rPr>
                <w:sz w:val="14"/>
              </w:rPr>
              <w:t>4</w:t>
            </w:r>
          </w:p>
        </w:tc>
        <w:tc>
          <w:tcPr>
            <w:tcW w:type="dxa" w:w="1701"/>
            <w:vAlign w:val="center"/>
          </w:tcPr>
          <w:p>
            <w:pPr>
              <w:spacing w:line="240" w:lineRule="auto" w:after="0"/>
            </w:pPr>
            <w:r>
              <w:rPr>
                <w:sz w:val="14"/>
              </w:rPr>
              <w:t>4/14815</w:t>
            </w:r>
          </w:p>
        </w:tc>
      </w:tr>
    </w:tbl>
    <w:p/>
    <w:p>
      <w:pPr>
        <w:pStyle w:val="Heading2"/>
      </w:pPr>
      <w:r>
        <w:t>Table S10b. Representation pipelines not included</w:t>
      </w:r>
    </w:p>
    <w:tbl>
      <w:tblPr>
        <w:tblStyle w:val="TableGrid"/>
        <w:tblW w:type="dxa" w:w="9582"/>
        <w:jc w:val="left"/>
        <w:tblLayout w:type="fixed"/>
        <w:tblLook w:firstColumn="1" w:firstRow="1" w:lastColumn="0" w:lastRow="0" w:noHBand="0" w:noVBand="1" w:val="04A0"/>
        <w:tblLayout w:type="fixed"/>
        <w:tblInd w:type="dxa" w:w="0"/>
      </w:tblPr>
      <w:tblGrid>
        <w:gridCol w:w="1701"/>
        <w:gridCol w:w="1531"/>
        <w:gridCol w:w="3969"/>
        <w:gridCol w:w="2381"/>
      </w:tblGrid>
      <w:tr>
        <w:trPr>
          <w:tblHeader w:val="true"/>
          <w:cantSplit/>
        </w:trPr>
        <w:tc>
          <w:tcPr>
            <w:tcW w:type="dxa" w:w="1701"/>
          </w:tcPr>
          <w:p>
            <w:pPr>
              <w:spacing w:line="216" w:lineRule="auto" w:after="0"/>
            </w:pPr>
            <w:r>
              <w:rPr>
                <w:b/>
                <w:sz w:val="13"/>
              </w:rPr>
              <w:t>Model or family</w:t>
            </w:r>
          </w:p>
        </w:tc>
        <w:tc>
          <w:tcPr>
            <w:tcW w:type="dxa" w:w="1531"/>
          </w:tcPr>
          <w:p>
            <w:pPr>
              <w:spacing w:line="216" w:lineRule="auto" w:after="0"/>
            </w:pPr>
            <w:r>
              <w:rPr>
                <w:b/>
                <w:sz w:val="13"/>
              </w:rPr>
              <w:t>Representation level</w:t>
            </w:r>
          </w:p>
        </w:tc>
        <w:tc>
          <w:tcPr>
            <w:tcW w:type="dxa" w:w="3969"/>
          </w:tcPr>
          <w:p>
            <w:pPr>
              <w:spacing w:line="216" w:lineRule="auto" w:after="0"/>
            </w:pPr>
            <w:r>
              <w:rPr>
                <w:b/>
                <w:sz w:val="13"/>
              </w:rPr>
              <w:t>Reason not included</w:t>
            </w:r>
          </w:p>
        </w:tc>
        <w:tc>
          <w:tcPr>
            <w:tcW w:type="dxa" w:w="2381"/>
          </w:tcPr>
          <w:p>
            <w:pPr>
              <w:spacing w:line="216" w:lineRule="auto" w:after="0"/>
            </w:pPr>
            <w:r>
              <w:rPr>
                <w:b/>
                <w:sz w:val="13"/>
              </w:rPr>
              <w:t>Criterion not met</w:t>
            </w:r>
          </w:p>
        </w:tc>
      </w:tr>
      <w:tr>
        <w:trPr>
          <w:cantSplit/>
        </w:trPr>
        <w:tc>
          <w:tcPr>
            <w:tcW w:type="dxa" w:w="1701"/>
            <w:vAlign w:val="center"/>
          </w:tcPr>
          <w:p>
            <w:pPr>
              <w:spacing w:line="216" w:lineRule="auto" w:after="0"/>
            </w:pPr>
            <w:r>
              <w:rPr>
                <w:sz w:val="13"/>
              </w:rPr>
              <w:t>UNI / UNI2-h</w:t>
            </w:r>
          </w:p>
        </w:tc>
        <w:tc>
          <w:tcPr>
            <w:tcW w:type="dxa" w:w="1531"/>
            <w:vAlign w:val="center"/>
          </w:tcPr>
          <w:p>
            <w:pPr>
              <w:spacing w:line="216" w:lineRule="auto" w:after="0"/>
            </w:pPr>
            <w:r>
              <w:rPr>
                <w:sz w:val="13"/>
              </w:rPr>
              <w:t>tile encoder</w:t>
            </w:r>
          </w:p>
        </w:tc>
        <w:tc>
          <w:tcPr>
            <w:tcW w:type="dxa" w:w="3969"/>
            <w:vAlign w:val="center"/>
          </w:tcPr>
          <w:p>
            <w:pPr>
              <w:spacing w:line="216" w:lineRule="auto" w:after="0"/>
            </w:pPr>
            <w:r>
              <w:rPr>
                <w:sz w:val="13"/>
              </w:rPr>
              <w:t>Released weights and selected pre-extracted features were available, but this project did not identify a ready-to-use one-vector-per-slide TCGA artifact with deterministic slide identifiers and the complete common-cohort coverage required by the matched patient-level analysis.</w:t>
            </w:r>
          </w:p>
        </w:tc>
        <w:tc>
          <w:tcPr>
            <w:tcW w:type="dxa" w:w="2381"/>
            <w:vAlign w:val="center"/>
          </w:tcPr>
          <w:p>
            <w:pPr>
              <w:spacing w:line="216" w:lineRule="auto" w:after="0"/>
            </w:pPr>
            <w:r>
              <w:rPr>
                <w:sz w:val="13"/>
              </w:rPr>
              <w:t>compatible released slide-level TCGA artifact</w:t>
            </w:r>
          </w:p>
        </w:tc>
      </w:tr>
      <w:tr>
        <w:trPr>
          <w:cantSplit/>
        </w:trPr>
        <w:tc>
          <w:tcPr>
            <w:tcW w:type="dxa" w:w="1701"/>
            <w:vAlign w:val="center"/>
          </w:tcPr>
          <w:p>
            <w:pPr>
              <w:spacing w:line="216" w:lineRule="auto" w:after="0"/>
            </w:pPr>
            <w:r>
              <w:rPr>
                <w:sz w:val="13"/>
              </w:rPr>
              <w:t>CONCH / CONCH v1.5</w:t>
            </w:r>
          </w:p>
        </w:tc>
        <w:tc>
          <w:tcPr>
            <w:tcW w:type="dxa" w:w="1531"/>
            <w:vAlign w:val="center"/>
          </w:tcPr>
          <w:p>
            <w:pPr>
              <w:spacing w:line="216" w:lineRule="auto" w:after="0"/>
            </w:pPr>
            <w:r>
              <w:rPr>
                <w:sz w:val="13"/>
              </w:rPr>
              <w:t>tile vision-language encoder</w:t>
            </w:r>
          </w:p>
        </w:tc>
        <w:tc>
          <w:tcPr>
            <w:tcW w:type="dxa" w:w="3969"/>
            <w:vAlign w:val="center"/>
          </w:tcPr>
          <w:p>
            <w:pPr>
              <w:spacing w:line="216" w:lineRule="auto" w:after="0"/>
            </w:pPr>
            <w:r>
              <w:rPr>
                <w:sz w:val="13"/>
              </w:rPr>
              <w:t>The released interface produces tile or ROI embeddings and requires slide tiling plus an aggregation pipeline; no compatible complete slide-level TCGA embedding table meeting the benchmark criteria was used.</w:t>
            </w:r>
          </w:p>
        </w:tc>
        <w:tc>
          <w:tcPr>
            <w:tcW w:type="dxa" w:w="2381"/>
            <w:vAlign w:val="center"/>
          </w:tcPr>
          <w:p>
            <w:pPr>
              <w:spacing w:line="216" w:lineRule="auto" w:after="0"/>
            </w:pPr>
            <w:r>
              <w:rPr>
                <w:sz w:val="13"/>
              </w:rPr>
              <w:t>compatible released slide-level TCGA artifact</w:t>
            </w:r>
          </w:p>
        </w:tc>
      </w:tr>
      <w:tr>
        <w:trPr>
          <w:cantSplit/>
        </w:trPr>
        <w:tc>
          <w:tcPr>
            <w:tcW w:type="dxa" w:w="1701"/>
            <w:vAlign w:val="center"/>
          </w:tcPr>
          <w:p>
            <w:pPr>
              <w:spacing w:line="216" w:lineRule="auto" w:after="0"/>
            </w:pPr>
            <w:r>
              <w:rPr>
                <w:sz w:val="13"/>
              </w:rPr>
              <w:t>Virchow / Virchow2</w:t>
            </w:r>
          </w:p>
        </w:tc>
        <w:tc>
          <w:tcPr>
            <w:tcW w:type="dxa" w:w="1531"/>
            <w:vAlign w:val="center"/>
          </w:tcPr>
          <w:p>
            <w:pPr>
              <w:spacing w:line="216" w:lineRule="auto" w:after="0"/>
            </w:pPr>
            <w:r>
              <w:rPr>
                <w:sz w:val="13"/>
              </w:rPr>
              <w:t>tile encoder</w:t>
            </w:r>
          </w:p>
        </w:tc>
        <w:tc>
          <w:tcPr>
            <w:tcW w:type="dxa" w:w="3969"/>
            <w:vAlign w:val="center"/>
          </w:tcPr>
          <w:p>
            <w:pPr>
              <w:spacing w:line="216" w:lineRule="auto" w:after="0"/>
            </w:pPr>
            <w:r>
              <w:rPr>
                <w:sz w:val="13"/>
              </w:rPr>
              <w:t>The released models are tile encoders; no ready-to-use complete slide-level TCGA embedding artifact with the identifiers and common-cohort coverage required here was identified for the analysis snapshot.</w:t>
            </w:r>
          </w:p>
        </w:tc>
        <w:tc>
          <w:tcPr>
            <w:tcW w:type="dxa" w:w="2381"/>
            <w:vAlign w:val="center"/>
          </w:tcPr>
          <w:p>
            <w:pPr>
              <w:spacing w:line="216" w:lineRule="auto" w:after="0"/>
            </w:pPr>
            <w:r>
              <w:rPr>
                <w:sz w:val="13"/>
              </w:rPr>
              <w:t>compatible released slide-level TCGA artifact</w:t>
            </w:r>
          </w:p>
        </w:tc>
      </w:tr>
      <w:tr>
        <w:trPr>
          <w:cantSplit/>
        </w:trPr>
        <w:tc>
          <w:tcPr>
            <w:tcW w:type="dxa" w:w="1701"/>
            <w:vAlign w:val="center"/>
          </w:tcPr>
          <w:p>
            <w:pPr>
              <w:spacing w:line="216" w:lineRule="auto" w:after="0"/>
            </w:pPr>
            <w:r>
              <w:rPr>
                <w:sz w:val="13"/>
              </w:rPr>
              <w:t>H-optimus-0 / H-optimus-1</w:t>
            </w:r>
          </w:p>
        </w:tc>
        <w:tc>
          <w:tcPr>
            <w:tcW w:type="dxa" w:w="1531"/>
            <w:vAlign w:val="center"/>
          </w:tcPr>
          <w:p>
            <w:pPr>
              <w:spacing w:line="216" w:lineRule="auto" w:after="0"/>
            </w:pPr>
            <w:r>
              <w:rPr>
                <w:sz w:val="13"/>
              </w:rPr>
              <w:t>tile encoder</w:t>
            </w:r>
          </w:p>
        </w:tc>
        <w:tc>
          <w:tcPr>
            <w:tcW w:type="dxa" w:w="3969"/>
            <w:vAlign w:val="center"/>
          </w:tcPr>
          <w:p>
            <w:pPr>
              <w:spacing w:line="216" w:lineRule="auto" w:after="0"/>
            </w:pPr>
            <w:r>
              <w:rPr>
                <w:sz w:val="13"/>
              </w:rPr>
              <w:t>The released models provide tile-level feature extraction and would require downloading or reprocessing WSI pixels plus a separately chosen slide aggregator.</w:t>
            </w:r>
          </w:p>
        </w:tc>
        <w:tc>
          <w:tcPr>
            <w:tcW w:type="dxa" w:w="2381"/>
            <w:vAlign w:val="center"/>
          </w:tcPr>
          <w:p>
            <w:pPr>
              <w:spacing w:line="216" w:lineRule="auto" w:after="0"/>
            </w:pPr>
            <w:r>
              <w:rPr>
                <w:sz w:val="13"/>
              </w:rPr>
              <w:t>no-pixel-reprocessing and compatible slide-level artifact</w:t>
            </w:r>
          </w:p>
        </w:tc>
      </w:tr>
      <w:tr>
        <w:trPr>
          <w:cantSplit/>
        </w:trPr>
        <w:tc>
          <w:tcPr>
            <w:tcW w:type="dxa" w:w="1701"/>
            <w:vAlign w:val="center"/>
          </w:tcPr>
          <w:p>
            <w:pPr>
              <w:spacing w:line="216" w:lineRule="auto" w:after="0"/>
            </w:pPr>
            <w:r>
              <w:rPr>
                <w:sz w:val="13"/>
              </w:rPr>
              <w:t>CHIEF</w:t>
            </w:r>
          </w:p>
        </w:tc>
        <w:tc>
          <w:tcPr>
            <w:tcW w:type="dxa" w:w="1531"/>
            <w:vAlign w:val="center"/>
          </w:tcPr>
          <w:p>
            <w:pPr>
              <w:spacing w:line="216" w:lineRule="auto" w:after="0"/>
            </w:pPr>
            <w:r>
              <w:rPr>
                <w:sz w:val="13"/>
              </w:rPr>
              <w:t>whole-slide model</w:t>
            </w:r>
          </w:p>
        </w:tc>
        <w:tc>
          <w:tcPr>
            <w:tcW w:type="dxa" w:w="3969"/>
            <w:vAlign w:val="center"/>
          </w:tcPr>
          <w:p>
            <w:pPr>
              <w:spacing w:line="216" w:lineRule="auto" w:after="0"/>
            </w:pPr>
            <w:r>
              <w:rPr>
                <w:sz w:val="13"/>
              </w:rPr>
              <w:t>A published whole-slide framework was available, but no ready-to-use complete slide-level TCGA embedding artifact satisfying the deterministic identifier and common-cohort requirements was identified for this project snapshot.</w:t>
            </w:r>
          </w:p>
        </w:tc>
        <w:tc>
          <w:tcPr>
            <w:tcW w:type="dxa" w:w="2381"/>
            <w:vAlign w:val="center"/>
          </w:tcPr>
          <w:p>
            <w:pPr>
              <w:spacing w:line="216" w:lineRule="auto" w:after="0"/>
            </w:pPr>
            <w:r>
              <w:rPr>
                <w:sz w:val="13"/>
              </w:rPr>
              <w:t>compatible released slide-level TCGA artifact</w:t>
            </w:r>
          </w:p>
        </w:tc>
      </w:tr>
      <w:tr>
        <w:trPr>
          <w:cantSplit/>
        </w:trPr>
        <w:tc>
          <w:tcPr>
            <w:tcW w:type="dxa" w:w="1701"/>
            <w:vAlign w:val="center"/>
          </w:tcPr>
          <w:p>
            <w:pPr>
              <w:spacing w:line="216" w:lineRule="auto" w:after="0"/>
            </w:pPr>
            <w:r>
              <w:rPr>
                <w:sz w:val="13"/>
              </w:rPr>
              <w:t>PRISM / PRISM2</w:t>
            </w:r>
          </w:p>
        </w:tc>
        <w:tc>
          <w:tcPr>
            <w:tcW w:type="dxa" w:w="1531"/>
            <w:vAlign w:val="center"/>
          </w:tcPr>
          <w:p>
            <w:pPr>
              <w:spacing w:line="216" w:lineRule="auto" w:after="0"/>
            </w:pPr>
            <w:r>
              <w:rPr>
                <w:sz w:val="13"/>
              </w:rPr>
              <w:t>whole-slide multimodal model</w:t>
            </w:r>
          </w:p>
        </w:tc>
        <w:tc>
          <w:tcPr>
            <w:tcW w:type="dxa" w:w="3969"/>
            <w:vAlign w:val="center"/>
          </w:tcPr>
          <w:p>
            <w:pPr>
              <w:spacing w:line="216" w:lineRule="auto" w:after="0"/>
            </w:pPr>
            <w:r>
              <w:rPr>
                <w:sz w:val="13"/>
              </w:rPr>
              <w:t>These slide-level models were relevant, but the project did not have a released complete TCGA slide-embedding artifact meeting the identifier and common-cohort requirements of the matched analysis.</w:t>
            </w:r>
          </w:p>
        </w:tc>
        <w:tc>
          <w:tcPr>
            <w:tcW w:type="dxa" w:w="2381"/>
            <w:vAlign w:val="center"/>
          </w:tcPr>
          <w:p>
            <w:pPr>
              <w:spacing w:line="216" w:lineRule="auto" w:after="0"/>
            </w:pPr>
            <w:r>
              <w:rPr>
                <w:sz w:val="13"/>
              </w:rPr>
              <w:t>compatible released slide-level TCGA artifact</w:t>
            </w:r>
          </w:p>
        </w:tc>
      </w:tr>
      <w:tr>
        <w:trPr>
          <w:cantSplit/>
        </w:trPr>
        <w:tc>
          <w:tcPr>
            <w:tcW w:type="dxa" w:w="1701"/>
            <w:vAlign w:val="center"/>
          </w:tcPr>
          <w:p>
            <w:pPr>
              <w:spacing w:line="216" w:lineRule="auto" w:after="0"/>
            </w:pPr>
            <w:r>
              <w:rPr>
                <w:sz w:val="13"/>
              </w:rPr>
              <w:t>Threads</w:t>
            </w:r>
          </w:p>
        </w:tc>
        <w:tc>
          <w:tcPr>
            <w:tcW w:type="dxa" w:w="1531"/>
            <w:vAlign w:val="center"/>
          </w:tcPr>
          <w:p>
            <w:pPr>
              <w:spacing w:line="216" w:lineRule="auto" w:after="0"/>
            </w:pPr>
            <w:r>
              <w:rPr>
                <w:sz w:val="13"/>
              </w:rPr>
              <w:t>whole-slide multimodal model</w:t>
            </w:r>
          </w:p>
        </w:tc>
        <w:tc>
          <w:tcPr>
            <w:tcW w:type="dxa" w:w="3969"/>
            <w:vAlign w:val="center"/>
          </w:tcPr>
          <w:p>
            <w:pPr>
              <w:spacing w:line="216" w:lineRule="auto" w:after="0"/>
            </w:pPr>
            <w:r>
              <w:rPr>
                <w:sz w:val="13"/>
              </w:rPr>
              <w:t>The slide-level model was relevant, but no ready-to-use complete TCGA slide-embedding artifact meeting all pragmatic inclusion criteria was available in the project snapshot.</w:t>
            </w:r>
          </w:p>
        </w:tc>
        <w:tc>
          <w:tcPr>
            <w:tcW w:type="dxa" w:w="2381"/>
            <w:vAlign w:val="center"/>
          </w:tcPr>
          <w:p>
            <w:pPr>
              <w:spacing w:line="216" w:lineRule="auto" w:after="0"/>
            </w:pPr>
            <w:r>
              <w:rPr>
                <w:sz w:val="13"/>
              </w:rPr>
              <w:t>compatible released slide-level TCGA artifact</w:t>
            </w:r>
          </w:p>
        </w:tc>
      </w:tr>
    </w:tbl>
    <w:p/>
    <w:p>
      <w:r>
        <w:t>Complete pairwise effects, alternative partitions, threshold curves, grouped-fold adequacy, ridge sensitivity and the 1-20-component audit remain in the foundation_model_* companion files.</w:t>
      </w:r>
    </w:p>
    <w:p>
      <w:pPr>
        <w:pStyle w:val="Heading1"/>
      </w:pPr>
      <w:r>
        <w:t>Table S11. Exact slide-set intersection sensitivity</w:t>
      </w:r>
    </w:p>
    <w:p>
      <w:r>
        <w:t>Within the matched cohort, exact slide sets agreed for 8,207/8,241 patients. The exact three-way intersection contained 10,165 slides and retained every patient.</w:t>
      </w:r>
    </w:p>
    <w:tbl>
      <w:tblPr>
        <w:tblStyle w:val="TableGrid"/>
        <w:tblW w:type="dxa" w:w="9014"/>
        <w:jc w:val="left"/>
        <w:tblLayout w:type="fixed"/>
        <w:tblLook w:firstColumn="1" w:firstRow="1" w:lastColumn="0" w:lastRow="0" w:noHBand="0" w:noVBand="1" w:val="04A0"/>
        <w:tblLayout w:type="fixed"/>
        <w:tblInd w:type="dxa" w:w="0"/>
      </w:tblPr>
      <w:tblGrid>
        <w:gridCol w:w="1361"/>
        <w:gridCol w:w="964"/>
        <w:gridCol w:w="680"/>
        <w:gridCol w:w="1247"/>
        <w:gridCol w:w="1361"/>
        <w:gridCol w:w="1020"/>
        <w:gridCol w:w="1247"/>
        <w:gridCol w:w="1134"/>
      </w:tblGrid>
      <w:tr>
        <w:trPr>
          <w:tblHeader w:val="true"/>
          <w:cantSplit/>
        </w:trPr>
        <w:tc>
          <w:tcPr>
            <w:tcW w:type="dxa" w:w="1361"/>
          </w:tcPr>
          <w:p>
            <w:pPr>
              <w:spacing w:line="216" w:lineRule="auto" w:after="0"/>
            </w:pPr>
            <w:r>
              <w:rPr>
                <w:b/>
                <w:sz w:val="14"/>
              </w:rPr>
              <w:t>Representation</w:t>
            </w:r>
          </w:p>
        </w:tc>
        <w:tc>
          <w:tcPr>
            <w:tcW w:type="dxa" w:w="964"/>
          </w:tcPr>
          <w:p>
            <w:pPr>
              <w:spacing w:line="216" w:lineRule="auto" w:after="0"/>
            </w:pPr>
            <w:r>
              <w:rPr>
                <w:b/>
                <w:sz w:val="14"/>
              </w:rPr>
              <w:t>Outcome</w:t>
            </w:r>
          </w:p>
        </w:tc>
        <w:tc>
          <w:tcPr>
            <w:tcW w:type="dxa" w:w="680"/>
          </w:tcPr>
          <w:p>
            <w:pPr>
              <w:spacing w:line="216" w:lineRule="auto" w:after="0"/>
            </w:pPr>
            <w:r>
              <w:rPr>
                <w:b/>
                <w:sz w:val="14"/>
              </w:rPr>
              <w:t>Tasks</w:t>
            </w:r>
          </w:p>
        </w:tc>
        <w:tc>
          <w:tcPr>
            <w:tcW w:type="dxa" w:w="1247"/>
          </w:tcPr>
          <w:p>
            <w:pPr>
              <w:spacing w:line="216" w:lineRule="auto" w:after="0"/>
            </w:pPr>
            <w:r>
              <w:rPr>
                <w:b/>
                <w:sz w:val="14"/>
              </w:rPr>
              <w:t>Primary crossings</w:t>
            </w:r>
          </w:p>
        </w:tc>
        <w:tc>
          <w:tcPr>
            <w:tcW w:type="dxa" w:w="1361"/>
          </w:tcPr>
          <w:p>
            <w:pPr>
              <w:spacing w:line="216" w:lineRule="auto" w:after="0"/>
            </w:pPr>
            <w:r>
              <w:rPr>
                <w:b/>
                <w:sz w:val="14"/>
              </w:rPr>
              <w:t>Exact-slide crossings</w:t>
            </w:r>
          </w:p>
        </w:tc>
        <w:tc>
          <w:tcPr>
            <w:tcW w:type="dxa" w:w="1020"/>
          </w:tcPr>
          <w:p>
            <w:pPr>
              <w:spacing w:line="216" w:lineRule="auto" w:after="0"/>
            </w:pPr>
            <w:r>
              <w:rPr>
                <w:b/>
                <w:sz w:val="14"/>
              </w:rPr>
              <w:t>Lost/gained</w:t>
            </w:r>
          </w:p>
        </w:tc>
        <w:tc>
          <w:tcPr>
            <w:tcW w:type="dxa" w:w="1247"/>
          </w:tcPr>
          <w:p>
            <w:pPr>
              <w:spacing w:line="216" w:lineRule="auto" w:after="0"/>
            </w:pPr>
            <w:r>
              <w:rPr>
                <w:b/>
                <w:sz w:val="14"/>
              </w:rPr>
              <w:t>Median change</w:t>
            </w:r>
          </w:p>
        </w:tc>
        <w:tc>
          <w:tcPr>
            <w:tcW w:type="dxa" w:w="1134"/>
          </w:tcPr>
          <w:p>
            <w:pPr>
              <w:spacing w:line="216" w:lineRule="auto" w:after="0"/>
            </w:pPr>
            <w:r>
              <w:rPr>
                <w:b/>
                <w:sz w:val="14"/>
              </w:rPr>
              <w:t>Spearman</w:t>
            </w:r>
          </w:p>
        </w:tc>
      </w:tr>
      <w:tr>
        <w:trPr>
          <w:cantSplit/>
        </w:trPr>
        <w:tc>
          <w:tcPr>
            <w:tcW w:type="dxa" w:w="1361"/>
            <w:vAlign w:val="center"/>
          </w:tcPr>
          <w:p>
            <w:pPr>
              <w:spacing w:line="216" w:lineRule="auto" w:after="0"/>
            </w:pPr>
            <w:r>
              <w:rPr>
                <w:sz w:val="13"/>
              </w:rPr>
              <w:t>Giga-SSL</w:t>
            </w:r>
          </w:p>
        </w:tc>
        <w:tc>
          <w:tcPr>
            <w:tcW w:type="dxa" w:w="964"/>
            <w:vAlign w:val="center"/>
          </w:tcPr>
          <w:p>
            <w:pPr>
              <w:spacing w:line="216" w:lineRule="auto" w:after="0"/>
            </w:pPr>
            <w:r>
              <w:rPr>
                <w:sz w:val="13"/>
              </w:rPr>
              <w:t>binary</w:t>
            </w:r>
          </w:p>
        </w:tc>
        <w:tc>
          <w:tcPr>
            <w:tcW w:type="dxa" w:w="680"/>
            <w:vAlign w:val="center"/>
          </w:tcPr>
          <w:p>
            <w:pPr>
              <w:spacing w:line="216" w:lineRule="auto" w:after="0"/>
            </w:pPr>
            <w:r>
              <w:rPr>
                <w:sz w:val="13"/>
              </w:rPr>
              <w:t>426</w:t>
            </w:r>
          </w:p>
        </w:tc>
        <w:tc>
          <w:tcPr>
            <w:tcW w:type="dxa" w:w="1247"/>
            <w:vAlign w:val="center"/>
          </w:tcPr>
          <w:p>
            <w:pPr>
              <w:spacing w:line="216" w:lineRule="auto" w:after="0"/>
            </w:pPr>
            <w:r>
              <w:rPr>
                <w:sz w:val="13"/>
              </w:rPr>
              <w:t>166</w:t>
            </w:r>
          </w:p>
        </w:tc>
        <w:tc>
          <w:tcPr>
            <w:tcW w:type="dxa" w:w="1361"/>
            <w:vAlign w:val="center"/>
          </w:tcPr>
          <w:p>
            <w:pPr>
              <w:spacing w:line="216" w:lineRule="auto" w:after="0"/>
            </w:pPr>
            <w:r>
              <w:rPr>
                <w:sz w:val="13"/>
              </w:rPr>
              <w:t>167</w:t>
            </w:r>
          </w:p>
        </w:tc>
        <w:tc>
          <w:tcPr>
            <w:tcW w:type="dxa" w:w="1020"/>
            <w:vAlign w:val="center"/>
          </w:tcPr>
          <w:p>
            <w:pPr>
              <w:spacing w:line="216" w:lineRule="auto" w:after="0"/>
            </w:pPr>
            <w:r>
              <w:rPr>
                <w:sz w:val="13"/>
              </w:rPr>
              <w:t>0/1</w:t>
            </w:r>
          </w:p>
        </w:tc>
        <w:tc>
          <w:tcPr>
            <w:tcW w:type="dxa" w:w="1247"/>
            <w:vAlign w:val="center"/>
          </w:tcPr>
          <w:p>
            <w:pPr>
              <w:spacing w:line="216" w:lineRule="auto" w:after="0"/>
            </w:pPr>
            <w:r>
              <w:rPr>
                <w:sz w:val="13"/>
              </w:rPr>
              <w:t>0.0000</w:t>
            </w:r>
          </w:p>
        </w:tc>
        <w:tc>
          <w:tcPr>
            <w:tcW w:type="dxa" w:w="1134"/>
            <w:vAlign w:val="center"/>
          </w:tcPr>
          <w:p>
            <w:pPr>
              <w:spacing w:line="216" w:lineRule="auto" w:after="0"/>
            </w:pPr>
            <w:r>
              <w:rPr>
                <w:sz w:val="13"/>
              </w:rPr>
              <w:t>1.000</w:t>
            </w:r>
          </w:p>
        </w:tc>
      </w:tr>
      <w:tr>
        <w:trPr>
          <w:cantSplit/>
        </w:trPr>
        <w:tc>
          <w:tcPr>
            <w:tcW w:type="dxa" w:w="1361"/>
            <w:vAlign w:val="center"/>
          </w:tcPr>
          <w:p>
            <w:pPr>
              <w:spacing w:line="216" w:lineRule="auto" w:after="0"/>
            </w:pPr>
            <w:r>
              <w:rPr>
                <w:sz w:val="13"/>
              </w:rPr>
              <w:t>Giga-SSL</w:t>
            </w:r>
          </w:p>
        </w:tc>
        <w:tc>
          <w:tcPr>
            <w:tcW w:type="dxa" w:w="964"/>
            <w:vAlign w:val="center"/>
          </w:tcPr>
          <w:p>
            <w:pPr>
              <w:spacing w:line="216" w:lineRule="auto" w:after="0"/>
            </w:pPr>
            <w:r>
              <w:rPr>
                <w:sz w:val="13"/>
              </w:rPr>
              <w:t>continuous</w:t>
            </w:r>
          </w:p>
        </w:tc>
        <w:tc>
          <w:tcPr>
            <w:tcW w:type="dxa" w:w="680"/>
            <w:vAlign w:val="center"/>
          </w:tcPr>
          <w:p>
            <w:pPr>
              <w:spacing w:line="216" w:lineRule="auto" w:after="0"/>
            </w:pPr>
            <w:r>
              <w:rPr>
                <w:sz w:val="13"/>
              </w:rPr>
              <w:t>2963</w:t>
            </w:r>
          </w:p>
        </w:tc>
        <w:tc>
          <w:tcPr>
            <w:tcW w:type="dxa" w:w="1247"/>
            <w:vAlign w:val="center"/>
          </w:tcPr>
          <w:p>
            <w:pPr>
              <w:spacing w:line="216" w:lineRule="auto" w:after="0"/>
            </w:pPr>
            <w:r>
              <w:rPr>
                <w:sz w:val="13"/>
              </w:rPr>
              <w:t>362</w:t>
            </w:r>
          </w:p>
        </w:tc>
        <w:tc>
          <w:tcPr>
            <w:tcW w:type="dxa" w:w="1361"/>
            <w:vAlign w:val="center"/>
          </w:tcPr>
          <w:p>
            <w:pPr>
              <w:spacing w:line="216" w:lineRule="auto" w:after="0"/>
            </w:pPr>
            <w:r>
              <w:rPr>
                <w:sz w:val="13"/>
              </w:rPr>
              <w:t>364</w:t>
            </w:r>
          </w:p>
        </w:tc>
        <w:tc>
          <w:tcPr>
            <w:tcW w:type="dxa" w:w="1020"/>
            <w:vAlign w:val="center"/>
          </w:tcPr>
          <w:p>
            <w:pPr>
              <w:spacing w:line="216" w:lineRule="auto" w:after="0"/>
            </w:pPr>
            <w:r>
              <w:rPr>
                <w:sz w:val="13"/>
              </w:rPr>
              <w:t>1/3</w:t>
            </w:r>
          </w:p>
        </w:tc>
        <w:tc>
          <w:tcPr>
            <w:tcW w:type="dxa" w:w="1247"/>
            <w:vAlign w:val="center"/>
          </w:tcPr>
          <w:p>
            <w:pPr>
              <w:spacing w:line="216" w:lineRule="auto" w:after="0"/>
            </w:pPr>
            <w:r>
              <w:rPr>
                <w:sz w:val="13"/>
              </w:rPr>
              <w:t>0.0000</w:t>
            </w:r>
          </w:p>
        </w:tc>
        <w:tc>
          <w:tcPr>
            <w:tcW w:type="dxa" w:w="1134"/>
            <w:vAlign w:val="center"/>
          </w:tcPr>
          <w:p>
            <w:pPr>
              <w:spacing w:line="216" w:lineRule="auto" w:after="0"/>
            </w:pPr>
            <w:r>
              <w:rPr>
                <w:sz w:val="13"/>
              </w:rPr>
              <w:t>0.994</w:t>
            </w:r>
          </w:p>
        </w:tc>
      </w:tr>
      <w:tr>
        <w:trPr>
          <w:cantSplit/>
        </w:trPr>
        <w:tc>
          <w:tcPr>
            <w:tcW w:type="dxa" w:w="1361"/>
            <w:vAlign w:val="center"/>
          </w:tcPr>
          <w:p>
            <w:pPr>
              <w:spacing w:line="216" w:lineRule="auto" w:after="0"/>
            </w:pPr>
            <w:r>
              <w:rPr>
                <w:sz w:val="13"/>
              </w:rPr>
              <w:t>Prov-GigaPath</w:t>
            </w:r>
          </w:p>
        </w:tc>
        <w:tc>
          <w:tcPr>
            <w:tcW w:type="dxa" w:w="964"/>
            <w:vAlign w:val="center"/>
          </w:tcPr>
          <w:p>
            <w:pPr>
              <w:spacing w:line="216" w:lineRule="auto" w:after="0"/>
            </w:pPr>
            <w:r>
              <w:rPr>
                <w:sz w:val="13"/>
              </w:rPr>
              <w:t>binary</w:t>
            </w:r>
          </w:p>
        </w:tc>
        <w:tc>
          <w:tcPr>
            <w:tcW w:type="dxa" w:w="680"/>
            <w:vAlign w:val="center"/>
          </w:tcPr>
          <w:p>
            <w:pPr>
              <w:spacing w:line="216" w:lineRule="auto" w:after="0"/>
            </w:pPr>
            <w:r>
              <w:rPr>
                <w:sz w:val="13"/>
              </w:rPr>
              <w:t>426</w:t>
            </w:r>
          </w:p>
        </w:tc>
        <w:tc>
          <w:tcPr>
            <w:tcW w:type="dxa" w:w="1247"/>
            <w:vAlign w:val="center"/>
          </w:tcPr>
          <w:p>
            <w:pPr>
              <w:spacing w:line="216" w:lineRule="auto" w:after="0"/>
            </w:pPr>
            <w:r>
              <w:rPr>
                <w:sz w:val="13"/>
              </w:rPr>
              <w:t>176</w:t>
            </w:r>
          </w:p>
        </w:tc>
        <w:tc>
          <w:tcPr>
            <w:tcW w:type="dxa" w:w="1361"/>
            <w:vAlign w:val="center"/>
          </w:tcPr>
          <w:p>
            <w:pPr>
              <w:spacing w:line="216" w:lineRule="auto" w:after="0"/>
            </w:pPr>
            <w:r>
              <w:rPr>
                <w:sz w:val="13"/>
              </w:rPr>
              <w:t>176</w:t>
            </w:r>
          </w:p>
        </w:tc>
        <w:tc>
          <w:tcPr>
            <w:tcW w:type="dxa" w:w="1020"/>
            <w:vAlign w:val="center"/>
          </w:tcPr>
          <w:p>
            <w:pPr>
              <w:spacing w:line="216" w:lineRule="auto" w:after="0"/>
            </w:pPr>
            <w:r>
              <w:rPr>
                <w:sz w:val="13"/>
              </w:rPr>
              <w:t>0/0</w:t>
            </w:r>
          </w:p>
        </w:tc>
        <w:tc>
          <w:tcPr>
            <w:tcW w:type="dxa" w:w="1247"/>
            <w:vAlign w:val="center"/>
          </w:tcPr>
          <w:p>
            <w:pPr>
              <w:spacing w:line="216" w:lineRule="auto" w:after="0"/>
            </w:pPr>
            <w:r>
              <w:rPr>
                <w:sz w:val="13"/>
              </w:rPr>
              <w:t>0.0000</w:t>
            </w:r>
          </w:p>
        </w:tc>
        <w:tc>
          <w:tcPr>
            <w:tcW w:type="dxa" w:w="1134"/>
            <w:vAlign w:val="center"/>
          </w:tcPr>
          <w:p>
            <w:pPr>
              <w:spacing w:line="216" w:lineRule="auto" w:after="0"/>
            </w:pPr>
            <w:r>
              <w:rPr>
                <w:sz w:val="13"/>
              </w:rPr>
              <w:t>0.999</w:t>
            </w:r>
          </w:p>
        </w:tc>
      </w:tr>
      <w:tr>
        <w:trPr>
          <w:cantSplit/>
        </w:trPr>
        <w:tc>
          <w:tcPr>
            <w:tcW w:type="dxa" w:w="1361"/>
            <w:vAlign w:val="center"/>
          </w:tcPr>
          <w:p>
            <w:pPr>
              <w:spacing w:line="216" w:lineRule="auto" w:after="0"/>
            </w:pPr>
            <w:r>
              <w:rPr>
                <w:sz w:val="13"/>
              </w:rPr>
              <w:t>Prov-GigaPath</w:t>
            </w:r>
          </w:p>
        </w:tc>
        <w:tc>
          <w:tcPr>
            <w:tcW w:type="dxa" w:w="964"/>
            <w:vAlign w:val="center"/>
          </w:tcPr>
          <w:p>
            <w:pPr>
              <w:spacing w:line="216" w:lineRule="auto" w:after="0"/>
            </w:pPr>
            <w:r>
              <w:rPr>
                <w:sz w:val="13"/>
              </w:rPr>
              <w:t>continuous</w:t>
            </w:r>
          </w:p>
        </w:tc>
        <w:tc>
          <w:tcPr>
            <w:tcW w:type="dxa" w:w="680"/>
            <w:vAlign w:val="center"/>
          </w:tcPr>
          <w:p>
            <w:pPr>
              <w:spacing w:line="216" w:lineRule="auto" w:after="0"/>
            </w:pPr>
            <w:r>
              <w:rPr>
                <w:sz w:val="13"/>
              </w:rPr>
              <w:t>2963</w:t>
            </w:r>
          </w:p>
        </w:tc>
        <w:tc>
          <w:tcPr>
            <w:tcW w:type="dxa" w:w="1247"/>
            <w:vAlign w:val="center"/>
          </w:tcPr>
          <w:p>
            <w:pPr>
              <w:spacing w:line="216" w:lineRule="auto" w:after="0"/>
            </w:pPr>
            <w:r>
              <w:rPr>
                <w:sz w:val="13"/>
              </w:rPr>
              <w:t>441</w:t>
            </w:r>
          </w:p>
        </w:tc>
        <w:tc>
          <w:tcPr>
            <w:tcW w:type="dxa" w:w="1361"/>
            <w:vAlign w:val="center"/>
          </w:tcPr>
          <w:p>
            <w:pPr>
              <w:spacing w:line="216" w:lineRule="auto" w:after="0"/>
            </w:pPr>
            <w:r>
              <w:rPr>
                <w:sz w:val="13"/>
              </w:rPr>
              <w:t>444</w:t>
            </w:r>
          </w:p>
        </w:tc>
        <w:tc>
          <w:tcPr>
            <w:tcW w:type="dxa" w:w="1020"/>
            <w:vAlign w:val="center"/>
          </w:tcPr>
          <w:p>
            <w:pPr>
              <w:spacing w:line="216" w:lineRule="auto" w:after="0"/>
            </w:pPr>
            <w:r>
              <w:rPr>
                <w:sz w:val="13"/>
              </w:rPr>
              <w:t>0/3</w:t>
            </w:r>
          </w:p>
        </w:tc>
        <w:tc>
          <w:tcPr>
            <w:tcW w:type="dxa" w:w="1247"/>
            <w:vAlign w:val="center"/>
          </w:tcPr>
          <w:p>
            <w:pPr>
              <w:spacing w:line="216" w:lineRule="auto" w:after="0"/>
            </w:pPr>
            <w:r>
              <w:rPr>
                <w:sz w:val="13"/>
              </w:rPr>
              <w:t>0.0000</w:t>
            </w:r>
          </w:p>
        </w:tc>
        <w:tc>
          <w:tcPr>
            <w:tcW w:type="dxa" w:w="1134"/>
            <w:vAlign w:val="center"/>
          </w:tcPr>
          <w:p>
            <w:pPr>
              <w:spacing w:line="216" w:lineRule="auto" w:after="0"/>
            </w:pPr>
            <w:r>
              <w:rPr>
                <w:sz w:val="13"/>
              </w:rPr>
              <w:t>1.000</w:t>
            </w:r>
          </w:p>
        </w:tc>
      </w:tr>
      <w:tr>
        <w:trPr>
          <w:cantSplit/>
        </w:trPr>
        <w:tc>
          <w:tcPr>
            <w:tcW w:type="dxa" w:w="1361"/>
            <w:vAlign w:val="center"/>
          </w:tcPr>
          <w:p>
            <w:pPr>
              <w:spacing w:line="216" w:lineRule="auto" w:after="0"/>
            </w:pPr>
            <w:r>
              <w:rPr>
                <w:sz w:val="13"/>
              </w:rPr>
              <w:t>TITAN</w:t>
            </w:r>
          </w:p>
        </w:tc>
        <w:tc>
          <w:tcPr>
            <w:tcW w:type="dxa" w:w="964"/>
            <w:vAlign w:val="center"/>
          </w:tcPr>
          <w:p>
            <w:pPr>
              <w:spacing w:line="216" w:lineRule="auto" w:after="0"/>
            </w:pPr>
            <w:r>
              <w:rPr>
                <w:sz w:val="13"/>
              </w:rPr>
              <w:t>binary</w:t>
            </w:r>
          </w:p>
        </w:tc>
        <w:tc>
          <w:tcPr>
            <w:tcW w:type="dxa" w:w="680"/>
            <w:vAlign w:val="center"/>
          </w:tcPr>
          <w:p>
            <w:pPr>
              <w:spacing w:line="216" w:lineRule="auto" w:after="0"/>
            </w:pPr>
            <w:r>
              <w:rPr>
                <w:sz w:val="13"/>
              </w:rPr>
              <w:t>426</w:t>
            </w:r>
          </w:p>
        </w:tc>
        <w:tc>
          <w:tcPr>
            <w:tcW w:type="dxa" w:w="1247"/>
            <w:vAlign w:val="center"/>
          </w:tcPr>
          <w:p>
            <w:pPr>
              <w:spacing w:line="216" w:lineRule="auto" w:after="0"/>
            </w:pPr>
            <w:r>
              <w:rPr>
                <w:sz w:val="13"/>
              </w:rPr>
              <w:t>230</w:t>
            </w:r>
          </w:p>
        </w:tc>
        <w:tc>
          <w:tcPr>
            <w:tcW w:type="dxa" w:w="1361"/>
            <w:vAlign w:val="center"/>
          </w:tcPr>
          <w:p>
            <w:pPr>
              <w:spacing w:line="216" w:lineRule="auto" w:after="0"/>
            </w:pPr>
            <w:r>
              <w:rPr>
                <w:sz w:val="13"/>
              </w:rPr>
              <w:t>231</w:t>
            </w:r>
          </w:p>
        </w:tc>
        <w:tc>
          <w:tcPr>
            <w:tcW w:type="dxa" w:w="1020"/>
            <w:vAlign w:val="center"/>
          </w:tcPr>
          <w:p>
            <w:pPr>
              <w:spacing w:line="216" w:lineRule="auto" w:after="0"/>
            </w:pPr>
            <w:r>
              <w:rPr>
                <w:sz w:val="13"/>
              </w:rPr>
              <w:t>0/1</w:t>
            </w:r>
          </w:p>
        </w:tc>
        <w:tc>
          <w:tcPr>
            <w:tcW w:type="dxa" w:w="1247"/>
            <w:vAlign w:val="center"/>
          </w:tcPr>
          <w:p>
            <w:pPr>
              <w:spacing w:line="216" w:lineRule="auto" w:after="0"/>
            </w:pPr>
            <w:r>
              <w:rPr>
                <w:sz w:val="13"/>
              </w:rPr>
              <w:t>0.0000</w:t>
            </w:r>
          </w:p>
        </w:tc>
        <w:tc>
          <w:tcPr>
            <w:tcW w:type="dxa" w:w="1134"/>
            <w:vAlign w:val="center"/>
          </w:tcPr>
          <w:p>
            <w:pPr>
              <w:spacing w:line="216" w:lineRule="auto" w:after="0"/>
            </w:pPr>
            <w:r>
              <w:rPr>
                <w:sz w:val="13"/>
              </w:rPr>
              <w:t>0.999</w:t>
            </w:r>
          </w:p>
        </w:tc>
      </w:tr>
      <w:tr>
        <w:trPr>
          <w:cantSplit/>
        </w:trPr>
        <w:tc>
          <w:tcPr>
            <w:tcW w:type="dxa" w:w="1361"/>
            <w:vAlign w:val="center"/>
          </w:tcPr>
          <w:p>
            <w:pPr>
              <w:spacing w:line="216" w:lineRule="auto" w:after="0"/>
            </w:pPr>
            <w:r>
              <w:rPr>
                <w:sz w:val="13"/>
              </w:rPr>
              <w:t>TITAN</w:t>
            </w:r>
          </w:p>
        </w:tc>
        <w:tc>
          <w:tcPr>
            <w:tcW w:type="dxa" w:w="964"/>
            <w:vAlign w:val="center"/>
          </w:tcPr>
          <w:p>
            <w:pPr>
              <w:spacing w:line="216" w:lineRule="auto" w:after="0"/>
            </w:pPr>
            <w:r>
              <w:rPr>
                <w:sz w:val="13"/>
              </w:rPr>
              <w:t>continuous</w:t>
            </w:r>
          </w:p>
        </w:tc>
        <w:tc>
          <w:tcPr>
            <w:tcW w:type="dxa" w:w="680"/>
            <w:vAlign w:val="center"/>
          </w:tcPr>
          <w:p>
            <w:pPr>
              <w:spacing w:line="216" w:lineRule="auto" w:after="0"/>
            </w:pPr>
            <w:r>
              <w:rPr>
                <w:sz w:val="13"/>
              </w:rPr>
              <w:t>2963</w:t>
            </w:r>
          </w:p>
        </w:tc>
        <w:tc>
          <w:tcPr>
            <w:tcW w:type="dxa" w:w="1247"/>
            <w:vAlign w:val="center"/>
          </w:tcPr>
          <w:p>
            <w:pPr>
              <w:spacing w:line="216" w:lineRule="auto" w:after="0"/>
            </w:pPr>
            <w:r>
              <w:rPr>
                <w:sz w:val="13"/>
              </w:rPr>
              <w:t>643</w:t>
            </w:r>
          </w:p>
        </w:tc>
        <w:tc>
          <w:tcPr>
            <w:tcW w:type="dxa" w:w="1361"/>
            <w:vAlign w:val="center"/>
          </w:tcPr>
          <w:p>
            <w:pPr>
              <w:spacing w:line="216" w:lineRule="auto" w:after="0"/>
            </w:pPr>
            <w:r>
              <w:rPr>
                <w:sz w:val="13"/>
              </w:rPr>
              <w:t>648</w:t>
            </w:r>
          </w:p>
        </w:tc>
        <w:tc>
          <w:tcPr>
            <w:tcW w:type="dxa" w:w="1020"/>
            <w:vAlign w:val="center"/>
          </w:tcPr>
          <w:p>
            <w:pPr>
              <w:spacing w:line="216" w:lineRule="auto" w:after="0"/>
            </w:pPr>
            <w:r>
              <w:rPr>
                <w:sz w:val="13"/>
              </w:rPr>
              <w:t>0/5</w:t>
            </w:r>
          </w:p>
        </w:tc>
        <w:tc>
          <w:tcPr>
            <w:tcW w:type="dxa" w:w="1247"/>
            <w:vAlign w:val="center"/>
          </w:tcPr>
          <w:p>
            <w:pPr>
              <w:spacing w:line="216" w:lineRule="auto" w:after="0"/>
            </w:pPr>
            <w:r>
              <w:rPr>
                <w:sz w:val="13"/>
              </w:rPr>
              <w:t>0.0000</w:t>
            </w:r>
          </w:p>
        </w:tc>
        <w:tc>
          <w:tcPr>
            <w:tcW w:type="dxa" w:w="1134"/>
            <w:vAlign w:val="center"/>
          </w:tcPr>
          <w:p>
            <w:pPr>
              <w:spacing w:line="216" w:lineRule="auto" w:after="0"/>
            </w:pPr>
            <w:r>
              <w:rPr>
                <w:sz w:val="13"/>
              </w:rPr>
              <w:t>0.997</w:t>
            </w:r>
          </w:p>
        </w:tc>
      </w:tr>
    </w:tbl>
    <w:p/>
    <w:p>
      <w:pPr>
        <w:pStyle w:val="Heading1"/>
      </w:pPr>
      <w:r>
        <w:t>Table S12. Catalogue-normalized representation breadth</w:t>
      </w:r>
    </w:p>
    <w:tbl>
      <w:tblPr>
        <w:tblStyle w:val="TableGrid"/>
        <w:tblW w:type="dxa" w:w="9751"/>
        <w:jc w:val="left"/>
        <w:tblLayout w:type="fixed"/>
        <w:tblLook w:firstColumn="1" w:firstRow="1" w:lastColumn="0" w:lastRow="0" w:noHBand="0" w:noVBand="1" w:val="04A0"/>
        <w:tblLayout w:type="fixed"/>
        <w:tblInd w:type="dxa" w:w="0"/>
      </w:tblPr>
      <w:tblGrid>
        <w:gridCol w:w="1417"/>
        <w:gridCol w:w="907"/>
        <w:gridCol w:w="1701"/>
        <w:gridCol w:w="1757"/>
        <w:gridCol w:w="1134"/>
        <w:gridCol w:w="1134"/>
        <w:gridCol w:w="1701"/>
      </w:tblGrid>
      <w:tr>
        <w:trPr>
          <w:tblHeader w:val="true"/>
          <w:cantSplit/>
        </w:trPr>
        <w:tc>
          <w:tcPr>
            <w:tcW w:type="dxa" w:w="1417"/>
          </w:tcPr>
          <w:p>
            <w:pPr>
              <w:spacing w:line="216" w:lineRule="auto" w:after="0"/>
            </w:pPr>
            <w:r>
              <w:rPr>
                <w:b/>
                <w:sz w:val="14"/>
              </w:rPr>
              <w:t>Representation</w:t>
            </w:r>
          </w:p>
        </w:tc>
        <w:tc>
          <w:tcPr>
            <w:tcW w:type="dxa" w:w="907"/>
          </w:tcPr>
          <w:p>
            <w:pPr>
              <w:spacing w:line="216" w:lineRule="auto" w:after="0"/>
            </w:pPr>
            <w:r>
              <w:rPr>
                <w:b/>
                <w:sz w:val="14"/>
              </w:rPr>
              <w:t>Outcome</w:t>
            </w:r>
          </w:p>
        </w:tc>
        <w:tc>
          <w:tcPr>
            <w:tcW w:type="dxa" w:w="1701"/>
          </w:tcPr>
          <w:p>
            <w:pPr>
              <w:spacing w:line="216" w:lineRule="auto" w:after="0"/>
            </w:pPr>
            <w:r>
              <w:rPr>
                <w:b/>
                <w:sz w:val="14"/>
              </w:rPr>
              <w:t>Task crossings</w:t>
            </w:r>
          </w:p>
        </w:tc>
        <w:tc>
          <w:tcPr>
            <w:tcW w:type="dxa" w:w="1757"/>
          </w:tcPr>
          <w:p>
            <w:pPr>
              <w:spacing w:line="216" w:lineRule="auto" w:after="0"/>
            </w:pPr>
            <w:r>
              <w:rPr>
                <w:b/>
                <w:sz w:val="14"/>
              </w:rPr>
              <w:t>Unique definitions</w:t>
            </w:r>
          </w:p>
        </w:tc>
        <w:tc>
          <w:tcPr>
            <w:tcW w:type="dxa" w:w="1134"/>
          </w:tcPr>
          <w:p>
            <w:pPr>
              <w:spacing w:line="216" w:lineRule="auto" w:after="0"/>
            </w:pPr>
            <w:r>
              <w:rPr>
                <w:b/>
                <w:sz w:val="14"/>
              </w:rPr>
              <w:t>Macro family %</w:t>
            </w:r>
          </w:p>
        </w:tc>
        <w:tc>
          <w:tcPr>
            <w:tcW w:type="dxa" w:w="1134"/>
          </w:tcPr>
          <w:p>
            <w:pPr>
              <w:spacing w:line="216" w:lineRule="auto" w:after="0"/>
            </w:pPr>
            <w:r>
              <w:rPr>
                <w:b/>
                <w:sz w:val="14"/>
              </w:rPr>
              <w:t>Macro cancer %</w:t>
            </w:r>
          </w:p>
        </w:tc>
        <w:tc>
          <w:tcPr>
            <w:tcW w:type="dxa" w:w="1701"/>
          </w:tcPr>
          <w:p>
            <w:pPr>
              <w:spacing w:line="216" w:lineRule="auto" w:after="0"/>
            </w:pPr>
            <w:r>
              <w:rPr>
                <w:b/>
                <w:sz w:val="14"/>
              </w:rPr>
              <w:t>Largest family share</w:t>
            </w:r>
          </w:p>
        </w:tc>
      </w:tr>
      <w:tr>
        <w:trPr>
          <w:cantSplit/>
        </w:trPr>
        <w:tc>
          <w:tcPr>
            <w:tcW w:type="dxa" w:w="1417"/>
            <w:vAlign w:val="center"/>
          </w:tcPr>
          <w:p>
            <w:pPr>
              <w:spacing w:line="216" w:lineRule="auto" w:after="0"/>
            </w:pPr>
            <w:r>
              <w:rPr>
                <w:sz w:val="13"/>
              </w:rPr>
              <w:t>Giga-SSL</w:t>
            </w:r>
          </w:p>
        </w:tc>
        <w:tc>
          <w:tcPr>
            <w:tcW w:type="dxa" w:w="907"/>
            <w:vAlign w:val="center"/>
          </w:tcPr>
          <w:p>
            <w:pPr>
              <w:spacing w:line="216" w:lineRule="auto" w:after="0"/>
            </w:pPr>
            <w:r>
              <w:rPr>
                <w:sz w:val="13"/>
              </w:rPr>
              <w:t>binary</w:t>
            </w:r>
          </w:p>
        </w:tc>
        <w:tc>
          <w:tcPr>
            <w:tcW w:type="dxa" w:w="1701"/>
            <w:vAlign w:val="center"/>
          </w:tcPr>
          <w:p>
            <w:pPr>
              <w:spacing w:line="216" w:lineRule="auto" w:after="0"/>
            </w:pPr>
            <w:r>
              <w:rPr>
                <w:sz w:val="13"/>
              </w:rPr>
              <w:t>166/426 (39.0%)</w:t>
            </w:r>
          </w:p>
        </w:tc>
        <w:tc>
          <w:tcPr>
            <w:tcW w:type="dxa" w:w="1757"/>
            <w:vAlign w:val="center"/>
          </w:tcPr>
          <w:p>
            <w:pPr>
              <w:spacing w:line="216" w:lineRule="auto" w:after="0"/>
            </w:pPr>
            <w:r>
              <w:rPr>
                <w:sz w:val="13"/>
              </w:rPr>
              <w:t>67/131 (51.1%)</w:t>
            </w:r>
          </w:p>
        </w:tc>
        <w:tc>
          <w:tcPr>
            <w:tcW w:type="dxa" w:w="1134"/>
            <w:vAlign w:val="center"/>
          </w:tcPr>
          <w:p>
            <w:pPr>
              <w:spacing w:line="216" w:lineRule="auto" w:after="0"/>
            </w:pPr>
            <w:r>
              <w:rPr>
                <w:sz w:val="13"/>
              </w:rPr>
              <w:t>59.4</w:t>
            </w:r>
          </w:p>
        </w:tc>
        <w:tc>
          <w:tcPr>
            <w:tcW w:type="dxa" w:w="1134"/>
            <w:vAlign w:val="center"/>
          </w:tcPr>
          <w:p>
            <w:pPr>
              <w:spacing w:line="216" w:lineRule="auto" w:after="0"/>
            </w:pPr>
            <w:r>
              <w:rPr>
                <w:sz w:val="13"/>
              </w:rPr>
              <w:t>46.2</w:t>
            </w:r>
          </w:p>
        </w:tc>
        <w:tc>
          <w:tcPr>
            <w:tcW w:type="dxa" w:w="1701"/>
            <w:vAlign w:val="center"/>
          </w:tcPr>
          <w:p>
            <w:pPr>
              <w:spacing w:line="216" w:lineRule="auto" w:after="0"/>
            </w:pPr>
            <w:r>
              <w:rPr>
                <w:sz w:val="13"/>
              </w:rPr>
              <w:t>driver_mutation: 48.8%</w:t>
            </w:r>
          </w:p>
        </w:tc>
      </w:tr>
      <w:tr>
        <w:trPr>
          <w:cantSplit/>
        </w:trPr>
        <w:tc>
          <w:tcPr>
            <w:tcW w:type="dxa" w:w="1417"/>
            <w:vAlign w:val="center"/>
          </w:tcPr>
          <w:p>
            <w:pPr>
              <w:spacing w:line="216" w:lineRule="auto" w:after="0"/>
            </w:pPr>
            <w:r>
              <w:rPr>
                <w:sz w:val="13"/>
              </w:rPr>
              <w:t>Giga-SSL</w:t>
            </w:r>
          </w:p>
        </w:tc>
        <w:tc>
          <w:tcPr>
            <w:tcW w:type="dxa" w:w="907"/>
            <w:vAlign w:val="center"/>
          </w:tcPr>
          <w:p>
            <w:pPr>
              <w:spacing w:line="216" w:lineRule="auto" w:after="0"/>
            </w:pPr>
            <w:r>
              <w:rPr>
                <w:sz w:val="13"/>
              </w:rPr>
              <w:t>continuous</w:t>
            </w:r>
          </w:p>
        </w:tc>
        <w:tc>
          <w:tcPr>
            <w:tcW w:type="dxa" w:w="1701"/>
            <w:vAlign w:val="center"/>
          </w:tcPr>
          <w:p>
            <w:pPr>
              <w:spacing w:line="216" w:lineRule="auto" w:after="0"/>
            </w:pPr>
            <w:r>
              <w:rPr>
                <w:sz w:val="13"/>
              </w:rPr>
              <w:t>362/2963 (12.2%)</w:t>
            </w:r>
          </w:p>
        </w:tc>
        <w:tc>
          <w:tcPr>
            <w:tcW w:type="dxa" w:w="1757"/>
            <w:vAlign w:val="center"/>
          </w:tcPr>
          <w:p>
            <w:pPr>
              <w:spacing w:line="216" w:lineRule="auto" w:after="0"/>
            </w:pPr>
            <w:r>
              <w:rPr>
                <w:sz w:val="13"/>
              </w:rPr>
              <w:t>79/108 (73.1%)</w:t>
            </w:r>
          </w:p>
        </w:tc>
        <w:tc>
          <w:tcPr>
            <w:tcW w:type="dxa" w:w="1134"/>
            <w:vAlign w:val="center"/>
          </w:tcPr>
          <w:p>
            <w:pPr>
              <w:spacing w:line="216" w:lineRule="auto" w:after="0"/>
            </w:pPr>
            <w:r>
              <w:rPr>
                <w:sz w:val="13"/>
              </w:rPr>
              <w:t>6.1</w:t>
            </w:r>
          </w:p>
        </w:tc>
        <w:tc>
          <w:tcPr>
            <w:tcW w:type="dxa" w:w="1134"/>
            <w:vAlign w:val="center"/>
          </w:tcPr>
          <w:p>
            <w:pPr>
              <w:spacing w:line="216" w:lineRule="auto" w:after="0"/>
            </w:pPr>
            <w:r>
              <w:rPr>
                <w:sz w:val="13"/>
              </w:rPr>
              <w:t>12.1</w:t>
            </w:r>
          </w:p>
        </w:tc>
        <w:tc>
          <w:tcPr>
            <w:tcW w:type="dxa" w:w="1701"/>
            <w:vAlign w:val="center"/>
          </w:tcPr>
          <w:p>
            <w:pPr>
              <w:spacing w:line="216" w:lineRule="auto" w:after="0"/>
            </w:pPr>
            <w:r>
              <w:rPr>
                <w:sz w:val="13"/>
              </w:rPr>
              <w:t>rna_pathway_activity: 68.8%</w:t>
            </w:r>
          </w:p>
        </w:tc>
      </w:tr>
      <w:tr>
        <w:trPr>
          <w:cantSplit/>
        </w:trPr>
        <w:tc>
          <w:tcPr>
            <w:tcW w:type="dxa" w:w="1417"/>
            <w:vAlign w:val="center"/>
          </w:tcPr>
          <w:p>
            <w:pPr>
              <w:spacing w:line="216" w:lineRule="auto" w:after="0"/>
            </w:pPr>
            <w:r>
              <w:rPr>
                <w:sz w:val="13"/>
              </w:rPr>
              <w:t>Prov-GigaPath</w:t>
            </w:r>
          </w:p>
        </w:tc>
        <w:tc>
          <w:tcPr>
            <w:tcW w:type="dxa" w:w="907"/>
            <w:vAlign w:val="center"/>
          </w:tcPr>
          <w:p>
            <w:pPr>
              <w:spacing w:line="216" w:lineRule="auto" w:after="0"/>
            </w:pPr>
            <w:r>
              <w:rPr>
                <w:sz w:val="13"/>
              </w:rPr>
              <w:t>binary</w:t>
            </w:r>
          </w:p>
        </w:tc>
        <w:tc>
          <w:tcPr>
            <w:tcW w:type="dxa" w:w="1701"/>
            <w:vAlign w:val="center"/>
          </w:tcPr>
          <w:p>
            <w:pPr>
              <w:spacing w:line="216" w:lineRule="auto" w:after="0"/>
            </w:pPr>
            <w:r>
              <w:rPr>
                <w:sz w:val="13"/>
              </w:rPr>
              <w:t>176/426 (41.3%)</w:t>
            </w:r>
          </w:p>
        </w:tc>
        <w:tc>
          <w:tcPr>
            <w:tcW w:type="dxa" w:w="1757"/>
            <w:vAlign w:val="center"/>
          </w:tcPr>
          <w:p>
            <w:pPr>
              <w:spacing w:line="216" w:lineRule="auto" w:after="0"/>
            </w:pPr>
            <w:r>
              <w:rPr>
                <w:sz w:val="13"/>
              </w:rPr>
              <w:t>75/131 (57.3%)</w:t>
            </w:r>
          </w:p>
        </w:tc>
        <w:tc>
          <w:tcPr>
            <w:tcW w:type="dxa" w:w="1134"/>
            <w:vAlign w:val="center"/>
          </w:tcPr>
          <w:p>
            <w:pPr>
              <w:spacing w:line="216" w:lineRule="auto" w:after="0"/>
            </w:pPr>
            <w:r>
              <w:rPr>
                <w:sz w:val="13"/>
              </w:rPr>
              <w:t>65.9</w:t>
            </w:r>
          </w:p>
        </w:tc>
        <w:tc>
          <w:tcPr>
            <w:tcW w:type="dxa" w:w="1134"/>
            <w:vAlign w:val="center"/>
          </w:tcPr>
          <w:p>
            <w:pPr>
              <w:spacing w:line="216" w:lineRule="auto" w:after="0"/>
            </w:pPr>
            <w:r>
              <w:rPr>
                <w:sz w:val="13"/>
              </w:rPr>
              <w:t>46.0</w:t>
            </w:r>
          </w:p>
        </w:tc>
        <w:tc>
          <w:tcPr>
            <w:tcW w:type="dxa" w:w="1701"/>
            <w:vAlign w:val="center"/>
          </w:tcPr>
          <w:p>
            <w:pPr>
              <w:spacing w:line="216" w:lineRule="auto" w:after="0"/>
            </w:pPr>
            <w:r>
              <w:rPr>
                <w:sz w:val="13"/>
              </w:rPr>
              <w:t>driver_mutation: 50.0%</w:t>
            </w:r>
          </w:p>
        </w:tc>
      </w:tr>
      <w:tr>
        <w:trPr>
          <w:cantSplit/>
        </w:trPr>
        <w:tc>
          <w:tcPr>
            <w:tcW w:type="dxa" w:w="1417"/>
            <w:vAlign w:val="center"/>
          </w:tcPr>
          <w:p>
            <w:pPr>
              <w:spacing w:line="216" w:lineRule="auto" w:after="0"/>
            </w:pPr>
            <w:r>
              <w:rPr>
                <w:sz w:val="13"/>
              </w:rPr>
              <w:t>Prov-GigaPath</w:t>
            </w:r>
          </w:p>
        </w:tc>
        <w:tc>
          <w:tcPr>
            <w:tcW w:type="dxa" w:w="907"/>
            <w:vAlign w:val="center"/>
          </w:tcPr>
          <w:p>
            <w:pPr>
              <w:spacing w:line="216" w:lineRule="auto" w:after="0"/>
            </w:pPr>
            <w:r>
              <w:rPr>
                <w:sz w:val="13"/>
              </w:rPr>
              <w:t>continuous</w:t>
            </w:r>
          </w:p>
        </w:tc>
        <w:tc>
          <w:tcPr>
            <w:tcW w:type="dxa" w:w="1701"/>
            <w:vAlign w:val="center"/>
          </w:tcPr>
          <w:p>
            <w:pPr>
              <w:spacing w:line="216" w:lineRule="auto" w:after="0"/>
            </w:pPr>
            <w:r>
              <w:rPr>
                <w:sz w:val="13"/>
              </w:rPr>
              <w:t>441/2963 (14.9%)</w:t>
            </w:r>
          </w:p>
        </w:tc>
        <w:tc>
          <w:tcPr>
            <w:tcW w:type="dxa" w:w="1757"/>
            <w:vAlign w:val="center"/>
          </w:tcPr>
          <w:p>
            <w:pPr>
              <w:spacing w:line="216" w:lineRule="auto" w:after="0"/>
            </w:pPr>
            <w:r>
              <w:rPr>
                <w:sz w:val="13"/>
              </w:rPr>
              <w:t>86/108 (79.6%)</w:t>
            </w:r>
          </w:p>
        </w:tc>
        <w:tc>
          <w:tcPr>
            <w:tcW w:type="dxa" w:w="1134"/>
            <w:vAlign w:val="center"/>
          </w:tcPr>
          <w:p>
            <w:pPr>
              <w:spacing w:line="216" w:lineRule="auto" w:after="0"/>
            </w:pPr>
            <w:r>
              <w:rPr>
                <w:sz w:val="13"/>
              </w:rPr>
              <w:t>8.4</w:t>
            </w:r>
          </w:p>
        </w:tc>
        <w:tc>
          <w:tcPr>
            <w:tcW w:type="dxa" w:w="1134"/>
            <w:vAlign w:val="center"/>
          </w:tcPr>
          <w:p>
            <w:pPr>
              <w:spacing w:line="216" w:lineRule="auto" w:after="0"/>
            </w:pPr>
            <w:r>
              <w:rPr>
                <w:sz w:val="13"/>
              </w:rPr>
              <w:t>14.8</w:t>
            </w:r>
          </w:p>
        </w:tc>
        <w:tc>
          <w:tcPr>
            <w:tcW w:type="dxa" w:w="1701"/>
            <w:vAlign w:val="center"/>
          </w:tcPr>
          <w:p>
            <w:pPr>
              <w:spacing w:line="216" w:lineRule="auto" w:after="0"/>
            </w:pPr>
            <w:r>
              <w:rPr>
                <w:sz w:val="13"/>
              </w:rPr>
              <w:t>rna_pathway_activity: 69.2%</w:t>
            </w:r>
          </w:p>
        </w:tc>
      </w:tr>
      <w:tr>
        <w:trPr>
          <w:cantSplit/>
        </w:trPr>
        <w:tc>
          <w:tcPr>
            <w:tcW w:type="dxa" w:w="1417"/>
            <w:vAlign w:val="center"/>
          </w:tcPr>
          <w:p>
            <w:pPr>
              <w:spacing w:line="216" w:lineRule="auto" w:after="0"/>
            </w:pPr>
            <w:r>
              <w:rPr>
                <w:sz w:val="13"/>
              </w:rPr>
              <w:t>TITAN</w:t>
            </w:r>
          </w:p>
        </w:tc>
        <w:tc>
          <w:tcPr>
            <w:tcW w:type="dxa" w:w="907"/>
            <w:vAlign w:val="center"/>
          </w:tcPr>
          <w:p>
            <w:pPr>
              <w:spacing w:line="216" w:lineRule="auto" w:after="0"/>
            </w:pPr>
            <w:r>
              <w:rPr>
                <w:sz w:val="13"/>
              </w:rPr>
              <w:t>binary</w:t>
            </w:r>
          </w:p>
        </w:tc>
        <w:tc>
          <w:tcPr>
            <w:tcW w:type="dxa" w:w="1701"/>
            <w:vAlign w:val="center"/>
          </w:tcPr>
          <w:p>
            <w:pPr>
              <w:spacing w:line="216" w:lineRule="auto" w:after="0"/>
            </w:pPr>
            <w:r>
              <w:rPr>
                <w:sz w:val="13"/>
              </w:rPr>
              <w:t>230/426 (54.0%)</w:t>
            </w:r>
          </w:p>
        </w:tc>
        <w:tc>
          <w:tcPr>
            <w:tcW w:type="dxa" w:w="1757"/>
            <w:vAlign w:val="center"/>
          </w:tcPr>
          <w:p>
            <w:pPr>
              <w:spacing w:line="216" w:lineRule="auto" w:after="0"/>
            </w:pPr>
            <w:r>
              <w:rPr>
                <w:sz w:val="13"/>
              </w:rPr>
              <w:t>95/131 (72.5%)</w:t>
            </w:r>
          </w:p>
        </w:tc>
        <w:tc>
          <w:tcPr>
            <w:tcW w:type="dxa" w:w="1134"/>
            <w:vAlign w:val="center"/>
          </w:tcPr>
          <w:p>
            <w:pPr>
              <w:spacing w:line="216" w:lineRule="auto" w:after="0"/>
            </w:pPr>
            <w:r>
              <w:rPr>
                <w:sz w:val="13"/>
              </w:rPr>
              <w:t>71.6</w:t>
            </w:r>
          </w:p>
        </w:tc>
        <w:tc>
          <w:tcPr>
            <w:tcW w:type="dxa" w:w="1134"/>
            <w:vAlign w:val="center"/>
          </w:tcPr>
          <w:p>
            <w:pPr>
              <w:spacing w:line="216" w:lineRule="auto" w:after="0"/>
            </w:pPr>
            <w:r>
              <w:rPr>
                <w:sz w:val="13"/>
              </w:rPr>
              <w:t>51.1</w:t>
            </w:r>
          </w:p>
        </w:tc>
        <w:tc>
          <w:tcPr>
            <w:tcW w:type="dxa" w:w="1701"/>
            <w:vAlign w:val="center"/>
          </w:tcPr>
          <w:p>
            <w:pPr>
              <w:spacing w:line="216" w:lineRule="auto" w:after="0"/>
            </w:pPr>
            <w:r>
              <w:rPr>
                <w:sz w:val="13"/>
              </w:rPr>
              <w:t>driver_mutation: 54.3%</w:t>
            </w:r>
          </w:p>
        </w:tc>
      </w:tr>
      <w:tr>
        <w:trPr>
          <w:cantSplit/>
        </w:trPr>
        <w:tc>
          <w:tcPr>
            <w:tcW w:type="dxa" w:w="1417"/>
            <w:vAlign w:val="center"/>
          </w:tcPr>
          <w:p>
            <w:pPr>
              <w:spacing w:line="216" w:lineRule="auto" w:after="0"/>
            </w:pPr>
            <w:r>
              <w:rPr>
                <w:sz w:val="13"/>
              </w:rPr>
              <w:t>TITAN</w:t>
            </w:r>
          </w:p>
        </w:tc>
        <w:tc>
          <w:tcPr>
            <w:tcW w:type="dxa" w:w="907"/>
            <w:vAlign w:val="center"/>
          </w:tcPr>
          <w:p>
            <w:pPr>
              <w:spacing w:line="216" w:lineRule="auto" w:after="0"/>
            </w:pPr>
            <w:r>
              <w:rPr>
                <w:sz w:val="13"/>
              </w:rPr>
              <w:t>continuous</w:t>
            </w:r>
          </w:p>
        </w:tc>
        <w:tc>
          <w:tcPr>
            <w:tcW w:type="dxa" w:w="1701"/>
            <w:vAlign w:val="center"/>
          </w:tcPr>
          <w:p>
            <w:pPr>
              <w:spacing w:line="216" w:lineRule="auto" w:after="0"/>
            </w:pPr>
            <w:r>
              <w:rPr>
                <w:sz w:val="13"/>
              </w:rPr>
              <w:t>643/2963 (21.7%)</w:t>
            </w:r>
          </w:p>
        </w:tc>
        <w:tc>
          <w:tcPr>
            <w:tcW w:type="dxa" w:w="1757"/>
            <w:vAlign w:val="center"/>
          </w:tcPr>
          <w:p>
            <w:pPr>
              <w:spacing w:line="216" w:lineRule="auto" w:after="0"/>
            </w:pPr>
            <w:r>
              <w:rPr>
                <w:sz w:val="13"/>
              </w:rPr>
              <w:t>91/108 (84.3%)</w:t>
            </w:r>
          </w:p>
        </w:tc>
        <w:tc>
          <w:tcPr>
            <w:tcW w:type="dxa" w:w="1134"/>
            <w:vAlign w:val="center"/>
          </w:tcPr>
          <w:p>
            <w:pPr>
              <w:spacing w:line="216" w:lineRule="auto" w:after="0"/>
            </w:pPr>
            <w:r>
              <w:rPr>
                <w:sz w:val="13"/>
              </w:rPr>
              <w:t>12.5</w:t>
            </w:r>
          </w:p>
        </w:tc>
        <w:tc>
          <w:tcPr>
            <w:tcW w:type="dxa" w:w="1134"/>
            <w:vAlign w:val="center"/>
          </w:tcPr>
          <w:p>
            <w:pPr>
              <w:spacing w:line="216" w:lineRule="auto" w:after="0"/>
            </w:pPr>
            <w:r>
              <w:rPr>
                <w:sz w:val="13"/>
              </w:rPr>
              <w:t>21.6</w:t>
            </w:r>
          </w:p>
        </w:tc>
        <w:tc>
          <w:tcPr>
            <w:tcW w:type="dxa" w:w="1701"/>
            <w:vAlign w:val="center"/>
          </w:tcPr>
          <w:p>
            <w:pPr>
              <w:spacing w:line="216" w:lineRule="auto" w:after="0"/>
            </w:pPr>
            <w:r>
              <w:rPr>
                <w:sz w:val="13"/>
              </w:rPr>
              <w:t>rna_pathway_activity: 69.5%</w:t>
            </w:r>
          </w:p>
        </w:tc>
      </w:tr>
    </w:tbl>
    <w:p/>
    <w:p>
      <w:r>
        <w:t>Complete family, cancer, endpoint-definition and biological-programme retention tables remain in the normalized-breadth companion files. Counts describe catalogue breadth, not independent biological discoveries.</w:t>
      </w:r>
    </w:p>
    <w:p>
      <w:pPr>
        <w:pStyle w:val="Heading1"/>
      </w:pPr>
      <w:r>
        <w:t>Table S13. Endpoint-provenance stratification and same-H&amp;E sensitivity</w:t>
      </w:r>
    </w:p>
    <w:tbl>
      <w:tblPr>
        <w:tblStyle w:val="TableGrid"/>
        <w:tblW w:type="dxa" w:w="7823"/>
        <w:jc w:val="left"/>
        <w:tblLayout w:type="fixed"/>
        <w:tblLook w:firstColumn="1" w:firstRow="1" w:lastColumn="0" w:lastRow="0" w:noHBand="0" w:noVBand="1" w:val="04A0"/>
        <w:tblLayout w:type="fixed"/>
        <w:tblInd w:type="dxa" w:w="0"/>
      </w:tblPr>
      <w:tblGrid>
        <w:gridCol w:w="1304"/>
        <w:gridCol w:w="850"/>
        <w:gridCol w:w="2835"/>
        <w:gridCol w:w="850"/>
        <w:gridCol w:w="964"/>
        <w:gridCol w:w="1020"/>
      </w:tblGrid>
      <w:tr>
        <w:trPr>
          <w:tblHeader w:val="true"/>
          <w:cantSplit/>
        </w:trPr>
        <w:tc>
          <w:tcPr>
            <w:tcW w:type="dxa" w:w="1304"/>
          </w:tcPr>
          <w:p>
            <w:pPr>
              <w:spacing w:line="216" w:lineRule="auto" w:after="0"/>
            </w:pPr>
            <w:r>
              <w:rPr>
                <w:b/>
                <w:sz w:val="13"/>
              </w:rPr>
              <w:t>Representation</w:t>
            </w:r>
          </w:p>
        </w:tc>
        <w:tc>
          <w:tcPr>
            <w:tcW w:type="dxa" w:w="850"/>
          </w:tcPr>
          <w:p>
            <w:pPr>
              <w:spacing w:line="216" w:lineRule="auto" w:after="0"/>
            </w:pPr>
            <w:r>
              <w:rPr>
                <w:b/>
                <w:sz w:val="13"/>
              </w:rPr>
              <w:t>Outcome</w:t>
            </w:r>
          </w:p>
        </w:tc>
        <w:tc>
          <w:tcPr>
            <w:tcW w:type="dxa" w:w="2835"/>
          </w:tcPr>
          <w:p>
            <w:pPr>
              <w:spacing w:line="216" w:lineRule="auto" w:after="0"/>
            </w:pPr>
            <w:r>
              <w:rPr>
                <w:b/>
                <w:sz w:val="13"/>
              </w:rPr>
              <w:t>Measurement class</w:t>
            </w:r>
          </w:p>
        </w:tc>
        <w:tc>
          <w:tcPr>
            <w:tcW w:type="dxa" w:w="850"/>
          </w:tcPr>
          <w:p>
            <w:pPr>
              <w:spacing w:line="216" w:lineRule="auto" w:after="0"/>
            </w:pPr>
            <w:r>
              <w:rPr>
                <w:b/>
                <w:sz w:val="13"/>
              </w:rPr>
              <w:t>Eligible</w:t>
            </w:r>
          </w:p>
        </w:tc>
        <w:tc>
          <w:tcPr>
            <w:tcW w:type="dxa" w:w="964"/>
          </w:tcPr>
          <w:p>
            <w:pPr>
              <w:spacing w:line="216" w:lineRule="auto" w:after="0"/>
            </w:pPr>
            <w:r>
              <w:rPr>
                <w:b/>
                <w:sz w:val="13"/>
              </w:rPr>
              <w:t>Crossings</w:t>
            </w:r>
          </w:p>
        </w:tc>
        <w:tc>
          <w:tcPr>
            <w:tcW w:type="dxa" w:w="1020"/>
          </w:tcPr>
          <w:p>
            <w:pPr>
              <w:spacing w:line="216" w:lineRule="auto" w:after="0"/>
            </w:pPr>
            <w:r>
              <w:rPr>
                <w:b/>
                <w:sz w:val="13"/>
              </w:rPr>
              <w:t>Crossing %</w:t>
            </w:r>
          </w:p>
        </w:tc>
      </w:tr>
      <w:tr>
        <w:trPr>
          <w:cantSplit/>
        </w:trPr>
        <w:tc>
          <w:tcPr>
            <w:tcW w:type="dxa" w:w="1304"/>
            <w:vAlign w:val="center"/>
          </w:tcPr>
          <w:p>
            <w:pPr>
              <w:spacing w:line="216" w:lineRule="auto" w:after="0"/>
            </w:pPr>
            <w:r>
              <w:rPr>
                <w:sz w:val="13"/>
              </w:rPr>
              <w:t>Giga-SSL</w:t>
            </w:r>
          </w:p>
        </w:tc>
        <w:tc>
          <w:tcPr>
            <w:tcW w:type="dxa" w:w="850"/>
            <w:vAlign w:val="center"/>
          </w:tcPr>
          <w:p>
            <w:pPr>
              <w:spacing w:line="216" w:lineRule="auto" w:after="0"/>
            </w:pPr>
            <w:r>
              <w:rPr>
                <w:sz w:val="13"/>
              </w:rPr>
              <w:t>binary</w:t>
            </w:r>
          </w:p>
        </w:tc>
        <w:tc>
          <w:tcPr>
            <w:tcW w:type="dxa" w:w="2835"/>
            <w:vAlign w:val="center"/>
          </w:tcPr>
          <w:p>
            <w:pPr>
              <w:spacing w:line="216" w:lineRule="auto" w:after="0"/>
            </w:pPr>
            <w:r>
              <w:rPr>
                <w:sz w:val="13"/>
              </w:rPr>
              <w:t>composite genomic-context score</w:t>
            </w:r>
          </w:p>
        </w:tc>
        <w:tc>
          <w:tcPr>
            <w:tcW w:type="dxa" w:w="850"/>
            <w:vAlign w:val="center"/>
          </w:tcPr>
          <w:p>
            <w:pPr>
              <w:spacing w:line="216" w:lineRule="auto" w:after="0"/>
            </w:pPr>
            <w:r>
              <w:rPr>
                <w:sz w:val="13"/>
              </w:rPr>
              <w:t>183</w:t>
            </w:r>
          </w:p>
        </w:tc>
        <w:tc>
          <w:tcPr>
            <w:tcW w:type="dxa" w:w="964"/>
            <w:vAlign w:val="center"/>
          </w:tcPr>
          <w:p>
            <w:pPr>
              <w:spacing w:line="216" w:lineRule="auto" w:after="0"/>
            </w:pPr>
            <w:r>
              <w:rPr>
                <w:sz w:val="13"/>
              </w:rPr>
              <w:t>74</w:t>
            </w:r>
          </w:p>
        </w:tc>
        <w:tc>
          <w:tcPr>
            <w:tcW w:type="dxa" w:w="1020"/>
            <w:vAlign w:val="center"/>
          </w:tcPr>
          <w:p>
            <w:pPr>
              <w:spacing w:line="216" w:lineRule="auto" w:after="0"/>
            </w:pPr>
            <w:r>
              <w:rPr>
                <w:sz w:val="13"/>
              </w:rPr>
              <w:t>40.4</w:t>
            </w:r>
          </w:p>
        </w:tc>
      </w:tr>
      <w:tr>
        <w:trPr>
          <w:cantSplit/>
        </w:trPr>
        <w:tc>
          <w:tcPr>
            <w:tcW w:type="dxa" w:w="1304"/>
            <w:vAlign w:val="center"/>
          </w:tcPr>
          <w:p>
            <w:pPr>
              <w:spacing w:line="216" w:lineRule="auto" w:after="0"/>
            </w:pPr>
            <w:r>
              <w:rPr>
                <w:sz w:val="13"/>
              </w:rPr>
              <w:t>Prov-GigaPath</w:t>
            </w:r>
          </w:p>
        </w:tc>
        <w:tc>
          <w:tcPr>
            <w:tcW w:type="dxa" w:w="850"/>
            <w:vAlign w:val="center"/>
          </w:tcPr>
          <w:p>
            <w:pPr>
              <w:spacing w:line="216" w:lineRule="auto" w:after="0"/>
            </w:pPr>
            <w:r>
              <w:rPr>
                <w:sz w:val="13"/>
              </w:rPr>
              <w:t>binary</w:t>
            </w:r>
          </w:p>
        </w:tc>
        <w:tc>
          <w:tcPr>
            <w:tcW w:type="dxa" w:w="2835"/>
            <w:vAlign w:val="center"/>
          </w:tcPr>
          <w:p>
            <w:pPr>
              <w:spacing w:line="216" w:lineRule="auto" w:after="0"/>
            </w:pPr>
            <w:r>
              <w:rPr>
                <w:sz w:val="13"/>
              </w:rPr>
              <w:t>composite genomic-context score</w:t>
            </w:r>
          </w:p>
        </w:tc>
        <w:tc>
          <w:tcPr>
            <w:tcW w:type="dxa" w:w="850"/>
            <w:vAlign w:val="center"/>
          </w:tcPr>
          <w:p>
            <w:pPr>
              <w:spacing w:line="216" w:lineRule="auto" w:after="0"/>
            </w:pPr>
            <w:r>
              <w:rPr>
                <w:sz w:val="13"/>
              </w:rPr>
              <w:t>183</w:t>
            </w:r>
          </w:p>
        </w:tc>
        <w:tc>
          <w:tcPr>
            <w:tcW w:type="dxa" w:w="964"/>
            <w:vAlign w:val="center"/>
          </w:tcPr>
          <w:p>
            <w:pPr>
              <w:spacing w:line="216" w:lineRule="auto" w:after="0"/>
            </w:pPr>
            <w:r>
              <w:rPr>
                <w:sz w:val="13"/>
              </w:rPr>
              <w:t>78</w:t>
            </w:r>
          </w:p>
        </w:tc>
        <w:tc>
          <w:tcPr>
            <w:tcW w:type="dxa" w:w="1020"/>
            <w:vAlign w:val="center"/>
          </w:tcPr>
          <w:p>
            <w:pPr>
              <w:spacing w:line="216" w:lineRule="auto" w:after="0"/>
            </w:pPr>
            <w:r>
              <w:rPr>
                <w:sz w:val="13"/>
              </w:rPr>
              <w:t>42.6</w:t>
            </w:r>
          </w:p>
        </w:tc>
      </w:tr>
      <w:tr>
        <w:trPr>
          <w:cantSplit/>
        </w:trPr>
        <w:tc>
          <w:tcPr>
            <w:tcW w:type="dxa" w:w="1304"/>
            <w:vAlign w:val="center"/>
          </w:tcPr>
          <w:p>
            <w:pPr>
              <w:spacing w:line="216" w:lineRule="auto" w:after="0"/>
            </w:pPr>
            <w:r>
              <w:rPr>
                <w:sz w:val="13"/>
              </w:rPr>
              <w:t>TITAN</w:t>
            </w:r>
          </w:p>
        </w:tc>
        <w:tc>
          <w:tcPr>
            <w:tcW w:type="dxa" w:w="850"/>
            <w:vAlign w:val="center"/>
          </w:tcPr>
          <w:p>
            <w:pPr>
              <w:spacing w:line="216" w:lineRule="auto" w:after="0"/>
            </w:pPr>
            <w:r>
              <w:rPr>
                <w:sz w:val="13"/>
              </w:rPr>
              <w:t>binary</w:t>
            </w:r>
          </w:p>
        </w:tc>
        <w:tc>
          <w:tcPr>
            <w:tcW w:type="dxa" w:w="2835"/>
            <w:vAlign w:val="center"/>
          </w:tcPr>
          <w:p>
            <w:pPr>
              <w:spacing w:line="216" w:lineRule="auto" w:after="0"/>
            </w:pPr>
            <w:r>
              <w:rPr>
                <w:sz w:val="13"/>
              </w:rPr>
              <w:t>composite genomic-context score</w:t>
            </w:r>
          </w:p>
        </w:tc>
        <w:tc>
          <w:tcPr>
            <w:tcW w:type="dxa" w:w="850"/>
            <w:vAlign w:val="center"/>
          </w:tcPr>
          <w:p>
            <w:pPr>
              <w:spacing w:line="216" w:lineRule="auto" w:after="0"/>
            </w:pPr>
            <w:r>
              <w:rPr>
                <w:sz w:val="13"/>
              </w:rPr>
              <w:t>183</w:t>
            </w:r>
          </w:p>
        </w:tc>
        <w:tc>
          <w:tcPr>
            <w:tcW w:type="dxa" w:w="964"/>
            <w:vAlign w:val="center"/>
          </w:tcPr>
          <w:p>
            <w:pPr>
              <w:spacing w:line="216" w:lineRule="auto" w:after="0"/>
            </w:pPr>
            <w:r>
              <w:rPr>
                <w:sz w:val="13"/>
              </w:rPr>
              <w:t>93</w:t>
            </w:r>
          </w:p>
        </w:tc>
        <w:tc>
          <w:tcPr>
            <w:tcW w:type="dxa" w:w="1020"/>
            <w:vAlign w:val="center"/>
          </w:tcPr>
          <w:p>
            <w:pPr>
              <w:spacing w:line="216" w:lineRule="auto" w:after="0"/>
            </w:pPr>
            <w:r>
              <w:rPr>
                <w:sz w:val="13"/>
              </w:rPr>
              <w:t>50.8</w:t>
            </w:r>
          </w:p>
        </w:tc>
      </w:tr>
      <w:tr>
        <w:trPr>
          <w:cantSplit/>
        </w:trPr>
        <w:tc>
          <w:tcPr>
            <w:tcW w:type="dxa" w:w="1304"/>
            <w:vAlign w:val="center"/>
          </w:tcPr>
          <w:p>
            <w:pPr>
              <w:spacing w:line="216" w:lineRule="auto" w:after="0"/>
            </w:pPr>
            <w:r>
              <w:rPr>
                <w:sz w:val="13"/>
              </w:rPr>
              <w:t>Giga-SSL</w:t>
            </w:r>
          </w:p>
        </w:tc>
        <w:tc>
          <w:tcPr>
            <w:tcW w:type="dxa" w:w="850"/>
            <w:vAlign w:val="center"/>
          </w:tcPr>
          <w:p>
            <w:pPr>
              <w:spacing w:line="216" w:lineRule="auto" w:after="0"/>
            </w:pPr>
            <w:r>
              <w:rPr>
                <w:sz w:val="13"/>
              </w:rPr>
              <w:t>binary</w:t>
            </w:r>
          </w:p>
        </w:tc>
        <w:tc>
          <w:tcPr>
            <w:tcW w:type="dxa" w:w="2835"/>
            <w:vAlign w:val="center"/>
          </w:tcPr>
          <w:p>
            <w:pPr>
              <w:spacing w:line="216" w:lineRule="auto" w:after="0"/>
            </w:pPr>
            <w:r>
              <w:rPr>
                <w:sz w:val="13"/>
              </w:rPr>
              <w:t>directly observed genomic alteration</w:t>
            </w:r>
          </w:p>
        </w:tc>
        <w:tc>
          <w:tcPr>
            <w:tcW w:type="dxa" w:w="850"/>
            <w:vAlign w:val="center"/>
          </w:tcPr>
          <w:p>
            <w:pPr>
              <w:spacing w:line="216" w:lineRule="auto" w:after="0"/>
            </w:pPr>
            <w:r>
              <w:rPr>
                <w:sz w:val="13"/>
              </w:rPr>
              <w:t>243</w:t>
            </w:r>
          </w:p>
        </w:tc>
        <w:tc>
          <w:tcPr>
            <w:tcW w:type="dxa" w:w="964"/>
            <w:vAlign w:val="center"/>
          </w:tcPr>
          <w:p>
            <w:pPr>
              <w:spacing w:line="216" w:lineRule="auto" w:after="0"/>
            </w:pPr>
            <w:r>
              <w:rPr>
                <w:sz w:val="13"/>
              </w:rPr>
              <w:t>92</w:t>
            </w:r>
          </w:p>
        </w:tc>
        <w:tc>
          <w:tcPr>
            <w:tcW w:type="dxa" w:w="1020"/>
            <w:vAlign w:val="center"/>
          </w:tcPr>
          <w:p>
            <w:pPr>
              <w:spacing w:line="216" w:lineRule="auto" w:after="0"/>
            </w:pPr>
            <w:r>
              <w:rPr>
                <w:sz w:val="13"/>
              </w:rPr>
              <w:t>37.9</w:t>
            </w:r>
          </w:p>
        </w:tc>
      </w:tr>
      <w:tr>
        <w:trPr>
          <w:cantSplit/>
        </w:trPr>
        <w:tc>
          <w:tcPr>
            <w:tcW w:type="dxa" w:w="1304"/>
            <w:vAlign w:val="center"/>
          </w:tcPr>
          <w:p>
            <w:pPr>
              <w:spacing w:line="216" w:lineRule="auto" w:after="0"/>
            </w:pPr>
            <w:r>
              <w:rPr>
                <w:sz w:val="13"/>
              </w:rPr>
              <w:t>Prov-GigaPath</w:t>
            </w:r>
          </w:p>
        </w:tc>
        <w:tc>
          <w:tcPr>
            <w:tcW w:type="dxa" w:w="850"/>
            <w:vAlign w:val="center"/>
          </w:tcPr>
          <w:p>
            <w:pPr>
              <w:spacing w:line="216" w:lineRule="auto" w:after="0"/>
            </w:pPr>
            <w:r>
              <w:rPr>
                <w:sz w:val="13"/>
              </w:rPr>
              <w:t>binary</w:t>
            </w:r>
          </w:p>
        </w:tc>
        <w:tc>
          <w:tcPr>
            <w:tcW w:type="dxa" w:w="2835"/>
            <w:vAlign w:val="center"/>
          </w:tcPr>
          <w:p>
            <w:pPr>
              <w:spacing w:line="216" w:lineRule="auto" w:after="0"/>
            </w:pPr>
            <w:r>
              <w:rPr>
                <w:sz w:val="13"/>
              </w:rPr>
              <w:t>directly observed genomic alteration</w:t>
            </w:r>
          </w:p>
        </w:tc>
        <w:tc>
          <w:tcPr>
            <w:tcW w:type="dxa" w:w="850"/>
            <w:vAlign w:val="center"/>
          </w:tcPr>
          <w:p>
            <w:pPr>
              <w:spacing w:line="216" w:lineRule="auto" w:after="0"/>
            </w:pPr>
            <w:r>
              <w:rPr>
                <w:sz w:val="13"/>
              </w:rPr>
              <w:t>243</w:t>
            </w:r>
          </w:p>
        </w:tc>
        <w:tc>
          <w:tcPr>
            <w:tcW w:type="dxa" w:w="964"/>
            <w:vAlign w:val="center"/>
          </w:tcPr>
          <w:p>
            <w:pPr>
              <w:spacing w:line="216" w:lineRule="auto" w:after="0"/>
            </w:pPr>
            <w:r>
              <w:rPr>
                <w:sz w:val="13"/>
              </w:rPr>
              <w:t>98</w:t>
            </w:r>
          </w:p>
        </w:tc>
        <w:tc>
          <w:tcPr>
            <w:tcW w:type="dxa" w:w="1020"/>
            <w:vAlign w:val="center"/>
          </w:tcPr>
          <w:p>
            <w:pPr>
              <w:spacing w:line="216" w:lineRule="auto" w:after="0"/>
            </w:pPr>
            <w:r>
              <w:rPr>
                <w:sz w:val="13"/>
              </w:rPr>
              <w:t>40.3</w:t>
            </w:r>
          </w:p>
        </w:tc>
      </w:tr>
      <w:tr>
        <w:trPr>
          <w:cantSplit/>
        </w:trPr>
        <w:tc>
          <w:tcPr>
            <w:tcW w:type="dxa" w:w="1304"/>
            <w:vAlign w:val="center"/>
          </w:tcPr>
          <w:p>
            <w:pPr>
              <w:spacing w:line="216" w:lineRule="auto" w:after="0"/>
            </w:pPr>
            <w:r>
              <w:rPr>
                <w:sz w:val="13"/>
              </w:rPr>
              <w:t>TITAN</w:t>
            </w:r>
          </w:p>
        </w:tc>
        <w:tc>
          <w:tcPr>
            <w:tcW w:type="dxa" w:w="850"/>
            <w:vAlign w:val="center"/>
          </w:tcPr>
          <w:p>
            <w:pPr>
              <w:spacing w:line="216" w:lineRule="auto" w:after="0"/>
            </w:pPr>
            <w:r>
              <w:rPr>
                <w:sz w:val="13"/>
              </w:rPr>
              <w:t>binary</w:t>
            </w:r>
          </w:p>
        </w:tc>
        <w:tc>
          <w:tcPr>
            <w:tcW w:type="dxa" w:w="2835"/>
            <w:vAlign w:val="center"/>
          </w:tcPr>
          <w:p>
            <w:pPr>
              <w:spacing w:line="216" w:lineRule="auto" w:after="0"/>
            </w:pPr>
            <w:r>
              <w:rPr>
                <w:sz w:val="13"/>
              </w:rPr>
              <w:t>directly observed genomic alteration</w:t>
            </w:r>
          </w:p>
        </w:tc>
        <w:tc>
          <w:tcPr>
            <w:tcW w:type="dxa" w:w="850"/>
            <w:vAlign w:val="center"/>
          </w:tcPr>
          <w:p>
            <w:pPr>
              <w:spacing w:line="216" w:lineRule="auto" w:after="0"/>
            </w:pPr>
            <w:r>
              <w:rPr>
                <w:sz w:val="13"/>
              </w:rPr>
              <w:t>243</w:t>
            </w:r>
          </w:p>
        </w:tc>
        <w:tc>
          <w:tcPr>
            <w:tcW w:type="dxa" w:w="964"/>
            <w:vAlign w:val="center"/>
          </w:tcPr>
          <w:p>
            <w:pPr>
              <w:spacing w:line="216" w:lineRule="auto" w:after="0"/>
            </w:pPr>
            <w:r>
              <w:rPr>
                <w:sz w:val="13"/>
              </w:rPr>
              <w:t>137</w:t>
            </w:r>
          </w:p>
        </w:tc>
        <w:tc>
          <w:tcPr>
            <w:tcW w:type="dxa" w:w="1020"/>
            <w:vAlign w:val="center"/>
          </w:tcPr>
          <w:p>
            <w:pPr>
              <w:spacing w:line="216" w:lineRule="auto" w:after="0"/>
            </w:pPr>
            <w:r>
              <w:rPr>
                <w:sz w:val="13"/>
              </w:rPr>
              <w:t>56.4</w:t>
            </w:r>
          </w:p>
        </w:tc>
      </w:tr>
      <w:tr>
        <w:trPr>
          <w:cantSplit/>
        </w:trPr>
        <w:tc>
          <w:tcPr>
            <w:tcW w:type="dxa" w:w="1304"/>
            <w:vAlign w:val="center"/>
          </w:tcPr>
          <w:p>
            <w:pPr>
              <w:spacing w:line="216" w:lineRule="auto" w:after="0"/>
            </w:pPr>
            <w:r>
              <w:rPr>
                <w:sz w:val="13"/>
              </w:rPr>
              <w:t>Giga-SSL</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composite genomic-context score</w:t>
            </w:r>
          </w:p>
        </w:tc>
        <w:tc>
          <w:tcPr>
            <w:tcW w:type="dxa" w:w="850"/>
            <w:vAlign w:val="center"/>
          </w:tcPr>
          <w:p>
            <w:pPr>
              <w:spacing w:line="216" w:lineRule="auto" w:after="0"/>
            </w:pPr>
            <w:r>
              <w:rPr>
                <w:sz w:val="13"/>
              </w:rPr>
              <w:t>166</w:t>
            </w:r>
          </w:p>
        </w:tc>
        <w:tc>
          <w:tcPr>
            <w:tcW w:type="dxa" w:w="964"/>
            <w:vAlign w:val="center"/>
          </w:tcPr>
          <w:p>
            <w:pPr>
              <w:spacing w:line="216" w:lineRule="auto" w:after="0"/>
            </w:pPr>
            <w:r>
              <w:rPr>
                <w:sz w:val="13"/>
              </w:rPr>
              <w:t>14</w:t>
            </w:r>
          </w:p>
        </w:tc>
        <w:tc>
          <w:tcPr>
            <w:tcW w:type="dxa" w:w="1020"/>
            <w:vAlign w:val="center"/>
          </w:tcPr>
          <w:p>
            <w:pPr>
              <w:spacing w:line="216" w:lineRule="auto" w:after="0"/>
            </w:pPr>
            <w:r>
              <w:rPr>
                <w:sz w:val="13"/>
              </w:rPr>
              <w:t>8.4</w:t>
            </w:r>
          </w:p>
        </w:tc>
      </w:tr>
      <w:tr>
        <w:trPr>
          <w:cantSplit/>
        </w:trPr>
        <w:tc>
          <w:tcPr>
            <w:tcW w:type="dxa" w:w="1304"/>
            <w:vAlign w:val="center"/>
          </w:tcPr>
          <w:p>
            <w:pPr>
              <w:spacing w:line="216" w:lineRule="auto" w:after="0"/>
            </w:pPr>
            <w:r>
              <w:rPr>
                <w:sz w:val="13"/>
              </w:rPr>
              <w:t>Prov-GigaPath</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composite genomic-context score</w:t>
            </w:r>
          </w:p>
        </w:tc>
        <w:tc>
          <w:tcPr>
            <w:tcW w:type="dxa" w:w="850"/>
            <w:vAlign w:val="center"/>
          </w:tcPr>
          <w:p>
            <w:pPr>
              <w:spacing w:line="216" w:lineRule="auto" w:after="0"/>
            </w:pPr>
            <w:r>
              <w:rPr>
                <w:sz w:val="13"/>
              </w:rPr>
              <w:t>166</w:t>
            </w:r>
          </w:p>
        </w:tc>
        <w:tc>
          <w:tcPr>
            <w:tcW w:type="dxa" w:w="964"/>
            <w:vAlign w:val="center"/>
          </w:tcPr>
          <w:p>
            <w:pPr>
              <w:spacing w:line="216" w:lineRule="auto" w:after="0"/>
            </w:pPr>
            <w:r>
              <w:rPr>
                <w:sz w:val="13"/>
              </w:rPr>
              <w:t>19</w:t>
            </w:r>
          </w:p>
        </w:tc>
        <w:tc>
          <w:tcPr>
            <w:tcW w:type="dxa" w:w="1020"/>
            <w:vAlign w:val="center"/>
          </w:tcPr>
          <w:p>
            <w:pPr>
              <w:spacing w:line="216" w:lineRule="auto" w:after="0"/>
            </w:pPr>
            <w:r>
              <w:rPr>
                <w:sz w:val="13"/>
              </w:rPr>
              <w:t>11.4</w:t>
            </w:r>
          </w:p>
        </w:tc>
      </w:tr>
      <w:tr>
        <w:trPr>
          <w:cantSplit/>
        </w:trPr>
        <w:tc>
          <w:tcPr>
            <w:tcW w:type="dxa" w:w="1304"/>
            <w:vAlign w:val="center"/>
          </w:tcPr>
          <w:p>
            <w:pPr>
              <w:spacing w:line="216" w:lineRule="auto" w:after="0"/>
            </w:pPr>
            <w:r>
              <w:rPr>
                <w:sz w:val="13"/>
              </w:rPr>
              <w:t>TITAN</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composite genomic-context score</w:t>
            </w:r>
          </w:p>
        </w:tc>
        <w:tc>
          <w:tcPr>
            <w:tcW w:type="dxa" w:w="850"/>
            <w:vAlign w:val="center"/>
          </w:tcPr>
          <w:p>
            <w:pPr>
              <w:spacing w:line="216" w:lineRule="auto" w:after="0"/>
            </w:pPr>
            <w:r>
              <w:rPr>
                <w:sz w:val="13"/>
              </w:rPr>
              <w:t>166</w:t>
            </w:r>
          </w:p>
        </w:tc>
        <w:tc>
          <w:tcPr>
            <w:tcW w:type="dxa" w:w="964"/>
            <w:vAlign w:val="center"/>
          </w:tcPr>
          <w:p>
            <w:pPr>
              <w:spacing w:line="216" w:lineRule="auto" w:after="0"/>
            </w:pPr>
            <w:r>
              <w:rPr>
                <w:sz w:val="13"/>
              </w:rPr>
              <w:t>34</w:t>
            </w:r>
          </w:p>
        </w:tc>
        <w:tc>
          <w:tcPr>
            <w:tcW w:type="dxa" w:w="1020"/>
            <w:vAlign w:val="center"/>
          </w:tcPr>
          <w:p>
            <w:pPr>
              <w:spacing w:line="216" w:lineRule="auto" w:after="0"/>
            </w:pPr>
            <w:r>
              <w:rPr>
                <w:sz w:val="13"/>
              </w:rPr>
              <w:t>20.5</w:t>
            </w:r>
          </w:p>
        </w:tc>
      </w:tr>
      <w:tr>
        <w:trPr>
          <w:cantSplit/>
        </w:trPr>
        <w:tc>
          <w:tcPr>
            <w:tcW w:type="dxa" w:w="1304"/>
            <w:vAlign w:val="center"/>
          </w:tcPr>
          <w:p>
            <w:pPr>
              <w:spacing w:line="216" w:lineRule="auto" w:after="0"/>
            </w:pPr>
            <w:r>
              <w:rPr>
                <w:sz w:val="13"/>
              </w:rPr>
              <w:t>Giga-SSL</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computationally inferred immune-cell fraction</w:t>
            </w:r>
          </w:p>
        </w:tc>
        <w:tc>
          <w:tcPr>
            <w:tcW w:type="dxa" w:w="850"/>
            <w:vAlign w:val="center"/>
          </w:tcPr>
          <w:p>
            <w:pPr>
              <w:spacing w:line="216" w:lineRule="auto" w:after="0"/>
            </w:pPr>
            <w:r>
              <w:rPr>
                <w:sz w:val="13"/>
              </w:rPr>
              <w:t>638</w:t>
            </w:r>
          </w:p>
        </w:tc>
        <w:tc>
          <w:tcPr>
            <w:tcW w:type="dxa" w:w="964"/>
            <w:vAlign w:val="center"/>
          </w:tcPr>
          <w:p>
            <w:pPr>
              <w:spacing w:line="216" w:lineRule="auto" w:after="0"/>
            </w:pPr>
            <w:r>
              <w:rPr>
                <w:sz w:val="13"/>
              </w:rPr>
              <w:t>16</w:t>
            </w:r>
          </w:p>
        </w:tc>
        <w:tc>
          <w:tcPr>
            <w:tcW w:type="dxa" w:w="1020"/>
            <w:vAlign w:val="center"/>
          </w:tcPr>
          <w:p>
            <w:pPr>
              <w:spacing w:line="216" w:lineRule="auto" w:after="0"/>
            </w:pPr>
            <w:r>
              <w:rPr>
                <w:sz w:val="13"/>
              </w:rPr>
              <w:t>2.5</w:t>
            </w:r>
          </w:p>
        </w:tc>
      </w:tr>
      <w:tr>
        <w:trPr>
          <w:cantSplit/>
        </w:trPr>
        <w:tc>
          <w:tcPr>
            <w:tcW w:type="dxa" w:w="1304"/>
            <w:vAlign w:val="center"/>
          </w:tcPr>
          <w:p>
            <w:pPr>
              <w:spacing w:line="216" w:lineRule="auto" w:after="0"/>
            </w:pPr>
            <w:r>
              <w:rPr>
                <w:sz w:val="13"/>
              </w:rPr>
              <w:t>Prov-GigaPath</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computationally inferred immune-cell fraction</w:t>
            </w:r>
          </w:p>
        </w:tc>
        <w:tc>
          <w:tcPr>
            <w:tcW w:type="dxa" w:w="850"/>
            <w:vAlign w:val="center"/>
          </w:tcPr>
          <w:p>
            <w:pPr>
              <w:spacing w:line="216" w:lineRule="auto" w:after="0"/>
            </w:pPr>
            <w:r>
              <w:rPr>
                <w:sz w:val="13"/>
              </w:rPr>
              <w:t>638</w:t>
            </w:r>
          </w:p>
        </w:tc>
        <w:tc>
          <w:tcPr>
            <w:tcW w:type="dxa" w:w="964"/>
            <w:vAlign w:val="center"/>
          </w:tcPr>
          <w:p>
            <w:pPr>
              <w:spacing w:line="216" w:lineRule="auto" w:after="0"/>
            </w:pPr>
            <w:r>
              <w:rPr>
                <w:sz w:val="13"/>
              </w:rPr>
              <w:t>18</w:t>
            </w:r>
          </w:p>
        </w:tc>
        <w:tc>
          <w:tcPr>
            <w:tcW w:type="dxa" w:w="1020"/>
            <w:vAlign w:val="center"/>
          </w:tcPr>
          <w:p>
            <w:pPr>
              <w:spacing w:line="216" w:lineRule="auto" w:after="0"/>
            </w:pPr>
            <w:r>
              <w:rPr>
                <w:sz w:val="13"/>
              </w:rPr>
              <w:t>2.8</w:t>
            </w:r>
          </w:p>
        </w:tc>
      </w:tr>
      <w:tr>
        <w:trPr>
          <w:cantSplit/>
        </w:trPr>
        <w:tc>
          <w:tcPr>
            <w:tcW w:type="dxa" w:w="1304"/>
            <w:vAlign w:val="center"/>
          </w:tcPr>
          <w:p>
            <w:pPr>
              <w:spacing w:line="216" w:lineRule="auto" w:after="0"/>
            </w:pPr>
            <w:r>
              <w:rPr>
                <w:sz w:val="13"/>
              </w:rPr>
              <w:t>TITAN</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computationally inferred immune-cell fraction</w:t>
            </w:r>
          </w:p>
        </w:tc>
        <w:tc>
          <w:tcPr>
            <w:tcW w:type="dxa" w:w="850"/>
            <w:vAlign w:val="center"/>
          </w:tcPr>
          <w:p>
            <w:pPr>
              <w:spacing w:line="216" w:lineRule="auto" w:after="0"/>
            </w:pPr>
            <w:r>
              <w:rPr>
                <w:sz w:val="13"/>
              </w:rPr>
              <w:t>638</w:t>
            </w:r>
          </w:p>
        </w:tc>
        <w:tc>
          <w:tcPr>
            <w:tcW w:type="dxa" w:w="964"/>
            <w:vAlign w:val="center"/>
          </w:tcPr>
          <w:p>
            <w:pPr>
              <w:spacing w:line="216" w:lineRule="auto" w:after="0"/>
            </w:pPr>
            <w:r>
              <w:rPr>
                <w:sz w:val="13"/>
              </w:rPr>
              <w:t>27</w:t>
            </w:r>
          </w:p>
        </w:tc>
        <w:tc>
          <w:tcPr>
            <w:tcW w:type="dxa" w:w="1020"/>
            <w:vAlign w:val="center"/>
          </w:tcPr>
          <w:p>
            <w:pPr>
              <w:spacing w:line="216" w:lineRule="auto" w:after="0"/>
            </w:pPr>
            <w:r>
              <w:rPr>
                <w:sz w:val="13"/>
              </w:rPr>
              <w:t>4.2</w:t>
            </w:r>
          </w:p>
        </w:tc>
      </w:tr>
      <w:tr>
        <w:trPr>
          <w:cantSplit/>
        </w:trPr>
        <w:tc>
          <w:tcPr>
            <w:tcW w:type="dxa" w:w="1304"/>
            <w:vAlign w:val="center"/>
          </w:tcPr>
          <w:p>
            <w:pPr>
              <w:spacing w:line="216" w:lineRule="auto" w:after="0"/>
            </w:pPr>
            <w:r>
              <w:rPr>
                <w:sz w:val="13"/>
              </w:rPr>
              <w:t>Giga-SSL</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pathology-associated quantity</w:t>
            </w:r>
          </w:p>
        </w:tc>
        <w:tc>
          <w:tcPr>
            <w:tcW w:type="dxa" w:w="850"/>
            <w:vAlign w:val="center"/>
          </w:tcPr>
          <w:p>
            <w:pPr>
              <w:spacing w:line="216" w:lineRule="auto" w:after="0"/>
            </w:pPr>
            <w:r>
              <w:rPr>
                <w:sz w:val="13"/>
              </w:rPr>
              <w:t>11</w:t>
            </w:r>
          </w:p>
        </w:tc>
        <w:tc>
          <w:tcPr>
            <w:tcW w:type="dxa" w:w="964"/>
            <w:vAlign w:val="center"/>
          </w:tcPr>
          <w:p>
            <w:pPr>
              <w:spacing w:line="216" w:lineRule="auto" w:after="0"/>
            </w:pPr>
            <w:r>
              <w:rPr>
                <w:sz w:val="13"/>
              </w:rPr>
              <w:t>11</w:t>
            </w:r>
          </w:p>
        </w:tc>
        <w:tc>
          <w:tcPr>
            <w:tcW w:type="dxa" w:w="1020"/>
            <w:vAlign w:val="center"/>
          </w:tcPr>
          <w:p>
            <w:pPr>
              <w:spacing w:line="216" w:lineRule="auto" w:after="0"/>
            </w:pPr>
            <w:r>
              <w:rPr>
                <w:sz w:val="13"/>
              </w:rPr>
              <w:t>100.0</w:t>
            </w:r>
          </w:p>
        </w:tc>
      </w:tr>
      <w:tr>
        <w:trPr>
          <w:cantSplit/>
        </w:trPr>
        <w:tc>
          <w:tcPr>
            <w:tcW w:type="dxa" w:w="1304"/>
            <w:vAlign w:val="center"/>
          </w:tcPr>
          <w:p>
            <w:pPr>
              <w:spacing w:line="216" w:lineRule="auto" w:after="0"/>
            </w:pPr>
            <w:r>
              <w:rPr>
                <w:sz w:val="13"/>
              </w:rPr>
              <w:t>Prov-GigaPath</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pathology-associated quantity</w:t>
            </w:r>
          </w:p>
        </w:tc>
        <w:tc>
          <w:tcPr>
            <w:tcW w:type="dxa" w:w="850"/>
            <w:vAlign w:val="center"/>
          </w:tcPr>
          <w:p>
            <w:pPr>
              <w:spacing w:line="216" w:lineRule="auto" w:after="0"/>
            </w:pPr>
            <w:r>
              <w:rPr>
                <w:sz w:val="13"/>
              </w:rPr>
              <w:t>11</w:t>
            </w:r>
          </w:p>
        </w:tc>
        <w:tc>
          <w:tcPr>
            <w:tcW w:type="dxa" w:w="964"/>
            <w:vAlign w:val="center"/>
          </w:tcPr>
          <w:p>
            <w:pPr>
              <w:spacing w:line="216" w:lineRule="auto" w:after="0"/>
            </w:pPr>
            <w:r>
              <w:rPr>
                <w:sz w:val="13"/>
              </w:rPr>
              <w:t>11</w:t>
            </w:r>
          </w:p>
        </w:tc>
        <w:tc>
          <w:tcPr>
            <w:tcW w:type="dxa" w:w="1020"/>
            <w:vAlign w:val="center"/>
          </w:tcPr>
          <w:p>
            <w:pPr>
              <w:spacing w:line="216" w:lineRule="auto" w:after="0"/>
            </w:pPr>
            <w:r>
              <w:rPr>
                <w:sz w:val="13"/>
              </w:rPr>
              <w:t>100.0</w:t>
            </w:r>
          </w:p>
        </w:tc>
      </w:tr>
      <w:tr>
        <w:trPr>
          <w:cantSplit/>
        </w:trPr>
        <w:tc>
          <w:tcPr>
            <w:tcW w:type="dxa" w:w="1304"/>
            <w:vAlign w:val="center"/>
          </w:tcPr>
          <w:p>
            <w:pPr>
              <w:spacing w:line="216" w:lineRule="auto" w:after="0"/>
            </w:pPr>
            <w:r>
              <w:rPr>
                <w:sz w:val="13"/>
              </w:rPr>
              <w:t>TITAN</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pathology-associated quantity</w:t>
            </w:r>
          </w:p>
        </w:tc>
        <w:tc>
          <w:tcPr>
            <w:tcW w:type="dxa" w:w="850"/>
            <w:vAlign w:val="center"/>
          </w:tcPr>
          <w:p>
            <w:pPr>
              <w:spacing w:line="216" w:lineRule="auto" w:after="0"/>
            </w:pPr>
            <w:r>
              <w:rPr>
                <w:sz w:val="13"/>
              </w:rPr>
              <w:t>11</w:t>
            </w:r>
          </w:p>
        </w:tc>
        <w:tc>
          <w:tcPr>
            <w:tcW w:type="dxa" w:w="964"/>
            <w:vAlign w:val="center"/>
          </w:tcPr>
          <w:p>
            <w:pPr>
              <w:spacing w:line="216" w:lineRule="auto" w:after="0"/>
            </w:pPr>
            <w:r>
              <w:rPr>
                <w:sz w:val="13"/>
              </w:rPr>
              <w:t>10</w:t>
            </w:r>
          </w:p>
        </w:tc>
        <w:tc>
          <w:tcPr>
            <w:tcW w:type="dxa" w:w="1020"/>
            <w:vAlign w:val="center"/>
          </w:tcPr>
          <w:p>
            <w:pPr>
              <w:spacing w:line="216" w:lineRule="auto" w:after="0"/>
            </w:pPr>
            <w:r>
              <w:rPr>
                <w:sz w:val="13"/>
              </w:rPr>
              <w:t>90.9</w:t>
            </w:r>
          </w:p>
        </w:tc>
      </w:tr>
      <w:tr>
        <w:trPr>
          <w:cantSplit/>
        </w:trPr>
        <w:tc>
          <w:tcPr>
            <w:tcW w:type="dxa" w:w="1304"/>
            <w:vAlign w:val="center"/>
          </w:tcPr>
          <w:p>
            <w:pPr>
              <w:spacing w:line="216" w:lineRule="auto" w:after="0"/>
            </w:pPr>
            <w:r>
              <w:rPr>
                <w:sz w:val="13"/>
              </w:rPr>
              <w:t>Giga-SSL</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sequencing-derived continuous burden</w:t>
            </w:r>
          </w:p>
        </w:tc>
        <w:tc>
          <w:tcPr>
            <w:tcW w:type="dxa" w:w="850"/>
            <w:vAlign w:val="center"/>
          </w:tcPr>
          <w:p>
            <w:pPr>
              <w:spacing w:line="216" w:lineRule="auto" w:after="0"/>
            </w:pPr>
            <w:r>
              <w:rPr>
                <w:sz w:val="13"/>
              </w:rPr>
              <w:t>413</w:t>
            </w:r>
          </w:p>
        </w:tc>
        <w:tc>
          <w:tcPr>
            <w:tcW w:type="dxa" w:w="964"/>
            <w:vAlign w:val="center"/>
          </w:tcPr>
          <w:p>
            <w:pPr>
              <w:spacing w:line="216" w:lineRule="auto" w:after="0"/>
            </w:pPr>
            <w:r>
              <w:rPr>
                <w:sz w:val="13"/>
              </w:rPr>
              <w:t>14</w:t>
            </w:r>
          </w:p>
        </w:tc>
        <w:tc>
          <w:tcPr>
            <w:tcW w:type="dxa" w:w="1020"/>
            <w:vAlign w:val="center"/>
          </w:tcPr>
          <w:p>
            <w:pPr>
              <w:spacing w:line="216" w:lineRule="auto" w:after="0"/>
            </w:pPr>
            <w:r>
              <w:rPr>
                <w:sz w:val="13"/>
              </w:rPr>
              <w:t>3.4</w:t>
            </w:r>
          </w:p>
        </w:tc>
      </w:tr>
      <w:tr>
        <w:trPr>
          <w:cantSplit/>
        </w:trPr>
        <w:tc>
          <w:tcPr>
            <w:tcW w:type="dxa" w:w="1304"/>
            <w:vAlign w:val="center"/>
          </w:tcPr>
          <w:p>
            <w:pPr>
              <w:spacing w:line="216" w:lineRule="auto" w:after="0"/>
            </w:pPr>
            <w:r>
              <w:rPr>
                <w:sz w:val="13"/>
              </w:rPr>
              <w:t>Prov-GigaPath</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sequencing-derived continuous burden</w:t>
            </w:r>
          </w:p>
        </w:tc>
        <w:tc>
          <w:tcPr>
            <w:tcW w:type="dxa" w:w="850"/>
            <w:vAlign w:val="center"/>
          </w:tcPr>
          <w:p>
            <w:pPr>
              <w:spacing w:line="216" w:lineRule="auto" w:after="0"/>
            </w:pPr>
            <w:r>
              <w:rPr>
                <w:sz w:val="13"/>
              </w:rPr>
              <w:t>413</w:t>
            </w:r>
          </w:p>
        </w:tc>
        <w:tc>
          <w:tcPr>
            <w:tcW w:type="dxa" w:w="964"/>
            <w:vAlign w:val="center"/>
          </w:tcPr>
          <w:p>
            <w:pPr>
              <w:spacing w:line="216" w:lineRule="auto" w:after="0"/>
            </w:pPr>
            <w:r>
              <w:rPr>
                <w:sz w:val="13"/>
              </w:rPr>
              <w:t>24</w:t>
            </w:r>
          </w:p>
        </w:tc>
        <w:tc>
          <w:tcPr>
            <w:tcW w:type="dxa" w:w="1020"/>
            <w:vAlign w:val="center"/>
          </w:tcPr>
          <w:p>
            <w:pPr>
              <w:spacing w:line="216" w:lineRule="auto" w:after="0"/>
            </w:pPr>
            <w:r>
              <w:rPr>
                <w:sz w:val="13"/>
              </w:rPr>
              <w:t>5.8</w:t>
            </w:r>
          </w:p>
        </w:tc>
      </w:tr>
      <w:tr>
        <w:trPr>
          <w:cantSplit/>
        </w:trPr>
        <w:tc>
          <w:tcPr>
            <w:tcW w:type="dxa" w:w="1304"/>
            <w:vAlign w:val="center"/>
          </w:tcPr>
          <w:p>
            <w:pPr>
              <w:spacing w:line="216" w:lineRule="auto" w:after="0"/>
            </w:pPr>
            <w:r>
              <w:rPr>
                <w:sz w:val="13"/>
              </w:rPr>
              <w:t>TITAN</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sequencing-derived continuous burden</w:t>
            </w:r>
          </w:p>
        </w:tc>
        <w:tc>
          <w:tcPr>
            <w:tcW w:type="dxa" w:w="850"/>
            <w:vAlign w:val="center"/>
          </w:tcPr>
          <w:p>
            <w:pPr>
              <w:spacing w:line="216" w:lineRule="auto" w:after="0"/>
            </w:pPr>
            <w:r>
              <w:rPr>
                <w:sz w:val="13"/>
              </w:rPr>
              <w:t>413</w:t>
            </w:r>
          </w:p>
        </w:tc>
        <w:tc>
          <w:tcPr>
            <w:tcW w:type="dxa" w:w="964"/>
            <w:vAlign w:val="center"/>
          </w:tcPr>
          <w:p>
            <w:pPr>
              <w:spacing w:line="216" w:lineRule="auto" w:after="0"/>
            </w:pPr>
            <w:r>
              <w:rPr>
                <w:sz w:val="13"/>
              </w:rPr>
              <w:t>33</w:t>
            </w:r>
          </w:p>
        </w:tc>
        <w:tc>
          <w:tcPr>
            <w:tcW w:type="dxa" w:w="1020"/>
            <w:vAlign w:val="center"/>
          </w:tcPr>
          <w:p>
            <w:pPr>
              <w:spacing w:line="216" w:lineRule="auto" w:after="0"/>
            </w:pPr>
            <w:r>
              <w:rPr>
                <w:sz w:val="13"/>
              </w:rPr>
              <w:t>8.0</w:t>
            </w:r>
          </w:p>
        </w:tc>
      </w:tr>
      <w:tr>
        <w:trPr>
          <w:cantSplit/>
        </w:trPr>
        <w:tc>
          <w:tcPr>
            <w:tcW w:type="dxa" w:w="1304"/>
            <w:vAlign w:val="center"/>
          </w:tcPr>
          <w:p>
            <w:pPr>
              <w:spacing w:line="216" w:lineRule="auto" w:after="0"/>
            </w:pPr>
            <w:r>
              <w:rPr>
                <w:sz w:val="13"/>
              </w:rPr>
              <w:t>Giga-SSL</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transcriptomic pathway score</w:t>
            </w:r>
          </w:p>
        </w:tc>
        <w:tc>
          <w:tcPr>
            <w:tcW w:type="dxa" w:w="850"/>
            <w:vAlign w:val="center"/>
          </w:tcPr>
          <w:p>
            <w:pPr>
              <w:spacing w:line="216" w:lineRule="auto" w:after="0"/>
            </w:pPr>
            <w:r>
              <w:rPr>
                <w:sz w:val="13"/>
              </w:rPr>
              <w:t>1456</w:t>
            </w:r>
          </w:p>
        </w:tc>
        <w:tc>
          <w:tcPr>
            <w:tcW w:type="dxa" w:w="964"/>
            <w:vAlign w:val="center"/>
          </w:tcPr>
          <w:p>
            <w:pPr>
              <w:spacing w:line="216" w:lineRule="auto" w:after="0"/>
            </w:pPr>
            <w:r>
              <w:rPr>
                <w:sz w:val="13"/>
              </w:rPr>
              <w:t>249</w:t>
            </w:r>
          </w:p>
        </w:tc>
        <w:tc>
          <w:tcPr>
            <w:tcW w:type="dxa" w:w="1020"/>
            <w:vAlign w:val="center"/>
          </w:tcPr>
          <w:p>
            <w:pPr>
              <w:spacing w:line="216" w:lineRule="auto" w:after="0"/>
            </w:pPr>
            <w:r>
              <w:rPr>
                <w:sz w:val="13"/>
              </w:rPr>
              <w:t>17.1</w:t>
            </w:r>
          </w:p>
        </w:tc>
      </w:tr>
      <w:tr>
        <w:trPr>
          <w:cantSplit/>
        </w:trPr>
        <w:tc>
          <w:tcPr>
            <w:tcW w:type="dxa" w:w="1304"/>
            <w:vAlign w:val="center"/>
          </w:tcPr>
          <w:p>
            <w:pPr>
              <w:spacing w:line="216" w:lineRule="auto" w:after="0"/>
            </w:pPr>
            <w:r>
              <w:rPr>
                <w:sz w:val="13"/>
              </w:rPr>
              <w:t>Prov-GigaPath</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transcriptomic pathway score</w:t>
            </w:r>
          </w:p>
        </w:tc>
        <w:tc>
          <w:tcPr>
            <w:tcW w:type="dxa" w:w="850"/>
            <w:vAlign w:val="center"/>
          </w:tcPr>
          <w:p>
            <w:pPr>
              <w:spacing w:line="216" w:lineRule="auto" w:after="0"/>
            </w:pPr>
            <w:r>
              <w:rPr>
                <w:sz w:val="13"/>
              </w:rPr>
              <w:t>1456</w:t>
            </w:r>
          </w:p>
        </w:tc>
        <w:tc>
          <w:tcPr>
            <w:tcW w:type="dxa" w:w="964"/>
            <w:vAlign w:val="center"/>
          </w:tcPr>
          <w:p>
            <w:pPr>
              <w:spacing w:line="216" w:lineRule="auto" w:after="0"/>
            </w:pPr>
            <w:r>
              <w:rPr>
                <w:sz w:val="13"/>
              </w:rPr>
              <w:t>305</w:t>
            </w:r>
          </w:p>
        </w:tc>
        <w:tc>
          <w:tcPr>
            <w:tcW w:type="dxa" w:w="1020"/>
            <w:vAlign w:val="center"/>
          </w:tcPr>
          <w:p>
            <w:pPr>
              <w:spacing w:line="216" w:lineRule="auto" w:after="0"/>
            </w:pPr>
            <w:r>
              <w:rPr>
                <w:sz w:val="13"/>
              </w:rPr>
              <w:t>20.9</w:t>
            </w:r>
          </w:p>
        </w:tc>
      </w:tr>
      <w:tr>
        <w:trPr>
          <w:cantSplit/>
        </w:trPr>
        <w:tc>
          <w:tcPr>
            <w:tcW w:type="dxa" w:w="1304"/>
            <w:vAlign w:val="center"/>
          </w:tcPr>
          <w:p>
            <w:pPr>
              <w:spacing w:line="216" w:lineRule="auto" w:after="0"/>
            </w:pPr>
            <w:r>
              <w:rPr>
                <w:sz w:val="13"/>
              </w:rPr>
              <w:t>TITAN</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transcriptomic pathway score</w:t>
            </w:r>
          </w:p>
        </w:tc>
        <w:tc>
          <w:tcPr>
            <w:tcW w:type="dxa" w:w="850"/>
            <w:vAlign w:val="center"/>
          </w:tcPr>
          <w:p>
            <w:pPr>
              <w:spacing w:line="216" w:lineRule="auto" w:after="0"/>
            </w:pPr>
            <w:r>
              <w:rPr>
                <w:sz w:val="13"/>
              </w:rPr>
              <w:t>1456</w:t>
            </w:r>
          </w:p>
        </w:tc>
        <w:tc>
          <w:tcPr>
            <w:tcW w:type="dxa" w:w="964"/>
            <w:vAlign w:val="center"/>
          </w:tcPr>
          <w:p>
            <w:pPr>
              <w:spacing w:line="216" w:lineRule="auto" w:after="0"/>
            </w:pPr>
            <w:r>
              <w:rPr>
                <w:sz w:val="13"/>
              </w:rPr>
              <w:t>447</w:t>
            </w:r>
          </w:p>
        </w:tc>
        <w:tc>
          <w:tcPr>
            <w:tcW w:type="dxa" w:w="1020"/>
            <w:vAlign w:val="center"/>
          </w:tcPr>
          <w:p>
            <w:pPr>
              <w:spacing w:line="216" w:lineRule="auto" w:after="0"/>
            </w:pPr>
            <w:r>
              <w:rPr>
                <w:sz w:val="13"/>
              </w:rPr>
              <w:t>30.7</w:t>
            </w:r>
          </w:p>
        </w:tc>
      </w:tr>
      <w:tr>
        <w:trPr>
          <w:cantSplit/>
        </w:trPr>
        <w:tc>
          <w:tcPr>
            <w:tcW w:type="dxa" w:w="1304"/>
            <w:vAlign w:val="center"/>
          </w:tcPr>
          <w:p>
            <w:pPr>
              <w:spacing w:line="216" w:lineRule="auto" w:after="0"/>
            </w:pPr>
            <w:r>
              <w:rPr>
                <w:sz w:val="13"/>
              </w:rPr>
              <w:t>Giga-SSL</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transcriptomic signature</w:t>
            </w:r>
          </w:p>
        </w:tc>
        <w:tc>
          <w:tcPr>
            <w:tcW w:type="dxa" w:w="850"/>
            <w:vAlign w:val="center"/>
          </w:tcPr>
          <w:p>
            <w:pPr>
              <w:spacing w:line="216" w:lineRule="auto" w:after="0"/>
            </w:pPr>
            <w:r>
              <w:rPr>
                <w:sz w:val="13"/>
              </w:rPr>
              <w:t>279</w:t>
            </w:r>
          </w:p>
        </w:tc>
        <w:tc>
          <w:tcPr>
            <w:tcW w:type="dxa" w:w="964"/>
            <w:vAlign w:val="center"/>
          </w:tcPr>
          <w:p>
            <w:pPr>
              <w:spacing w:line="216" w:lineRule="auto" w:after="0"/>
            </w:pPr>
            <w:r>
              <w:rPr>
                <w:sz w:val="13"/>
              </w:rPr>
              <w:t>58</w:t>
            </w:r>
          </w:p>
        </w:tc>
        <w:tc>
          <w:tcPr>
            <w:tcW w:type="dxa" w:w="1020"/>
            <w:vAlign w:val="center"/>
          </w:tcPr>
          <w:p>
            <w:pPr>
              <w:spacing w:line="216" w:lineRule="auto" w:after="0"/>
            </w:pPr>
            <w:r>
              <w:rPr>
                <w:sz w:val="13"/>
              </w:rPr>
              <w:t>20.8</w:t>
            </w:r>
          </w:p>
        </w:tc>
      </w:tr>
      <w:tr>
        <w:trPr>
          <w:cantSplit/>
        </w:trPr>
        <w:tc>
          <w:tcPr>
            <w:tcW w:type="dxa" w:w="1304"/>
            <w:vAlign w:val="center"/>
          </w:tcPr>
          <w:p>
            <w:pPr>
              <w:spacing w:line="216" w:lineRule="auto" w:after="0"/>
            </w:pPr>
            <w:r>
              <w:rPr>
                <w:sz w:val="13"/>
              </w:rPr>
              <w:t>Prov-GigaPath</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transcriptomic signature</w:t>
            </w:r>
          </w:p>
        </w:tc>
        <w:tc>
          <w:tcPr>
            <w:tcW w:type="dxa" w:w="850"/>
            <w:vAlign w:val="center"/>
          </w:tcPr>
          <w:p>
            <w:pPr>
              <w:spacing w:line="216" w:lineRule="auto" w:after="0"/>
            </w:pPr>
            <w:r>
              <w:rPr>
                <w:sz w:val="13"/>
              </w:rPr>
              <w:t>279</w:t>
            </w:r>
          </w:p>
        </w:tc>
        <w:tc>
          <w:tcPr>
            <w:tcW w:type="dxa" w:w="964"/>
            <w:vAlign w:val="center"/>
          </w:tcPr>
          <w:p>
            <w:pPr>
              <w:spacing w:line="216" w:lineRule="auto" w:after="0"/>
            </w:pPr>
            <w:r>
              <w:rPr>
                <w:sz w:val="13"/>
              </w:rPr>
              <w:t>64</w:t>
            </w:r>
          </w:p>
        </w:tc>
        <w:tc>
          <w:tcPr>
            <w:tcW w:type="dxa" w:w="1020"/>
            <w:vAlign w:val="center"/>
          </w:tcPr>
          <w:p>
            <w:pPr>
              <w:spacing w:line="216" w:lineRule="auto" w:after="0"/>
            </w:pPr>
            <w:r>
              <w:rPr>
                <w:sz w:val="13"/>
              </w:rPr>
              <w:t>22.9</w:t>
            </w:r>
          </w:p>
        </w:tc>
      </w:tr>
      <w:tr>
        <w:trPr>
          <w:cantSplit/>
        </w:trPr>
        <w:tc>
          <w:tcPr>
            <w:tcW w:type="dxa" w:w="1304"/>
            <w:vAlign w:val="center"/>
          </w:tcPr>
          <w:p>
            <w:pPr>
              <w:spacing w:line="216" w:lineRule="auto" w:after="0"/>
            </w:pPr>
            <w:r>
              <w:rPr>
                <w:sz w:val="13"/>
              </w:rPr>
              <w:t>TITAN</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transcriptomic signature</w:t>
            </w:r>
          </w:p>
        </w:tc>
        <w:tc>
          <w:tcPr>
            <w:tcW w:type="dxa" w:w="850"/>
            <w:vAlign w:val="center"/>
          </w:tcPr>
          <w:p>
            <w:pPr>
              <w:spacing w:line="216" w:lineRule="auto" w:after="0"/>
            </w:pPr>
            <w:r>
              <w:rPr>
                <w:sz w:val="13"/>
              </w:rPr>
              <w:t>279</w:t>
            </w:r>
          </w:p>
        </w:tc>
        <w:tc>
          <w:tcPr>
            <w:tcW w:type="dxa" w:w="964"/>
            <w:vAlign w:val="center"/>
          </w:tcPr>
          <w:p>
            <w:pPr>
              <w:spacing w:line="216" w:lineRule="auto" w:after="0"/>
            </w:pPr>
            <w:r>
              <w:rPr>
                <w:sz w:val="13"/>
              </w:rPr>
              <w:t>92</w:t>
            </w:r>
          </w:p>
        </w:tc>
        <w:tc>
          <w:tcPr>
            <w:tcW w:type="dxa" w:w="1020"/>
            <w:vAlign w:val="center"/>
          </w:tcPr>
          <w:p>
            <w:pPr>
              <w:spacing w:line="216" w:lineRule="auto" w:after="0"/>
            </w:pPr>
            <w:r>
              <w:rPr>
                <w:sz w:val="13"/>
              </w:rPr>
              <w:t>33.0</w:t>
            </w:r>
          </w:p>
        </w:tc>
      </w:tr>
    </w:tbl>
    <w:p/>
    <w:tbl>
      <w:tblPr>
        <w:tblStyle w:val="TableGrid"/>
        <w:tblW w:type="dxa" w:w="9071"/>
        <w:jc w:val="left"/>
        <w:tblLayout w:type="fixed"/>
        <w:tblLook w:firstColumn="1" w:firstRow="1" w:lastColumn="0" w:lastRow="0" w:noHBand="0" w:noVBand="1" w:val="04A0"/>
        <w:tblLayout w:type="fixed"/>
        <w:tblInd w:type="dxa" w:w="0"/>
      </w:tblPr>
      <w:tblGrid>
        <w:gridCol w:w="1587"/>
        <w:gridCol w:w="1814"/>
        <w:gridCol w:w="2835"/>
        <w:gridCol w:w="2835"/>
      </w:tblGrid>
      <w:tr>
        <w:trPr>
          <w:tblHeader w:val="true"/>
          <w:cantSplit/>
        </w:trPr>
        <w:tc>
          <w:tcPr>
            <w:tcW w:type="dxa" w:w="1587"/>
          </w:tcPr>
          <w:p>
            <w:pPr>
              <w:spacing w:line="240" w:lineRule="auto" w:after="0"/>
            </w:pPr>
            <w:r>
              <w:rPr>
                <w:b/>
                <w:sz w:val="14"/>
              </w:rPr>
              <w:t>Representation</w:t>
            </w:r>
          </w:p>
        </w:tc>
        <w:tc>
          <w:tcPr>
            <w:tcW w:type="dxa" w:w="1814"/>
          </w:tcPr>
          <w:p>
            <w:pPr>
              <w:spacing w:line="240" w:lineRule="auto" w:after="0"/>
            </w:pPr>
            <w:r>
              <w:rPr>
                <w:b/>
                <w:sz w:val="14"/>
              </w:rPr>
              <w:t>Continuous all</w:t>
            </w:r>
          </w:p>
        </w:tc>
        <w:tc>
          <w:tcPr>
            <w:tcW w:type="dxa" w:w="2835"/>
          </w:tcPr>
          <w:p>
            <w:pPr>
              <w:spacing w:line="240" w:lineRule="auto" w:after="0"/>
            </w:pPr>
            <w:r>
              <w:rPr>
                <w:b/>
                <w:sz w:val="14"/>
              </w:rPr>
              <w:t>Continuous excluding same-H&amp;E</w:t>
            </w:r>
          </w:p>
        </w:tc>
        <w:tc>
          <w:tcPr>
            <w:tcW w:type="dxa" w:w="2835"/>
          </w:tcPr>
          <w:p>
            <w:pPr>
              <w:spacing w:line="240" w:lineRule="auto" w:after="0"/>
            </w:pPr>
            <w:r>
              <w:rPr>
                <w:b/>
                <w:sz w:val="14"/>
              </w:rPr>
              <w:t>All matched excluding same-H&amp;E</w:t>
            </w:r>
          </w:p>
        </w:tc>
      </w:tr>
      <w:tr>
        <w:trPr>
          <w:cantSplit/>
        </w:trPr>
        <w:tc>
          <w:tcPr>
            <w:tcW w:type="dxa" w:w="1587"/>
            <w:vAlign w:val="center"/>
          </w:tcPr>
          <w:p>
            <w:pPr>
              <w:spacing w:line="240" w:lineRule="auto" w:after="0"/>
            </w:pPr>
            <w:r>
              <w:rPr>
                <w:sz w:val="14"/>
              </w:rPr>
              <w:t>Giga-SSL</w:t>
            </w:r>
          </w:p>
        </w:tc>
        <w:tc>
          <w:tcPr>
            <w:tcW w:type="dxa" w:w="1814"/>
            <w:vAlign w:val="center"/>
          </w:tcPr>
          <w:p>
            <w:pPr>
              <w:spacing w:line="240" w:lineRule="auto" w:after="0"/>
            </w:pPr>
            <w:r>
              <w:rPr>
                <w:sz w:val="14"/>
              </w:rPr>
              <w:t>362/2963</w:t>
            </w:r>
          </w:p>
        </w:tc>
        <w:tc>
          <w:tcPr>
            <w:tcW w:type="dxa" w:w="2835"/>
            <w:vAlign w:val="center"/>
          </w:tcPr>
          <w:p>
            <w:pPr>
              <w:spacing w:line="240" w:lineRule="auto" w:after="0"/>
            </w:pPr>
            <w:r>
              <w:rPr>
                <w:sz w:val="14"/>
              </w:rPr>
              <w:t>351/2952</w:t>
            </w:r>
          </w:p>
        </w:tc>
        <w:tc>
          <w:tcPr>
            <w:tcW w:type="dxa" w:w="2835"/>
            <w:vAlign w:val="center"/>
          </w:tcPr>
          <w:p>
            <w:pPr>
              <w:spacing w:line="240" w:lineRule="auto" w:after="0"/>
            </w:pPr>
            <w:r>
              <w:rPr>
                <w:sz w:val="14"/>
              </w:rPr>
              <w:t>517/3378</w:t>
            </w:r>
          </w:p>
        </w:tc>
      </w:tr>
      <w:tr>
        <w:trPr>
          <w:cantSplit/>
        </w:trPr>
        <w:tc>
          <w:tcPr>
            <w:tcW w:type="dxa" w:w="1587"/>
            <w:vAlign w:val="center"/>
          </w:tcPr>
          <w:p>
            <w:pPr>
              <w:spacing w:line="240" w:lineRule="auto" w:after="0"/>
            </w:pPr>
            <w:r>
              <w:rPr>
                <w:sz w:val="14"/>
              </w:rPr>
              <w:t>Prov-GigaPath</w:t>
            </w:r>
          </w:p>
        </w:tc>
        <w:tc>
          <w:tcPr>
            <w:tcW w:type="dxa" w:w="1814"/>
            <w:vAlign w:val="center"/>
          </w:tcPr>
          <w:p>
            <w:pPr>
              <w:spacing w:line="240" w:lineRule="auto" w:after="0"/>
            </w:pPr>
            <w:r>
              <w:rPr>
                <w:sz w:val="14"/>
              </w:rPr>
              <w:t>441/2963</w:t>
            </w:r>
          </w:p>
        </w:tc>
        <w:tc>
          <w:tcPr>
            <w:tcW w:type="dxa" w:w="2835"/>
            <w:vAlign w:val="center"/>
          </w:tcPr>
          <w:p>
            <w:pPr>
              <w:spacing w:line="240" w:lineRule="auto" w:after="0"/>
            </w:pPr>
            <w:r>
              <w:rPr>
                <w:sz w:val="14"/>
              </w:rPr>
              <w:t>430/2952</w:t>
            </w:r>
          </w:p>
        </w:tc>
        <w:tc>
          <w:tcPr>
            <w:tcW w:type="dxa" w:w="2835"/>
            <w:vAlign w:val="center"/>
          </w:tcPr>
          <w:p>
            <w:pPr>
              <w:spacing w:line="240" w:lineRule="auto" w:after="0"/>
            </w:pPr>
            <w:r>
              <w:rPr>
                <w:sz w:val="14"/>
              </w:rPr>
              <w:t>606/3378</w:t>
            </w:r>
          </w:p>
        </w:tc>
      </w:tr>
      <w:tr>
        <w:trPr>
          <w:cantSplit/>
        </w:trPr>
        <w:tc>
          <w:tcPr>
            <w:tcW w:type="dxa" w:w="1587"/>
            <w:vAlign w:val="center"/>
          </w:tcPr>
          <w:p>
            <w:pPr>
              <w:spacing w:line="240" w:lineRule="auto" w:after="0"/>
            </w:pPr>
            <w:r>
              <w:rPr>
                <w:sz w:val="14"/>
              </w:rPr>
              <w:t>TITAN</w:t>
            </w:r>
          </w:p>
        </w:tc>
        <w:tc>
          <w:tcPr>
            <w:tcW w:type="dxa" w:w="1814"/>
            <w:vAlign w:val="center"/>
          </w:tcPr>
          <w:p>
            <w:pPr>
              <w:spacing w:line="240" w:lineRule="auto" w:after="0"/>
            </w:pPr>
            <w:r>
              <w:rPr>
                <w:sz w:val="14"/>
              </w:rPr>
              <w:t>643/2963</w:t>
            </w:r>
          </w:p>
        </w:tc>
        <w:tc>
          <w:tcPr>
            <w:tcW w:type="dxa" w:w="2835"/>
            <w:vAlign w:val="center"/>
          </w:tcPr>
          <w:p>
            <w:pPr>
              <w:spacing w:line="240" w:lineRule="auto" w:after="0"/>
            </w:pPr>
            <w:r>
              <w:rPr>
                <w:sz w:val="14"/>
              </w:rPr>
              <w:t>633/2952</w:t>
            </w:r>
          </w:p>
        </w:tc>
        <w:tc>
          <w:tcPr>
            <w:tcW w:type="dxa" w:w="2835"/>
            <w:vAlign w:val="center"/>
          </w:tcPr>
          <w:p>
            <w:pPr>
              <w:spacing w:line="240" w:lineRule="auto" w:after="0"/>
            </w:pPr>
            <w:r>
              <w:rPr>
                <w:sz w:val="14"/>
              </w:rPr>
              <w:t>863/3378</w:t>
            </w:r>
          </w:p>
        </w:tc>
      </w:tr>
    </w:tbl>
    <w:p/>
    <w:p>
      <w:r>
        <w:t>CIBERSORT fractions, methylation-derived leukocyte estimates and RNA signatures measure agreement with computational reference phenotypes. The H&amp;E-derived TIL fraction is same-modality concordance and is excluded from the default cross-modal continuous summary.</w:t>
      </w:r>
    </w:p>
    <w:p>
      <w:pPr>
        <w:pStyle w:val="Heading1"/>
      </w:pPr>
      <w:r>
        <w:t>Supplementary Figures</w:t>
      </w:r>
    </w:p>
    <w:p>
      <w:r>
        <w:t>Separate single-outcome versus joint multi-outcome PLS: inferred cell fractions: mean cancer-level delta Q2 0.066 (0.041 to 0.096); infiltration signatures: mean cancer-level delta Q2 0.017 (0.007 to 0.031); immune repertoire: mean cancer-level delta Q2 0.062 (0.040 to 0.089). Complete results remain in the synchronized multi-outcome comparison companion.</w:t>
      </w:r>
    </w:p>
    <w:p>
      <w:r>
        <w:br w:type="page"/>
      </w:r>
    </w:p>
    <w:p>
      <w:pPr>
        <w:jc w:val="center"/>
      </w:pPr>
      <w:r>
        <w:drawing>
          <wp:inline xmlns:a="http://schemas.openxmlformats.org/drawingml/2006/main" xmlns:pic="http://schemas.openxmlformats.org/drawingml/2006/picture">
            <wp:extent cx="5715000" cy="6888616"/>
            <wp:docPr id="1" name="Picture 1"/>
            <wp:cNvGraphicFramePr>
              <a:graphicFrameLocks noChangeAspect="1"/>
            </wp:cNvGraphicFramePr>
            <a:graphic>
              <a:graphicData uri="http://schemas.openxmlformats.org/drawingml/2006/picture">
                <pic:pic>
                  <pic:nvPicPr>
                    <pic:cNvPr id="0" name="FigureS3_binary_class_reliability.png"/>
                    <pic:cNvPicPr/>
                  </pic:nvPicPr>
                  <pic:blipFill>
                    <a:blip r:embed="rId11"/>
                    <a:stretch>
                      <a:fillRect/>
                    </a:stretch>
                  </pic:blipFill>
                  <pic:spPr>
                    <a:xfrm>
                      <a:off x="0" y="0"/>
                      <a:ext cx="5715000" cy="6888616"/>
                    </a:xfrm>
                    <a:prstGeom prst="rect"/>
                  </pic:spPr>
                </pic:pic>
              </a:graphicData>
            </a:graphic>
          </wp:inline>
        </w:drawing>
      </w:r>
    </w:p>
    <w:p>
      <w:pPr>
        <w:pStyle w:val="Caption"/>
        <w:jc w:val="center"/>
      </w:pPr>
      <w:r>
        <w:t>Figure S1. Binary class-size reliability, component selection and repeat-score stability for the smaller-class TITAN models.</w:t>
      </w:r>
    </w:p>
    <w:p>
      <w:r>
        <w:br w:type="page"/>
      </w:r>
    </w:p>
    <w:p>
      <w:pPr>
        <w:jc w:val="center"/>
      </w:pPr>
      <w:r>
        <w:drawing>
          <wp:inline xmlns:a="http://schemas.openxmlformats.org/drawingml/2006/main" xmlns:pic="http://schemas.openxmlformats.org/drawingml/2006/picture">
            <wp:extent cx="5715000" cy="5143500"/>
            <wp:docPr id="2" name="Picture 2"/>
            <wp:cNvGraphicFramePr>
              <a:graphicFrameLocks noChangeAspect="1"/>
            </wp:cNvGraphicFramePr>
            <a:graphic>
              <a:graphicData uri="http://schemas.openxmlformats.org/drawingml/2006/picture">
                <pic:pic>
                  <pic:nvPicPr>
                    <pic:cNvPr id="0" name="FigureS5_continuous_reliability.png"/>
                    <pic:cNvPicPr/>
                  </pic:nvPicPr>
                  <pic:blipFill>
                    <a:blip r:embed="rId12"/>
                    <a:stretch>
                      <a:fillRect/>
                    </a:stretch>
                  </pic:blipFill>
                  <pic:spPr>
                    <a:xfrm>
                      <a:off x="0" y="0"/>
                      <a:ext cx="5715000" cy="5143500"/>
                    </a:xfrm>
                    <a:prstGeom prst="rect"/>
                  </pic:spPr>
                </pic:pic>
              </a:graphicData>
            </a:graphic>
          </wp:inline>
        </w:drawing>
      </w:r>
    </w:p>
    <w:p>
      <w:pPr>
        <w:pStyle w:val="Caption"/>
        <w:jc w:val="center"/>
      </w:pPr>
      <w:r>
        <w:t>Figure S2. Continuous sample-size, repeated-prediction stability and component selection. The fewer-than-100-patient label is a denominator descriptor, not an evidence grade.</w:t>
      </w:r>
    </w:p>
    <w:p>
      <w:r>
        <w:br w:type="page"/>
      </w:r>
    </w:p>
    <w:p>
      <w:pPr>
        <w:jc w:val="center"/>
      </w:pPr>
      <w:r>
        <w:drawing>
          <wp:inline xmlns:a="http://schemas.openxmlformats.org/drawingml/2006/main" xmlns:pic="http://schemas.openxmlformats.org/drawingml/2006/picture">
            <wp:extent cx="5715000" cy="4497049"/>
            <wp:docPr id="3" name="Picture 3"/>
            <wp:cNvGraphicFramePr>
              <a:graphicFrameLocks noChangeAspect="1"/>
            </wp:cNvGraphicFramePr>
            <a:graphic>
              <a:graphicData uri="http://schemas.openxmlformats.org/drawingml/2006/picture">
                <pic:pic>
                  <pic:nvPicPr>
                    <pic:cNvPr id="0" name="Figure6_site_grouped_sensitivity.png"/>
                    <pic:cNvPicPr/>
                  </pic:nvPicPr>
                  <pic:blipFill>
                    <a:blip r:embed="rId14"/>
                    <a:stretch>
                      <a:fillRect/>
                    </a:stretch>
                  </pic:blipFill>
                  <pic:spPr>
                    <a:xfrm>
                      <a:off x="0" y="0"/>
                      <a:ext cx="5715000" cy="4497049"/>
                    </a:xfrm>
                    <a:prstGeom prst="rect"/>
                  </pic:spPr>
                </pic:pic>
              </a:graphicData>
            </a:graphic>
          </wp:inline>
        </w:drawing>
      </w:r>
    </w:p>
    <w:p>
      <w:pPr>
        <w:pStyle w:val="Caption"/>
        <w:jc w:val="center"/>
      </w:pPr>
      <w:r>
        <w:t>Figure S3. Supporting TITAN sensitivity to grouping by TCGA tissue-source-site code. The code is a barcode-derived cohort variable, not an institution, scanner or laboratory identifier.</w:t>
      </w:r>
    </w:p>
    <w:p>
      <w:r>
        <w:br w:type="page"/>
      </w:r>
    </w:p>
    <w:p>
      <w:pPr>
        <w:jc w:val="center"/>
      </w:pPr>
      <w:r>
        <w:drawing>
          <wp:inline xmlns:a="http://schemas.openxmlformats.org/drawingml/2006/main" xmlns:pic="http://schemas.openxmlformats.org/drawingml/2006/picture">
            <wp:extent cx="5715000" cy="3922059"/>
            <wp:docPr id="4" name="Picture 4"/>
            <wp:cNvGraphicFramePr>
              <a:graphicFrameLocks noChangeAspect="1"/>
            </wp:cNvGraphicFramePr>
            <a:graphic>
              <a:graphicData uri="http://schemas.openxmlformats.org/drawingml/2006/picture">
                <pic:pic>
                  <pic:nvPicPr>
                    <pic:cNvPr id="0" name="FigureS12_paired_representation_effects.png"/>
                    <pic:cNvPicPr/>
                  </pic:nvPicPr>
                  <pic:blipFill>
                    <a:blip r:embed="rId16"/>
                    <a:stretch>
                      <a:fillRect/>
                    </a:stretch>
                  </pic:blipFill>
                  <pic:spPr>
                    <a:xfrm>
                      <a:off x="0" y="0"/>
                      <a:ext cx="5715000" cy="3922059"/>
                    </a:xfrm>
                    <a:prstGeom prst="rect"/>
                  </pic:spPr>
                </pic:pic>
              </a:graphicData>
            </a:graphic>
          </wp:inline>
        </w:drawing>
      </w:r>
    </w:p>
    <w:p>
      <w:pPr>
        <w:pStyle w:val="Caption"/>
        <w:jc w:val="center"/>
      </w:pPr>
      <w:r>
        <w:t>Figure S4. Paired Q2 and AUROC estimates for all 3,389 matched cancer-endpoint tasks. The comparison is conditional on the specified common probe.</w:t>
      </w:r>
    </w:p>
    <w:p>
      <w:r>
        <w:t>The two COAD PathoFMPred examples now appear at readable size in main Figures 5 and 6 and are not duplicated in this shortened Supplement.</w:t>
      </w:r>
    </w:p>
    <w:p>
      <w:r>
        <w:br w:type="page"/>
      </w:r>
    </w:p>
    <w:p>
      <w:pPr>
        <w:pStyle w:val="Heading1"/>
      </w:pPr>
      <w:r>
        <w:t>Machine-readable additional files</w:t>
      </w:r>
    </w:p>
    <w:p>
      <w:r>
        <w:t>The repository retains complete-resolution records. The groups below replace the former multi-page filename list; source_manifest.csv and software_manifest.csv provide the exact inventory and checksums.</w:t>
      </w:r>
    </w:p>
    <w:p>
      <w:pPr>
        <w:pStyle w:val="ListBullet"/>
        <w:spacing w:after="0"/>
      </w:pPr>
      <w:r>
        <w:t>Matched representation atlas: foundation_model_*.csv and results/predictions/foundation_model_*.rds</w:t>
      </w:r>
    </w:p>
    <w:p>
      <w:pPr>
        <w:pStyle w:val="ListBullet"/>
        <w:spacing w:after="0"/>
      </w:pPr>
      <w:r>
        <w:t>Supporting TITAN screen: continuous_screen.csv, binary_screen.csv and repeated nested-validation files</w:t>
      </w:r>
    </w:p>
    <w:p>
      <w:pPr>
        <w:pStyle w:val="ListBullet"/>
        <w:spacing w:after="0"/>
      </w:pPr>
      <w:r>
        <w:t>Permutation and multiplicity: permutation_*.csv, targeted_permutation_*.csv and multiplicity_*.csv</w:t>
      </w:r>
    </w:p>
    <w:p>
      <w:pPr>
        <w:pStyle w:val="ListBullet"/>
        <w:spacing w:after="0"/>
      </w:pPr>
      <w:r>
        <w:t>Tissue-source-site-code analyses: site_grouped_*.csv, tissue_source_site_*.csv and foundation_model_tss_*.csv</w:t>
      </w:r>
    </w:p>
    <w:p>
      <w:pPr>
        <w:pStyle w:val="ListBullet"/>
        <w:spacing w:after="0"/>
      </w:pPr>
      <w:r>
        <w:t>Reliability and operating rules: binary_*.csv and continuous_reliability_*.csv</w:t>
      </w:r>
    </w:p>
    <w:p>
      <w:pPr>
        <w:pStyle w:val="ListBullet"/>
        <w:spacing w:after="0"/>
      </w:pPr>
      <w:r>
        <w:t>Pathology, pooling and linkage: pathology_qc_*.csv, slide_embedding_*.csv, *_pooling_sensitivity.csv and molecular_slide_linkage_audit.csv</w:t>
      </w:r>
    </w:p>
    <w:p>
      <w:pPr>
        <w:pStyle w:val="ListBullet"/>
        <w:spacing w:after="0"/>
      </w:pPr>
      <w:r>
        <w:t>Endpoint provenance and literature: endpoint_*.csv, outcome_source_acquisition_map.csv and *_literature_*.csv</w:t>
      </w:r>
    </w:p>
    <w:p>
      <w:pPr>
        <w:pStyle w:val="ListBullet"/>
        <w:spacing w:after="0"/>
      </w:pPr>
      <w:r>
        <w:t>Software and fitted-object audits: models/model_registry.csv, fitted_model_*.csv and data/reference/software_access_licensing_matrix.csv</w:t>
      </w:r>
    </w:p>
    <w:p>
      <w:pPr>
        <w:pStyle w:val="ListBullet"/>
        <w:spacing w:after="0"/>
      </w:pPr>
      <w:r>
        <w:t>PathoFMPred COAD examples: coad_pathofmpred_multifoundation_*.csv and Additional files 2-3</w:t>
      </w:r>
    </w:p>
    <w:p>
      <w:pPr>
        <w:pStyle w:val="ListBullet"/>
        <w:spacing w:after="0"/>
      </w:pPr>
      <w:r>
        <w:t>Reproducibility manifests: source_manifest.csv, software_manifest.csv and data/reference/analysis_chronology.csv</w:t>
      </w:r>
    </w:p>
    <w:sectPr w:rsidR="00FC693F" w:rsidRPr="0006063C" w:rsidSect="00034616">
      <w:pgSz w:w="11906" w:h="16838"/>
      <w:pgMar w:top="1134" w:right="1247" w:bottom="1134" w:left="1247" w:header="720" w:footer="720" w:gutter="0"/>
      <w:cols w:space="720"/>
      <w:docGrid w:linePitch="360"/>
      <w:lnNumType w:countBy="1" w:restart="continuous"/>
      <w:lnNumType w:countBy="1" w:restart="continuous"/>
      <w:lnNumType w:countBy="1" w:restart="continuous"/>
      <w:lnNumType w:countBy="1" w:restart="continuous"/>
      <w:lnNumType w:countBy="1" w:restart="continuous"/>
      <w:lnNumType w:countBy="1" w:restart="continuous"/>
      <w:lnNumType w:countBy="1" w:restart="continuous"/>
      <w:lnNumType w:countBy="1" w:restart="continuous"/>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Supplementary material - multi-foundation-model atlas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76"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line="276"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276" w:lineRule="auto"/>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76"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60"/>
    </w:pPr>
    <w:rPr>
      <w:rFonts w:ascii="Arial" w:hAnsi="Arial"/>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