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immune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using patient-level nested PLS1 or PLS–LDA. Effect-eligible models underwent 999 complete-process permutations with conservative stopping, exact Monte Carlo intervals and Benjamini–Hochberg corrections locally, across cancers and atlas-wide. Eight prespecified leading models were extended to 9,999 permutations.</w:t>
      </w:r>
    </w:p>
    <w:p>
      <w:r>
        <w:rPr>
          <w:b/>
        </w:rPr>
        <w:t xml:space="preserve">Results. </w:t>
      </w:r>
      <w:r>
        <w:t>Within-cancer screening identified 219 continuous and 104 binary higher- or moderate-effect candidates. Highlighted repeated-CV results included TGCT–TGF-beta Response (Q² 0.670, 95% bootstrap interval 0.573–0.741; RMSE 0.303, Spearman 0.791) and COAD–APC (sensitivity 0.883, specificity 0.705, balanced accuracy 0.794, 95% bootstrap interval 0.756–0.830; AUROC 0.848). Prior studies supported 38/41 screen-positive cancer–gene pairs. 320/323 local candidates passed single BH correction across all 2,073 eligible tests. For zero exceedances among 999 permutations, the 95% Monte Carlo interval was 0–0.003686; targeted 9,999-permutation p-values were all 0.0001. Tissue-source-site grouping reduced 83/323 candidates (25.7%) below the original effect threshold. In a selection-conditioned benchmark, median ridge-minus-PLS differences were 0.004 AUROC and 0.014 Q².</w:t>
      </w:r>
    </w:p>
    <w:p>
      <w:r>
        <w:rPr>
          <w:b/>
        </w:rPr>
        <w:t xml:space="preserve">Conclusions. </w:t>
      </w:r>
      <w:r>
        <w:t>This systematic patient-level benchmark defines internally derived TCGA estimates under one fixed pretrained TITAN representation and constructs compact research models for future locked evaluation. Its contribution is methodological and resource-oriented rather than mutation-target novelty. No independent performance evidence is presented, and clinical interpretation or application is not supported.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immune and genomic-context measurements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As a secondary algorithmic benchmark, the 24 manuscript-highlighted models were refitted on the same five repeated outer partitions using ridge-penalised Gaussian regression for continuous endpoints and ridge logistic regression for binary endpoints. For every binary outer fold, PLS–LDA and ridge used the identical outer split and identical inner splits. PLS component count and ridge penalty were selected entirely within the outer training set. Crucially, each method's operating threshold was then selected by the same rule: maximise balanced accuracy on that method's inner out-of-fold continuous scores, without access to the outer test fold. Threshold-independent AUROC was the primary binary algorithm-comparison metric, and balanced accuracy from these symmetrically selected thresholds was secondary. Continuous comparisons retained Q² as primary and Spearman correlation as secondary. We report magnitude, interquartile range and 95% paired-repeat intervals rather than winner counts alone. Because endpoints entered this benchmark after the PLS screen, it is a conditional sensitivity analysis and cannot establish screen-wide algorithmic superiority. Ridge was chosen as a simple linear baseline whose fitted coefficients can be exported without retaining training embeddings; nonlinear kernel predictors requiring training observations or landmarks at inference did not satisfy that portability constraint.</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Models are ordered by effect magnitude, with repeated and site-grouped stability reported alongside; tied permutation q-values are not used for ranking. These categories prioritise candidates for further testing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TITANPred retains the binary LDA score but does not convert it to a probability. In the research-software demonstration, its position is labelled 'TCGA out-of-fold score rank (not probability)' rather than percentile or risk, and is displayed beside total training n, positive and negative counts, prevalence, repeated-CV balanced accuracy and AUROC. Models with fewer than 50 patients in either class receive an explicit limited-class-size warning; this reporting flag does not change the prespecified 20-per-class eligibility rule.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predictive effect magnitude,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with 95% patient-cluster bootstrap intervals and tissue-source-site-grouped internal sensitivity. Site-grouped values are internal TCGA estimates, not external-validation results.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r>
              <w:rPr>
                <w:b/>
                <w:sz w:val="17"/>
              </w:rPr>
              <w:t>Cancer–endpoint</w:t>
            </w:r>
          </w:p>
        </w:tc>
        <w:tc>
          <w:tcPr>
            <w:tcW w:type="dxa" w:w="1569"/>
          </w:tcPr>
          <w:p>
            <w:r>
              <w:rPr>
                <w:b/>
                <w:sz w:val="17"/>
              </w:rPr>
              <w:t>Type</w:t>
            </w:r>
          </w:p>
        </w:tc>
        <w:tc>
          <w:tcPr>
            <w:tcW w:type="dxa" w:w="1569"/>
          </w:tcPr>
          <w:p>
            <w:r>
              <w:rPr>
                <w:b/>
                <w:sz w:val="17"/>
              </w:rPr>
              <w:t>Q² or Se/Sp (95% CI)</w:t>
            </w:r>
          </w:p>
        </w:tc>
        <w:tc>
          <w:tcPr>
            <w:tcW w:type="dxa" w:w="1569"/>
          </w:tcPr>
          <w:p>
            <w:r>
              <w:rPr>
                <w:b/>
                <w:sz w:val="17"/>
              </w:rPr>
              <w:t>RMSE or BA (95% CI)</w:t>
            </w:r>
          </w:p>
        </w:tc>
        <w:tc>
          <w:tcPr>
            <w:tcW w:type="dxa" w:w="1569"/>
          </w:tcPr>
          <w:p>
            <w:r>
              <w:rPr>
                <w:b/>
                <w:sz w:val="17"/>
              </w:rPr>
              <w:t>Spearman or AUROC (95% CI)</w:t>
            </w:r>
          </w:p>
        </w:tc>
        <w:tc>
          <w:tcPr>
            <w:tcW w:type="dxa" w:w="1569"/>
          </w:tcPr>
          <w:p>
            <w:r>
              <w:rPr>
                <w:b/>
                <w:sz w:val="17"/>
              </w:rPr>
              <w:t>TSS-grouped metric/status</w:t>
            </w:r>
          </w:p>
        </w:tc>
      </w:tr>
      <w:tr>
        <w:trPr>
          <w:cantSplit/>
        </w:trPr>
        <w:tc>
          <w:tcPr>
            <w:tcW w:type="dxa" w:w="1569"/>
            <w:vAlign w:val="center"/>
          </w:tcPr>
          <w:p>
            <w:r>
              <w:rPr>
                <w:sz w:val="16"/>
              </w:rPr>
              <w:t>BRCA–Proliferation</w:t>
            </w:r>
          </w:p>
        </w:tc>
        <w:tc>
          <w:tcPr>
            <w:tcW w:type="dxa" w:w="1569"/>
            <w:vAlign w:val="center"/>
          </w:tcPr>
          <w:p>
            <w:r>
              <w:rPr>
                <w:sz w:val="16"/>
              </w:rPr>
              <w:t>continuous</w:t>
            </w:r>
          </w:p>
        </w:tc>
        <w:tc>
          <w:tcPr>
            <w:tcW w:type="dxa" w:w="1569"/>
            <w:vAlign w:val="center"/>
          </w:tcPr>
          <w:p>
            <w:r>
              <w:rPr>
                <w:sz w:val="16"/>
              </w:rPr>
              <w:t>0.515 (0.467–0.560)</w:t>
            </w:r>
          </w:p>
        </w:tc>
        <w:tc>
          <w:tcPr>
            <w:tcW w:type="dxa" w:w="1569"/>
            <w:vAlign w:val="center"/>
          </w:tcPr>
          <w:p>
            <w:r>
              <w:rPr>
                <w:sz w:val="16"/>
              </w:rPr>
              <w:t>0.441 (0.418–0.466)</w:t>
            </w:r>
          </w:p>
        </w:tc>
        <w:tc>
          <w:tcPr>
            <w:tcW w:type="dxa" w:w="1569"/>
            <w:vAlign w:val="center"/>
          </w:tcPr>
          <w:p>
            <w:r>
              <w:rPr>
                <w:sz w:val="16"/>
              </w:rPr>
              <w:t>0.740 (0.710–0.770)</w:t>
            </w:r>
          </w:p>
        </w:tc>
        <w:tc>
          <w:tcPr>
            <w:tcW w:type="dxa" w:w="1569"/>
            <w:vAlign w:val="center"/>
          </w:tcPr>
          <w:p>
            <w:r>
              <w:rPr>
                <w:sz w:val="16"/>
              </w:rPr>
              <w:t>Q² 0.498; retained original effect threshold</w:t>
            </w:r>
          </w:p>
        </w:tc>
      </w:tr>
      <w:tr>
        <w:trPr>
          <w:cantSplit/>
        </w:trPr>
        <w:tc>
          <w:tcPr>
            <w:tcW w:type="dxa" w:w="1569"/>
            <w:vAlign w:val="center"/>
          </w:tcPr>
          <w:p>
            <w:r>
              <w:rPr>
                <w:sz w:val="16"/>
              </w:rPr>
              <w:t>BRCA–Wound Healing</w:t>
            </w:r>
          </w:p>
        </w:tc>
        <w:tc>
          <w:tcPr>
            <w:tcW w:type="dxa" w:w="1569"/>
            <w:vAlign w:val="center"/>
          </w:tcPr>
          <w:p>
            <w:r>
              <w:rPr>
                <w:sz w:val="16"/>
              </w:rPr>
              <w:t>continuous</w:t>
            </w:r>
          </w:p>
        </w:tc>
        <w:tc>
          <w:tcPr>
            <w:tcW w:type="dxa" w:w="1569"/>
            <w:vAlign w:val="center"/>
          </w:tcPr>
          <w:p>
            <w:r>
              <w:rPr>
                <w:sz w:val="16"/>
              </w:rPr>
              <w:t>0.528 (0.483–0.569)</w:t>
            </w:r>
          </w:p>
        </w:tc>
        <w:tc>
          <w:tcPr>
            <w:tcW w:type="dxa" w:w="1569"/>
            <w:vAlign w:val="center"/>
          </w:tcPr>
          <w:p>
            <w:r>
              <w:rPr>
                <w:sz w:val="16"/>
              </w:rPr>
              <w:t>0.111 (0.106–0.116)</w:t>
            </w:r>
          </w:p>
        </w:tc>
        <w:tc>
          <w:tcPr>
            <w:tcW w:type="dxa" w:w="1569"/>
            <w:vAlign w:val="center"/>
          </w:tcPr>
          <w:p>
            <w:r>
              <w:rPr>
                <w:sz w:val="16"/>
              </w:rPr>
              <w:t>0.724 (0.694–0.753)</w:t>
            </w:r>
          </w:p>
        </w:tc>
        <w:tc>
          <w:tcPr>
            <w:tcW w:type="dxa" w:w="1569"/>
            <w:vAlign w:val="center"/>
          </w:tcPr>
          <w:p>
            <w:r>
              <w:rPr>
                <w:sz w:val="16"/>
              </w:rPr>
              <w:t>Q² 0.508; retained original effect threshold</w:t>
            </w:r>
          </w:p>
        </w:tc>
      </w:tr>
      <w:tr>
        <w:trPr>
          <w:cantSplit/>
        </w:trPr>
        <w:tc>
          <w:tcPr>
            <w:tcW w:type="dxa" w:w="1569"/>
            <w:vAlign w:val="center"/>
          </w:tcPr>
          <w:p>
            <w:r>
              <w:rPr>
                <w:sz w:val="16"/>
              </w:rPr>
              <w:t>KIRP–Proliferation</w:t>
            </w:r>
          </w:p>
        </w:tc>
        <w:tc>
          <w:tcPr>
            <w:tcW w:type="dxa" w:w="1569"/>
            <w:vAlign w:val="center"/>
          </w:tcPr>
          <w:p>
            <w:r>
              <w:rPr>
                <w:sz w:val="16"/>
              </w:rPr>
              <w:t>continuous</w:t>
            </w:r>
          </w:p>
        </w:tc>
        <w:tc>
          <w:tcPr>
            <w:tcW w:type="dxa" w:w="1569"/>
            <w:vAlign w:val="center"/>
          </w:tcPr>
          <w:p>
            <w:r>
              <w:rPr>
                <w:sz w:val="16"/>
              </w:rPr>
              <w:t>0.499 (0.386–0.585)</w:t>
            </w:r>
          </w:p>
        </w:tc>
        <w:tc>
          <w:tcPr>
            <w:tcW w:type="dxa" w:w="1569"/>
            <w:vAlign w:val="center"/>
          </w:tcPr>
          <w:p>
            <w:r>
              <w:rPr>
                <w:sz w:val="16"/>
              </w:rPr>
              <w:t>0.400 (0.364–0.429)</w:t>
            </w:r>
          </w:p>
        </w:tc>
        <w:tc>
          <w:tcPr>
            <w:tcW w:type="dxa" w:w="1569"/>
            <w:vAlign w:val="center"/>
          </w:tcPr>
          <w:p>
            <w:r>
              <w:rPr>
                <w:sz w:val="16"/>
              </w:rPr>
              <w:t>0.605 (0.521–0.688)</w:t>
            </w:r>
          </w:p>
        </w:tc>
        <w:tc>
          <w:tcPr>
            <w:tcW w:type="dxa" w:w="1569"/>
            <w:vAlign w:val="center"/>
          </w:tcPr>
          <w:p>
            <w:r>
              <w:rPr>
                <w:sz w:val="16"/>
              </w:rPr>
              <w:t>Q² 0.516; retained original effect threshold</w:t>
            </w:r>
          </w:p>
        </w:tc>
      </w:tr>
      <w:tr>
        <w:trPr>
          <w:cantSplit/>
        </w:trPr>
        <w:tc>
          <w:tcPr>
            <w:tcW w:type="dxa" w:w="1569"/>
            <w:vAlign w:val="center"/>
          </w:tcPr>
          <w:p>
            <w:r>
              <w:rPr>
                <w:sz w:val="16"/>
              </w:rPr>
              <w:t>LUAD–Proliferation</w:t>
            </w:r>
          </w:p>
        </w:tc>
        <w:tc>
          <w:tcPr>
            <w:tcW w:type="dxa" w:w="1569"/>
            <w:vAlign w:val="center"/>
          </w:tcPr>
          <w:p>
            <w:r>
              <w:rPr>
                <w:sz w:val="16"/>
              </w:rPr>
              <w:t>continuous</w:t>
            </w:r>
          </w:p>
        </w:tc>
        <w:tc>
          <w:tcPr>
            <w:tcW w:type="dxa" w:w="1569"/>
            <w:vAlign w:val="center"/>
          </w:tcPr>
          <w:p>
            <w:r>
              <w:rPr>
                <w:sz w:val="16"/>
              </w:rPr>
              <w:t>0.524 (0.443–0.591)</w:t>
            </w:r>
          </w:p>
        </w:tc>
        <w:tc>
          <w:tcPr>
            <w:tcW w:type="dxa" w:w="1569"/>
            <w:vAlign w:val="center"/>
          </w:tcPr>
          <w:p>
            <w:r>
              <w:rPr>
                <w:sz w:val="16"/>
              </w:rPr>
              <w:t>0.450 (0.413–0.486)</w:t>
            </w:r>
          </w:p>
        </w:tc>
        <w:tc>
          <w:tcPr>
            <w:tcW w:type="dxa" w:w="1569"/>
            <w:vAlign w:val="center"/>
          </w:tcPr>
          <w:p>
            <w:r>
              <w:rPr>
                <w:sz w:val="16"/>
              </w:rPr>
              <w:t>0.729 (0.674–0.777)</w:t>
            </w:r>
          </w:p>
        </w:tc>
        <w:tc>
          <w:tcPr>
            <w:tcW w:type="dxa" w:w="1569"/>
            <w:vAlign w:val="center"/>
          </w:tcPr>
          <w:p>
            <w:r>
              <w:rPr>
                <w:sz w:val="16"/>
              </w:rPr>
              <w:t>Q² 0.490; retained original effect threshold</w:t>
            </w:r>
          </w:p>
        </w:tc>
      </w:tr>
      <w:tr>
        <w:trPr>
          <w:cantSplit/>
        </w:trPr>
        <w:tc>
          <w:tcPr>
            <w:tcW w:type="dxa" w:w="1569"/>
            <w:vAlign w:val="center"/>
          </w:tcPr>
          <w:p>
            <w:r>
              <w:rPr>
                <w:sz w:val="16"/>
              </w:rPr>
              <w:t>COAD–APC</w:t>
            </w:r>
          </w:p>
        </w:tc>
        <w:tc>
          <w:tcPr>
            <w:tcW w:type="dxa" w:w="1569"/>
            <w:vAlign w:val="center"/>
          </w:tcPr>
          <w:p>
            <w:r>
              <w:rPr>
                <w:sz w:val="16"/>
              </w:rPr>
              <w:t>binary</w:t>
            </w:r>
          </w:p>
        </w:tc>
        <w:tc>
          <w:tcPr>
            <w:tcW w:type="dxa" w:w="1569"/>
            <w:vAlign w:val="center"/>
          </w:tcPr>
          <w:p>
            <w:r>
              <w:rPr>
                <w:sz w:val="16"/>
              </w:rPr>
              <w:t>Se 0.883 (0.838–0.923); Sp 0.705 (0.642–0.765)</w:t>
            </w:r>
          </w:p>
        </w:tc>
        <w:tc>
          <w:tcPr>
            <w:tcW w:type="dxa" w:w="1569"/>
            <w:vAlign w:val="center"/>
          </w:tcPr>
          <w:p>
            <w:r>
              <w:rPr>
                <w:sz w:val="16"/>
              </w:rPr>
              <w:t>BA 0.794 (0.756–0.830)</w:t>
            </w:r>
          </w:p>
        </w:tc>
        <w:tc>
          <w:tcPr>
            <w:tcW w:type="dxa" w:w="1569"/>
            <w:vAlign w:val="center"/>
          </w:tcPr>
          <w:p>
            <w:r>
              <w:rPr>
                <w:sz w:val="16"/>
              </w:rPr>
              <w:t>AUROC 0.848 (0.805–0.885)</w:t>
            </w:r>
          </w:p>
        </w:tc>
        <w:tc>
          <w:tcPr>
            <w:tcW w:type="dxa" w:w="1569"/>
            <w:vAlign w:val="center"/>
          </w:tcPr>
          <w:p>
            <w:r>
              <w:rPr>
                <w:sz w:val="16"/>
              </w:rPr>
              <w:t>BA 0.543; WARNING: near chance or worse</w:t>
            </w:r>
          </w:p>
        </w:tc>
      </w:tr>
      <w:tr>
        <w:trPr>
          <w:cantSplit/>
        </w:trPr>
        <w:tc>
          <w:tcPr>
            <w:tcW w:type="dxa" w:w="1569"/>
            <w:vAlign w:val="center"/>
          </w:tcPr>
          <w:p>
            <w:r>
              <w:rPr>
                <w:sz w:val="16"/>
              </w:rPr>
              <w:t>COAD–TP53</w:t>
            </w:r>
          </w:p>
        </w:tc>
        <w:tc>
          <w:tcPr>
            <w:tcW w:type="dxa" w:w="1569"/>
            <w:vAlign w:val="center"/>
          </w:tcPr>
          <w:p>
            <w:r>
              <w:rPr>
                <w:sz w:val="16"/>
              </w:rPr>
              <w:t>binary</w:t>
            </w:r>
          </w:p>
        </w:tc>
        <w:tc>
          <w:tcPr>
            <w:tcW w:type="dxa" w:w="1569"/>
            <w:vAlign w:val="center"/>
          </w:tcPr>
          <w:p>
            <w:r>
              <w:rPr>
                <w:sz w:val="16"/>
              </w:rPr>
              <w:t>Se 0.779 (0.720–0.834); Sp 0.777 (0.723–0.827)</w:t>
            </w:r>
          </w:p>
        </w:tc>
        <w:tc>
          <w:tcPr>
            <w:tcW w:type="dxa" w:w="1569"/>
            <w:vAlign w:val="center"/>
          </w:tcPr>
          <w:p>
            <w:r>
              <w:rPr>
                <w:sz w:val="16"/>
              </w:rPr>
              <w:t>BA 0.778 (0.740–0.814)</w:t>
            </w:r>
          </w:p>
        </w:tc>
        <w:tc>
          <w:tcPr>
            <w:tcW w:type="dxa" w:w="1569"/>
            <w:vAlign w:val="center"/>
          </w:tcPr>
          <w:p>
            <w:r>
              <w:rPr>
                <w:sz w:val="16"/>
              </w:rPr>
              <w:t>AUROC 0.854 (0.815–0.889)</w:t>
            </w:r>
          </w:p>
        </w:tc>
        <w:tc>
          <w:tcPr>
            <w:tcW w:type="dxa" w:w="1569"/>
            <w:vAlign w:val="center"/>
          </w:tcPr>
          <w:p>
            <w:r>
              <w:rPr>
                <w:sz w:val="16"/>
              </w:rPr>
              <w:t>BA 0.648; retained original effect threshold</w:t>
            </w:r>
          </w:p>
        </w:tc>
      </w:tr>
      <w:tr>
        <w:trPr>
          <w:cantSplit/>
        </w:trPr>
        <w:tc>
          <w:tcPr>
            <w:tcW w:type="dxa" w:w="1569"/>
            <w:vAlign w:val="center"/>
          </w:tcPr>
          <w:p>
            <w:r>
              <w:rPr>
                <w:sz w:val="16"/>
              </w:rPr>
              <w:t>LGG–IDH1</w:t>
            </w:r>
          </w:p>
        </w:tc>
        <w:tc>
          <w:tcPr>
            <w:tcW w:type="dxa" w:w="1569"/>
            <w:vAlign w:val="center"/>
          </w:tcPr>
          <w:p>
            <w:r>
              <w:rPr>
                <w:sz w:val="16"/>
              </w:rPr>
              <w:t>binary</w:t>
            </w:r>
          </w:p>
        </w:tc>
        <w:tc>
          <w:tcPr>
            <w:tcW w:type="dxa" w:w="1569"/>
            <w:vAlign w:val="center"/>
          </w:tcPr>
          <w:p>
            <w:r>
              <w:rPr>
                <w:sz w:val="16"/>
              </w:rPr>
              <w:t>Se 0.940 (0.921–0.957); Sp 0.624 (0.540–0.702)</w:t>
            </w:r>
          </w:p>
        </w:tc>
        <w:tc>
          <w:tcPr>
            <w:tcW w:type="dxa" w:w="1569"/>
            <w:vAlign w:val="center"/>
          </w:tcPr>
          <w:p>
            <w:r>
              <w:rPr>
                <w:sz w:val="16"/>
              </w:rPr>
              <w:t>BA 0.782 (0.740–0.823)</w:t>
            </w:r>
          </w:p>
        </w:tc>
        <w:tc>
          <w:tcPr>
            <w:tcW w:type="dxa" w:w="1569"/>
            <w:vAlign w:val="center"/>
          </w:tcPr>
          <w:p>
            <w:r>
              <w:rPr>
                <w:sz w:val="16"/>
              </w:rPr>
              <w:t>AUROC 0.853 (0.807–0.898)</w:t>
            </w:r>
          </w:p>
        </w:tc>
        <w:tc>
          <w:tcPr>
            <w:tcW w:type="dxa" w:w="1569"/>
            <w:vAlign w:val="center"/>
          </w:tcPr>
          <w:p>
            <w:r>
              <w:rPr>
                <w:sz w:val="16"/>
              </w:rPr>
              <w:t>BA 0.793; retained original effect threshold</w:t>
            </w:r>
          </w:p>
        </w:tc>
      </w:tr>
      <w:tr>
        <w:trPr>
          <w:cantSplit/>
        </w:trPr>
        <w:tc>
          <w:tcPr>
            <w:tcW w:type="dxa" w:w="1569"/>
            <w:vAlign w:val="center"/>
          </w:tcPr>
          <w:p>
            <w:r>
              <w:rPr>
                <w:sz w:val="16"/>
              </w:rPr>
              <w:t>LGG–TP53</w:t>
            </w:r>
          </w:p>
        </w:tc>
        <w:tc>
          <w:tcPr>
            <w:tcW w:type="dxa" w:w="1569"/>
            <w:vAlign w:val="center"/>
          </w:tcPr>
          <w:p>
            <w:r>
              <w:rPr>
                <w:sz w:val="16"/>
              </w:rPr>
              <w:t>binary</w:t>
            </w:r>
          </w:p>
        </w:tc>
        <w:tc>
          <w:tcPr>
            <w:tcW w:type="dxa" w:w="1569"/>
            <w:vAlign w:val="center"/>
          </w:tcPr>
          <w:p>
            <w:r>
              <w:rPr>
                <w:sz w:val="16"/>
              </w:rPr>
              <w:t>Se 0.839 (0.795–0.877); Sp 0.885 (0.848–0.920)</w:t>
            </w:r>
          </w:p>
        </w:tc>
        <w:tc>
          <w:tcPr>
            <w:tcW w:type="dxa" w:w="1569"/>
            <w:vAlign w:val="center"/>
          </w:tcPr>
          <w:p>
            <w:r>
              <w:rPr>
                <w:sz w:val="16"/>
              </w:rPr>
              <w:t>BA 0.862 (0.833–0.888)</w:t>
            </w:r>
          </w:p>
        </w:tc>
        <w:tc>
          <w:tcPr>
            <w:tcW w:type="dxa" w:w="1569"/>
            <w:vAlign w:val="center"/>
          </w:tcPr>
          <w:p>
            <w:r>
              <w:rPr>
                <w:sz w:val="16"/>
              </w:rPr>
              <w:t>AUROC 0.908 (0.880–0.932)</w:t>
            </w:r>
          </w:p>
        </w:tc>
        <w:tc>
          <w:tcPr>
            <w:tcW w:type="dxa" w:w="1569"/>
            <w:vAlign w:val="center"/>
          </w:tcPr>
          <w:p>
            <w:r>
              <w:rPr>
                <w:sz w:val="16"/>
              </w:rPr>
              <w:t>BA 0.841; retained original effect threshold</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Exportable linear baseline comparison</w:t>
      </w:r>
    </w:p>
    <w:p>
      <w:r>
        <w:t>Among the 12 highlighted binary models, the median ridge-minus-PLS AUROC difference was 0.004 (IQR -0.001 to 0.010); ridge had a paired-repeat interval above zero for 1 model, PLS for 0, and 11 AUROC differences were uncertain. With the same inner-CV balanced-accuracy threshold rule applied to both methods, the median ridge-minus-PLS balanced-accuracy difference was 0.005 (IQR 0.001 to 0.012); ridge had a paired interval above zero for 1 model, PLS for 0, and 11 were uncertain. For the 12 continuous models, the median ridge-minus-PLS Q² difference was 0.014 (IQR 0.007 to 0.017); ridge was favoured for 7, PLS for 2, and 3 were uncertain. The symmetric binary results do not support a general advantage for either algorithm; only THYM–GTF2I favoured ridge by the AUROC interval, whereas READ–APC favoured ridge by the thresholded balanced-accuracy interval. Because the benchmark was restricted to PLS-highlighted results, the prespecified atlas was retained and the comparison is reported as selection-conditioned sensitivity evidence rather than a basis for post-screen method switching.</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demonstration and COAD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The binary display labels its TCGA out-of-fold score rank explicitly as a rank rather than a probability and places training positive/negative counts, prevalence, repeated-CV performance,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w:t>
      </w:r>
    </w:p>
    <w:p>
      <w:r>
        <w:t>COAD was chosen for a research-software demonstration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 research-software demonstration of internally derived TCGA estimates,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research-software demonstration in two clinically comparable COAD cases. Panels A and B show all ten internally derived TCGA continuous estimates for TCGA-AA-A01F and TCGA-AA-3972, respectively. Silent mutation rate and SNV neoantigens flank nonsilent mutation rate in the semantic axis order. Every radar corner reports the exact percentile relative to corrected repeated out-of-fold TCGA predictions and the original model estimate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research-software examples and do not provide external validation.</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immune measurements, oncogenic pathways, MSI, aneuploidy and fusion endpoints extend the analysis beyond the exact cancer–gene mutation pairs used for the literature crosswalk. They are systematically benchmarked here with the same TITAN–PLS design, but the manuscript does not claim that histological prediction of those broad endpoint classes is unprecedented. Their contribution is the unified patient-level, cancer-specific evaluation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The ridge benchmark prevents interpreting that design choice as proof of PLS superiority. The corrected binary comparison removed the previous decision-rule asymmetry: both methods used identical outer and inner folds and selected operating thresholds from inner out-of-fold scores using the same balanced-accuracy criterion. Threshold-independent AUROC was primary for this method comparison. The median ridge-minus-PLS AUROC difference was 0.004, with one endpoint favouring ridge and 11 uncertain; the median balanced-accuracy difference under symmetric thresholding was 0.005, again with one favouring ridge and 11 uncertain. The continuous median Q² difference was 0.014. Both approaches yield compact exportable parameters, so portability is not unique to PLS. PLS remains the prespecified atlas method because the benchmark was performed only on PLS-highlighted models and switching methods after that selection would add another optimistic selection layer. Future external validation can compare locked PLS and ridge candidates prospectively.</w:t>
      </w:r>
    </w:p>
    <w:p>
      <w:r>
        <w:t>Tissue-source-site sensitivity is a central result rather than a generic robustness footnote.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matched COAD cases demonstrate software output for internally derived TCGA estimates. Because both examples were chosen within TCGA and were evaluated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repeated nested-CV estimates and patient-cluster bootstrap intervals are also conditional on selecting endpoints in this same TCGA benchmark.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selected immune, mutation, pathway, MSI, aneuploidy and fusion phenotypes. The access-controlled TITANPred package demonstrates how fitted PLS and PLS–LDA objects can be applied without distributing patient-level training data. All reported performance and example outputs are internally derived TCGA estimates.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S1–S2 and an inventory of the companion machine-readable result files.</w:t>
      </w:r>
    </w:p>
    <w:p>
      <w:r>
        <w:t>Additional file 2 (.pdf): COAD example A (TCGA-AA-A01F) TITANPred research-software output. Illustrative internally derived full-cohort TCGA estimates for the COAD example with high MSI, mutation-rate and immune-feature predictions and low aneuploidy prediction.</w:t>
      </w:r>
    </w:p>
    <w:p>
      <w:r>
        <w:t>Additional file 3 (.pdf): COAD example B (TCGA-AA-3972) TITANPred research-software output. Illustrative internally derived full-cohort TCGA estimates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