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immune prediction from pretrained TITAN whole-slide representations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Higher effect</w:t>
            </w:r>
          </w:p>
        </w:tc>
        <w:tc>
          <w:tcPr>
            <w:tcW w:type="dxa" w:w="1392"/>
          </w:tcPr>
          <w:p>
            <w:r>
              <w:rPr>
                <w:b/>
                <w:sz w:val="17"/>
              </w:rPr>
              <w:t>Moderate effect</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Cancer–endpoint</w:t>
            </w:r>
          </w:p>
        </w:tc>
        <w:tc>
          <w:tcPr>
            <w:tcW w:type="dxa" w:w="1392"/>
          </w:tcPr>
          <w:p>
            <w:r>
              <w:rPr>
                <w:b/>
                <w:sz w:val="17"/>
              </w:rPr>
              <w:t>n</w:t>
            </w:r>
          </w:p>
        </w:tc>
        <w:tc>
          <w:tcPr>
            <w:tcW w:type="dxa" w:w="1392"/>
          </w:tcPr>
          <w:p>
            <w:r>
              <w:rPr>
                <w:b/>
                <w:sz w:val="17"/>
              </w:rPr>
              <w:t>Primary metric (95% CI)</w:t>
            </w:r>
          </w:p>
        </w:tc>
        <w:tc>
          <w:tcPr>
            <w:tcW w:type="dxa" w:w="1392"/>
          </w:tcPr>
          <w:p>
            <w:r>
              <w:rPr>
                <w:b/>
                <w:sz w:val="17"/>
              </w:rPr>
              <w:t>Sensitivity/specificity (95% CI)</w:t>
            </w:r>
          </w:p>
        </w:tc>
        <w:tc>
          <w:tcPr>
            <w:tcW w:type="dxa" w:w="1392"/>
          </w:tcPr>
          <w:p>
            <w:r>
              <w:rPr>
                <w:b/>
                <w:sz w:val="17"/>
              </w:rPr>
              <w:t>Other metrics (95% CI)</w:t>
            </w:r>
          </w:p>
        </w:tc>
        <w:tc>
          <w:tcPr>
            <w:tcW w:type="dxa" w:w="1392"/>
          </w:tcPr>
          <w:p>
            <w:r>
              <w:rPr>
                <w:b/>
                <w:sz w:val="17"/>
              </w:rPr>
              <w:t>TSS-grouped metric/status</w:t>
            </w:r>
          </w:p>
        </w:tc>
      </w:tr>
      <w:tr>
        <w:trPr>
          <w:cantSplit/>
        </w:trPr>
        <w:tc>
          <w:tcPr>
            <w:tcW w:type="dxa" w:w="1392"/>
            <w:vAlign w:val="center"/>
          </w:tcPr>
          <w:p>
            <w:r>
              <w:rPr>
                <w:sz w:val="16"/>
              </w:rPr>
              <w:t>binary</w:t>
            </w:r>
          </w:p>
        </w:tc>
        <w:tc>
          <w:tcPr>
            <w:tcW w:type="dxa" w:w="1392"/>
            <w:vAlign w:val="center"/>
          </w:tcPr>
          <w:p>
            <w:r>
              <w:rPr>
                <w:sz w:val="16"/>
              </w:rPr>
              <w:t>COAD–APC</w:t>
            </w:r>
          </w:p>
        </w:tc>
        <w:tc>
          <w:tcPr>
            <w:tcW w:type="dxa" w:w="1392"/>
            <w:vAlign w:val="center"/>
          </w:tcPr>
          <w:p>
            <w:r>
              <w:rPr>
                <w:sz w:val="16"/>
              </w:rPr>
              <w:t>382</w:t>
            </w:r>
          </w:p>
        </w:tc>
        <w:tc>
          <w:tcPr>
            <w:tcW w:type="dxa" w:w="1392"/>
            <w:vAlign w:val="center"/>
          </w:tcPr>
          <w:p>
            <w:r>
              <w:rPr>
                <w:sz w:val="16"/>
              </w:rPr>
              <w:t>BA 0.794 (0.756–0.830)</w:t>
            </w:r>
          </w:p>
        </w:tc>
        <w:tc>
          <w:tcPr>
            <w:tcW w:type="dxa" w:w="1392"/>
            <w:vAlign w:val="center"/>
          </w:tcPr>
          <w:p>
            <w:r>
              <w:rPr>
                <w:sz w:val="16"/>
              </w:rPr>
              <w:t>Se 0.883 (0.838–0.923); Sp 0.705 (0.642–0.765)</w:t>
            </w:r>
          </w:p>
        </w:tc>
        <w:tc>
          <w:tcPr>
            <w:tcW w:type="dxa" w:w="1392"/>
            <w:vAlign w:val="center"/>
          </w:tcPr>
          <w:p>
            <w:r>
              <w:rPr>
                <w:sz w:val="16"/>
              </w:rPr>
              <w:t>AUROC 0.848 (0.805–0.885)</w:t>
            </w:r>
          </w:p>
        </w:tc>
        <w:tc>
          <w:tcPr>
            <w:tcW w:type="dxa" w:w="1392"/>
            <w:vAlign w:val="center"/>
          </w:tcPr>
          <w:p>
            <w:r>
              <w:rPr>
                <w:sz w:val="16"/>
              </w:rPr>
              <w:t>balanced accuracy 0.543; site-sensitive: near chance or worse</w:t>
            </w:r>
          </w:p>
        </w:tc>
      </w:tr>
      <w:tr>
        <w:trPr>
          <w:cantSplit/>
        </w:trPr>
        <w:tc>
          <w:tcPr>
            <w:tcW w:type="dxa" w:w="1392"/>
            <w:vAlign w:val="center"/>
          </w:tcPr>
          <w:p>
            <w:r>
              <w:rPr>
                <w:sz w:val="16"/>
              </w:rPr>
              <w:t>binary</w:t>
            </w:r>
          </w:p>
        </w:tc>
        <w:tc>
          <w:tcPr>
            <w:tcW w:type="dxa" w:w="1392"/>
            <w:vAlign w:val="center"/>
          </w:tcPr>
          <w:p>
            <w:r>
              <w:rPr>
                <w:sz w:val="16"/>
              </w:rPr>
              <w:t>COAD–TP53</w:t>
            </w:r>
          </w:p>
        </w:tc>
        <w:tc>
          <w:tcPr>
            <w:tcW w:type="dxa" w:w="1392"/>
            <w:vAlign w:val="center"/>
          </w:tcPr>
          <w:p>
            <w:r>
              <w:rPr>
                <w:sz w:val="16"/>
              </w:rPr>
              <w:t>382</w:t>
            </w:r>
          </w:p>
        </w:tc>
        <w:tc>
          <w:tcPr>
            <w:tcW w:type="dxa" w:w="1392"/>
            <w:vAlign w:val="center"/>
          </w:tcPr>
          <w:p>
            <w:r>
              <w:rPr>
                <w:sz w:val="16"/>
              </w:rPr>
              <w:t>BA 0.778 (0.740–0.814)</w:t>
            </w:r>
          </w:p>
        </w:tc>
        <w:tc>
          <w:tcPr>
            <w:tcW w:type="dxa" w:w="1392"/>
            <w:vAlign w:val="center"/>
          </w:tcPr>
          <w:p>
            <w:r>
              <w:rPr>
                <w:sz w:val="16"/>
              </w:rPr>
              <w:t>Se 0.779 (0.720–0.834); Sp 0.777 (0.723–0.827)</w:t>
            </w:r>
          </w:p>
        </w:tc>
        <w:tc>
          <w:tcPr>
            <w:tcW w:type="dxa" w:w="1392"/>
            <w:vAlign w:val="center"/>
          </w:tcPr>
          <w:p>
            <w:r>
              <w:rPr>
                <w:sz w:val="16"/>
              </w:rPr>
              <w:t>AUROC 0.854 (0.815–0.889)</w:t>
            </w:r>
          </w:p>
        </w:tc>
        <w:tc>
          <w:tcPr>
            <w:tcW w:type="dxa" w:w="1392"/>
            <w:vAlign w:val="center"/>
          </w:tcPr>
          <w:p>
            <w:r>
              <w:rPr>
                <w:sz w:val="16"/>
              </w:rPr>
              <w:t>balanced accuracy 0.648; retained original effect threshold</w:t>
            </w:r>
          </w:p>
        </w:tc>
      </w:tr>
      <w:tr>
        <w:trPr>
          <w:cantSplit/>
        </w:trPr>
        <w:tc>
          <w:tcPr>
            <w:tcW w:type="dxa" w:w="1392"/>
            <w:vAlign w:val="center"/>
          </w:tcPr>
          <w:p>
            <w:r>
              <w:rPr>
                <w:sz w:val="16"/>
              </w:rPr>
              <w:t>binary</w:t>
            </w:r>
          </w:p>
        </w:tc>
        <w:tc>
          <w:tcPr>
            <w:tcW w:type="dxa" w:w="1392"/>
            <w:vAlign w:val="center"/>
          </w:tcPr>
          <w:p>
            <w:r>
              <w:rPr>
                <w:sz w:val="16"/>
              </w:rPr>
              <w:t>LGG–IDH1</w:t>
            </w:r>
          </w:p>
        </w:tc>
        <w:tc>
          <w:tcPr>
            <w:tcW w:type="dxa" w:w="1392"/>
            <w:vAlign w:val="center"/>
          </w:tcPr>
          <w:p>
            <w:r>
              <w:rPr>
                <w:sz w:val="16"/>
              </w:rPr>
              <w:t>485</w:t>
            </w:r>
          </w:p>
        </w:tc>
        <w:tc>
          <w:tcPr>
            <w:tcW w:type="dxa" w:w="1392"/>
            <w:vAlign w:val="center"/>
          </w:tcPr>
          <w:p>
            <w:r>
              <w:rPr>
                <w:sz w:val="16"/>
              </w:rPr>
              <w:t>BA 0.782 (0.740–0.823)</w:t>
            </w:r>
          </w:p>
        </w:tc>
        <w:tc>
          <w:tcPr>
            <w:tcW w:type="dxa" w:w="1392"/>
            <w:vAlign w:val="center"/>
          </w:tcPr>
          <w:p>
            <w:r>
              <w:rPr>
                <w:sz w:val="16"/>
              </w:rPr>
              <w:t>Se 0.940 (0.921–0.957); Sp 0.624 (0.540–0.702)</w:t>
            </w:r>
          </w:p>
        </w:tc>
        <w:tc>
          <w:tcPr>
            <w:tcW w:type="dxa" w:w="1392"/>
            <w:vAlign w:val="center"/>
          </w:tcPr>
          <w:p>
            <w:r>
              <w:rPr>
                <w:sz w:val="16"/>
              </w:rPr>
              <w:t>AUROC 0.853 (0.807–0.898)</w:t>
            </w:r>
          </w:p>
        </w:tc>
        <w:tc>
          <w:tcPr>
            <w:tcW w:type="dxa" w:w="1392"/>
            <w:vAlign w:val="center"/>
          </w:tcPr>
          <w:p>
            <w:r>
              <w:rPr>
                <w:sz w:val="16"/>
              </w:rPr>
              <w:t>balanced accuracy 0.793; retained original effect threshold</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485</w:t>
            </w:r>
          </w:p>
        </w:tc>
        <w:tc>
          <w:tcPr>
            <w:tcW w:type="dxa" w:w="1392"/>
            <w:vAlign w:val="center"/>
          </w:tcPr>
          <w:p>
            <w:r>
              <w:rPr>
                <w:sz w:val="16"/>
              </w:rPr>
              <w:t>BA 0.862 (0.833–0.888)</w:t>
            </w:r>
          </w:p>
        </w:tc>
        <w:tc>
          <w:tcPr>
            <w:tcW w:type="dxa" w:w="1392"/>
            <w:vAlign w:val="center"/>
          </w:tcPr>
          <w:p>
            <w:r>
              <w:rPr>
                <w:sz w:val="16"/>
              </w:rPr>
              <w:t>Se 0.839 (0.795–0.877); Sp 0.885 (0.848–0.920)</w:t>
            </w:r>
          </w:p>
        </w:tc>
        <w:tc>
          <w:tcPr>
            <w:tcW w:type="dxa" w:w="1392"/>
            <w:vAlign w:val="center"/>
          </w:tcPr>
          <w:p>
            <w:r>
              <w:rPr>
                <w:sz w:val="16"/>
              </w:rPr>
              <w:t>AUROC 0.908 (0.880–0.932)</w:t>
            </w:r>
          </w:p>
        </w:tc>
        <w:tc>
          <w:tcPr>
            <w:tcW w:type="dxa" w:w="1392"/>
            <w:vAlign w:val="center"/>
          </w:tcPr>
          <w:p>
            <w:r>
              <w:rPr>
                <w:sz w:val="16"/>
              </w:rPr>
              <w:t>balanced accuracy 0.841; retained original effect threshold</w:t>
            </w:r>
          </w:p>
        </w:tc>
      </w:tr>
      <w:tr>
        <w:trPr>
          <w:cantSplit/>
        </w:trPr>
        <w:tc>
          <w:tcPr>
            <w:tcW w:type="dxa" w:w="1392"/>
            <w:vAlign w:val="center"/>
          </w:tcPr>
          <w:p>
            <w:r>
              <w:rPr>
                <w:sz w:val="16"/>
              </w:rPr>
              <w:t>binary</w:t>
            </w:r>
          </w:p>
        </w:tc>
        <w:tc>
          <w:tcPr>
            <w:tcW w:type="dxa" w:w="1392"/>
            <w:vAlign w:val="center"/>
          </w:tcPr>
          <w:p>
            <w:r>
              <w:rPr>
                <w:sz w:val="16"/>
              </w:rPr>
              <w:t>READ–APC</w:t>
            </w:r>
          </w:p>
        </w:tc>
        <w:tc>
          <w:tcPr>
            <w:tcW w:type="dxa" w:w="1392"/>
            <w:vAlign w:val="center"/>
          </w:tcPr>
          <w:p>
            <w:r>
              <w:rPr>
                <w:sz w:val="16"/>
              </w:rPr>
              <w:t>135</w:t>
            </w:r>
          </w:p>
        </w:tc>
        <w:tc>
          <w:tcPr>
            <w:tcW w:type="dxa" w:w="1392"/>
            <w:vAlign w:val="center"/>
          </w:tcPr>
          <w:p>
            <w:r>
              <w:rPr>
                <w:sz w:val="16"/>
              </w:rPr>
              <w:t>BA 0.827 (0.771–0.882)</w:t>
            </w:r>
          </w:p>
        </w:tc>
        <w:tc>
          <w:tcPr>
            <w:tcW w:type="dxa" w:w="1392"/>
            <w:vAlign w:val="center"/>
          </w:tcPr>
          <w:p>
            <w:r>
              <w:rPr>
                <w:sz w:val="16"/>
              </w:rPr>
              <w:t>Se 0.874 (0.810–0.931); Sp 0.780 (0.688–0.873)</w:t>
            </w:r>
          </w:p>
        </w:tc>
        <w:tc>
          <w:tcPr>
            <w:tcW w:type="dxa" w:w="1392"/>
            <w:vAlign w:val="center"/>
          </w:tcPr>
          <w:p>
            <w:r>
              <w:rPr>
                <w:sz w:val="16"/>
              </w:rPr>
              <w:t>AUROC 0.874 (0.818–0.926)</w:t>
            </w:r>
          </w:p>
        </w:tc>
        <w:tc>
          <w:tcPr>
            <w:tcW w:type="dxa" w:w="1392"/>
            <w:vAlign w:val="center"/>
          </w:tcPr>
          <w:p>
            <w:r>
              <w:rPr>
                <w:sz w:val="16"/>
              </w:rPr>
              <w:t>balanced accuracy 0.495; site-sensitive: near chance or worse</w:t>
            </w:r>
          </w:p>
        </w:tc>
      </w:tr>
      <w:tr>
        <w:trPr>
          <w:cantSplit/>
        </w:trPr>
        <w:tc>
          <w:tcPr>
            <w:tcW w:type="dxa" w:w="1392"/>
            <w:vAlign w:val="center"/>
          </w:tcPr>
          <w:p>
            <w:r>
              <w:rPr>
                <w:sz w:val="16"/>
              </w:rPr>
              <w:t>binary</w:t>
            </w:r>
          </w:p>
        </w:tc>
        <w:tc>
          <w:tcPr>
            <w:tcW w:type="dxa" w:w="1392"/>
            <w:vAlign w:val="center"/>
          </w:tcPr>
          <w:p>
            <w:r>
              <w:rPr>
                <w:sz w:val="16"/>
              </w:rPr>
              <w:t>READ–TP53</w:t>
            </w:r>
          </w:p>
        </w:tc>
        <w:tc>
          <w:tcPr>
            <w:tcW w:type="dxa" w:w="1392"/>
            <w:vAlign w:val="center"/>
          </w:tcPr>
          <w:p>
            <w:r>
              <w:rPr>
                <w:sz w:val="16"/>
              </w:rPr>
              <w:t>135</w:t>
            </w:r>
          </w:p>
        </w:tc>
        <w:tc>
          <w:tcPr>
            <w:tcW w:type="dxa" w:w="1392"/>
            <w:vAlign w:val="center"/>
          </w:tcPr>
          <w:p>
            <w:r>
              <w:rPr>
                <w:sz w:val="16"/>
              </w:rPr>
              <w:t>BA 0.858 (0.801–0.910)</w:t>
            </w:r>
          </w:p>
        </w:tc>
        <w:tc>
          <w:tcPr>
            <w:tcW w:type="dxa" w:w="1392"/>
            <w:vAlign w:val="center"/>
          </w:tcPr>
          <w:p>
            <w:r>
              <w:rPr>
                <w:sz w:val="16"/>
              </w:rPr>
              <w:t>Se 0.912 (0.855–0.966); Sp 0.803 (0.704–0.890)</w:t>
            </w:r>
          </w:p>
        </w:tc>
        <w:tc>
          <w:tcPr>
            <w:tcW w:type="dxa" w:w="1392"/>
            <w:vAlign w:val="center"/>
          </w:tcPr>
          <w:p>
            <w:r>
              <w:rPr>
                <w:sz w:val="16"/>
              </w:rPr>
              <w:t>AUROC 0.912 (0.860–0.956)</w:t>
            </w:r>
          </w:p>
        </w:tc>
        <w:tc>
          <w:tcPr>
            <w:tcW w:type="dxa" w:w="1392"/>
            <w:vAlign w:val="center"/>
          </w:tcPr>
          <w:p>
            <w:r>
              <w:rPr>
                <w:sz w:val="16"/>
              </w:rPr>
              <w:t>balanced accuracy 0.679; retained original effect threshold</w:t>
            </w:r>
          </w:p>
        </w:tc>
      </w:tr>
      <w:tr>
        <w:trPr>
          <w:cantSplit/>
        </w:trPr>
        <w:tc>
          <w:tcPr>
            <w:tcW w:type="dxa" w:w="1392"/>
            <w:vAlign w:val="center"/>
          </w:tcPr>
          <w:p>
            <w:r>
              <w:rPr>
                <w:sz w:val="16"/>
              </w:rPr>
              <w:t>binary</w:t>
            </w:r>
          </w:p>
        </w:tc>
        <w:tc>
          <w:tcPr>
            <w:tcW w:type="dxa" w:w="1392"/>
            <w:vAlign w:val="center"/>
          </w:tcPr>
          <w:p>
            <w:r>
              <w:rPr>
                <w:sz w:val="16"/>
              </w:rPr>
              <w:t>THCA–BRAF</w:t>
            </w:r>
          </w:p>
        </w:tc>
        <w:tc>
          <w:tcPr>
            <w:tcW w:type="dxa" w:w="1392"/>
            <w:vAlign w:val="center"/>
          </w:tcPr>
          <w:p>
            <w:r>
              <w:rPr>
                <w:sz w:val="16"/>
              </w:rPr>
              <w:t>490</w:t>
            </w:r>
          </w:p>
        </w:tc>
        <w:tc>
          <w:tcPr>
            <w:tcW w:type="dxa" w:w="1392"/>
            <w:vAlign w:val="center"/>
          </w:tcPr>
          <w:p>
            <w:r>
              <w:rPr>
                <w:sz w:val="16"/>
              </w:rPr>
              <w:t>BA 0.837 (0.805–0.866)</w:t>
            </w:r>
          </w:p>
        </w:tc>
        <w:tc>
          <w:tcPr>
            <w:tcW w:type="dxa" w:w="1392"/>
            <w:vAlign w:val="center"/>
          </w:tcPr>
          <w:p>
            <w:r>
              <w:rPr>
                <w:sz w:val="16"/>
              </w:rPr>
              <w:t>Se 0.926 (0.897–0.952); Sp 0.747 (0.688–0.801)</w:t>
            </w:r>
          </w:p>
        </w:tc>
        <w:tc>
          <w:tcPr>
            <w:tcW w:type="dxa" w:w="1392"/>
            <w:vAlign w:val="center"/>
          </w:tcPr>
          <w:p>
            <w:r>
              <w:rPr>
                <w:sz w:val="16"/>
              </w:rPr>
              <w:t>AUROC 0.894 (0.862–0.924)</w:t>
            </w:r>
          </w:p>
        </w:tc>
        <w:tc>
          <w:tcPr>
            <w:tcW w:type="dxa" w:w="1392"/>
            <w:vAlign w:val="center"/>
          </w:tcPr>
          <w:p>
            <w:r>
              <w:rPr>
                <w:sz w:val="16"/>
              </w:rPr>
              <w:t>balanced accuracy 0.827; retained original effect threshold</w:t>
            </w:r>
          </w:p>
        </w:tc>
      </w:tr>
      <w:tr>
        <w:trPr>
          <w:cantSplit/>
        </w:trPr>
        <w:tc>
          <w:tcPr>
            <w:tcW w:type="dxa" w:w="1392"/>
            <w:vAlign w:val="center"/>
          </w:tcPr>
          <w:p>
            <w:r>
              <w:rPr>
                <w:sz w:val="16"/>
              </w:rPr>
              <w:t>binary</w:t>
            </w:r>
          </w:p>
        </w:tc>
        <w:tc>
          <w:tcPr>
            <w:tcW w:type="dxa" w:w="1392"/>
            <w:vAlign w:val="center"/>
          </w:tcPr>
          <w:p>
            <w:r>
              <w:rPr>
                <w:sz w:val="16"/>
              </w:rPr>
              <w:t>THYM–GTF2I</w:t>
            </w:r>
          </w:p>
        </w:tc>
        <w:tc>
          <w:tcPr>
            <w:tcW w:type="dxa" w:w="1392"/>
            <w:vAlign w:val="center"/>
          </w:tcPr>
          <w:p>
            <w:r>
              <w:rPr>
                <w:sz w:val="16"/>
              </w:rPr>
              <w:t>120</w:t>
            </w:r>
          </w:p>
        </w:tc>
        <w:tc>
          <w:tcPr>
            <w:tcW w:type="dxa" w:w="1392"/>
            <w:vAlign w:val="center"/>
          </w:tcPr>
          <w:p>
            <w:r>
              <w:rPr>
                <w:sz w:val="16"/>
              </w:rPr>
              <w:t>BA 0.859 (0.803–0.905)</w:t>
            </w:r>
          </w:p>
        </w:tc>
        <w:tc>
          <w:tcPr>
            <w:tcW w:type="dxa" w:w="1392"/>
            <w:vAlign w:val="center"/>
          </w:tcPr>
          <w:p>
            <w:r>
              <w:rPr>
                <w:sz w:val="16"/>
              </w:rPr>
              <w:t>Se 0.878 (0.804–0.940); Sp 0.839 (0.748–0.916)</w:t>
            </w:r>
          </w:p>
        </w:tc>
        <w:tc>
          <w:tcPr>
            <w:tcW w:type="dxa" w:w="1392"/>
            <w:vAlign w:val="center"/>
          </w:tcPr>
          <w:p>
            <w:r>
              <w:rPr>
                <w:sz w:val="16"/>
              </w:rPr>
              <w:t>AUROC 0.907 (0.852–0.955)</w:t>
            </w:r>
          </w:p>
        </w:tc>
        <w:tc>
          <w:tcPr>
            <w:tcW w:type="dxa" w:w="1392"/>
            <w:vAlign w:val="center"/>
          </w:tcPr>
          <w:p>
            <w:r>
              <w:rPr>
                <w:sz w:val="16"/>
              </w:rPr>
              <w:t>balanced accuracy 0.850; retained original effect threshold</w:t>
            </w:r>
          </w:p>
        </w:tc>
      </w:tr>
      <w:tr>
        <w:trPr>
          <w:cantSplit/>
        </w:trPr>
        <w:tc>
          <w:tcPr>
            <w:tcW w:type="dxa" w:w="1392"/>
            <w:vAlign w:val="center"/>
          </w:tcPr>
          <w:p>
            <w:r>
              <w:rPr>
                <w:sz w:val="16"/>
              </w:rPr>
              <w:t>binary</w:t>
            </w:r>
          </w:p>
        </w:tc>
        <w:tc>
          <w:tcPr>
            <w:tcW w:type="dxa" w:w="1392"/>
            <w:vAlign w:val="center"/>
          </w:tcPr>
          <w:p>
            <w:r>
              <w:rPr>
                <w:sz w:val="16"/>
              </w:rPr>
              <w:t>UCEC–Any called fusion</w:t>
            </w:r>
          </w:p>
        </w:tc>
        <w:tc>
          <w:tcPr>
            <w:tcW w:type="dxa" w:w="1392"/>
            <w:vAlign w:val="center"/>
          </w:tcPr>
          <w:p>
            <w:r>
              <w:rPr>
                <w:sz w:val="16"/>
              </w:rPr>
              <w:t>153</w:t>
            </w:r>
          </w:p>
        </w:tc>
        <w:tc>
          <w:tcPr>
            <w:tcW w:type="dxa" w:w="1392"/>
            <w:vAlign w:val="center"/>
          </w:tcPr>
          <w:p>
            <w:r>
              <w:rPr>
                <w:sz w:val="16"/>
              </w:rPr>
              <w:t>BA 0.781 (0.724–0.839)</w:t>
            </w:r>
          </w:p>
        </w:tc>
        <w:tc>
          <w:tcPr>
            <w:tcW w:type="dxa" w:w="1392"/>
            <w:vAlign w:val="center"/>
          </w:tcPr>
          <w:p>
            <w:r>
              <w:rPr>
                <w:sz w:val="16"/>
              </w:rPr>
              <w:t>Se 0.770 (0.683–0.850); Sp 0.792 (0.706–0.868)</w:t>
            </w:r>
          </w:p>
        </w:tc>
        <w:tc>
          <w:tcPr>
            <w:tcW w:type="dxa" w:w="1392"/>
            <w:vAlign w:val="center"/>
          </w:tcPr>
          <w:p>
            <w:r>
              <w:rPr>
                <w:sz w:val="16"/>
              </w:rPr>
              <w:t>AUROC 0.830 (0.770–0.889)</w:t>
            </w:r>
          </w:p>
        </w:tc>
        <w:tc>
          <w:tcPr>
            <w:tcW w:type="dxa" w:w="1392"/>
            <w:vAlign w:val="center"/>
          </w:tcPr>
          <w:p>
            <w:r>
              <w:rPr>
                <w:sz w:val="16"/>
              </w:rPr>
              <w:t>balanced accuracy 0.818; retained original effect threshold</w:t>
            </w:r>
          </w:p>
        </w:tc>
      </w:tr>
      <w:tr>
        <w:trPr>
          <w:cantSplit/>
        </w:trPr>
        <w:tc>
          <w:tcPr>
            <w:tcW w:type="dxa" w:w="1392"/>
            <w:vAlign w:val="center"/>
          </w:tcPr>
          <w:p>
            <w:r>
              <w:rPr>
                <w:sz w:val="16"/>
              </w:rPr>
              <w:t>binary</w:t>
            </w:r>
          </w:p>
        </w:tc>
        <w:tc>
          <w:tcPr>
            <w:tcW w:type="dxa" w:w="1392"/>
            <w:vAlign w:val="center"/>
          </w:tcPr>
          <w:p>
            <w:r>
              <w:rPr>
                <w:sz w:val="16"/>
              </w:rPr>
              <w:t>COAD–MSI-H strict (MANTIS &gt;0.6)</w:t>
            </w:r>
          </w:p>
        </w:tc>
        <w:tc>
          <w:tcPr>
            <w:tcW w:type="dxa" w:w="1392"/>
            <w:vAlign w:val="center"/>
          </w:tcPr>
          <w:p>
            <w:r>
              <w:rPr>
                <w:sz w:val="16"/>
              </w:rPr>
              <w:t>374</w:t>
            </w:r>
          </w:p>
        </w:tc>
        <w:tc>
          <w:tcPr>
            <w:tcW w:type="dxa" w:w="1392"/>
            <w:vAlign w:val="center"/>
          </w:tcPr>
          <w:p>
            <w:r>
              <w:rPr>
                <w:sz w:val="16"/>
              </w:rPr>
              <w:t>BA 0.782 (0.725–0.833)</w:t>
            </w:r>
          </w:p>
        </w:tc>
        <w:tc>
          <w:tcPr>
            <w:tcW w:type="dxa" w:w="1392"/>
            <w:vAlign w:val="center"/>
          </w:tcPr>
          <w:p>
            <w:r>
              <w:rPr>
                <w:sz w:val="16"/>
              </w:rPr>
              <w:t>Se 0.600 (0.489–0.702); Sp 0.964 (0.946–0.980)</w:t>
            </w:r>
          </w:p>
        </w:tc>
        <w:tc>
          <w:tcPr>
            <w:tcW w:type="dxa" w:w="1392"/>
            <w:vAlign w:val="center"/>
          </w:tcPr>
          <w:p>
            <w:r>
              <w:rPr>
                <w:sz w:val="16"/>
              </w:rPr>
              <w:t>AUROC 0.915 (0.874–0.953)</w:t>
            </w:r>
          </w:p>
        </w:tc>
        <w:tc>
          <w:tcPr>
            <w:tcW w:type="dxa" w:w="1392"/>
            <w:vAlign w:val="center"/>
          </w:tcPr>
          <w:p>
            <w:r>
              <w:rPr>
                <w:sz w:val="16"/>
              </w:rPr>
              <w:t>balanced accuracy 0.741; retained original effect threshold</w:t>
            </w:r>
          </w:p>
        </w:tc>
      </w:tr>
      <w:tr>
        <w:trPr>
          <w:cantSplit/>
        </w:trPr>
        <w:tc>
          <w:tcPr>
            <w:tcW w:type="dxa" w:w="1392"/>
            <w:vAlign w:val="center"/>
          </w:tcPr>
          <w:p>
            <w:r>
              <w:rPr>
                <w:sz w:val="16"/>
              </w:rPr>
              <w:t>binary</w:t>
            </w:r>
          </w:p>
        </w:tc>
        <w:tc>
          <w:tcPr>
            <w:tcW w:type="dxa" w:w="1392"/>
            <w:vAlign w:val="center"/>
          </w:tcPr>
          <w:p>
            <w:r>
              <w:rPr>
                <w:sz w:val="16"/>
              </w:rPr>
              <w:t>LGG–HIPPO</w:t>
            </w:r>
          </w:p>
        </w:tc>
        <w:tc>
          <w:tcPr>
            <w:tcW w:type="dxa" w:w="1392"/>
            <w:vAlign w:val="center"/>
          </w:tcPr>
          <w:p>
            <w:r>
              <w:rPr>
                <w:sz w:val="16"/>
              </w:rPr>
              <w:t>481</w:t>
            </w:r>
          </w:p>
        </w:tc>
        <w:tc>
          <w:tcPr>
            <w:tcW w:type="dxa" w:w="1392"/>
            <w:vAlign w:val="center"/>
          </w:tcPr>
          <w:p>
            <w:r>
              <w:rPr>
                <w:sz w:val="16"/>
              </w:rPr>
              <w:t>BA 0.818 (0.777–0.860)</w:t>
            </w:r>
          </w:p>
        </w:tc>
        <w:tc>
          <w:tcPr>
            <w:tcW w:type="dxa" w:w="1392"/>
            <w:vAlign w:val="center"/>
          </w:tcPr>
          <w:p>
            <w:r>
              <w:rPr>
                <w:sz w:val="16"/>
              </w:rPr>
              <w:t>Se 0.941 (0.920–0.960); Sp 0.694 (0.612–0.771)</w:t>
            </w:r>
          </w:p>
        </w:tc>
        <w:tc>
          <w:tcPr>
            <w:tcW w:type="dxa" w:w="1392"/>
            <w:vAlign w:val="center"/>
          </w:tcPr>
          <w:p>
            <w:r>
              <w:rPr>
                <w:sz w:val="16"/>
              </w:rPr>
              <w:t>AUROC 0.887 (0.844–0.924)</w:t>
            </w:r>
          </w:p>
        </w:tc>
        <w:tc>
          <w:tcPr>
            <w:tcW w:type="dxa" w:w="1392"/>
            <w:vAlign w:val="center"/>
          </w:tcPr>
          <w:p>
            <w:r>
              <w:rPr>
                <w:sz w:val="16"/>
              </w:rPr>
              <w:t>balanced accuracy 0.809; retained original effect threshold</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481</w:t>
            </w:r>
          </w:p>
        </w:tc>
        <w:tc>
          <w:tcPr>
            <w:tcW w:type="dxa" w:w="1392"/>
            <w:vAlign w:val="center"/>
          </w:tcPr>
          <w:p>
            <w:r>
              <w:rPr>
                <w:sz w:val="16"/>
              </w:rPr>
              <w:t>BA 0.825 (0.796–0.856)</w:t>
            </w:r>
          </w:p>
        </w:tc>
        <w:tc>
          <w:tcPr>
            <w:tcW w:type="dxa" w:w="1392"/>
            <w:vAlign w:val="center"/>
          </w:tcPr>
          <w:p>
            <w:r>
              <w:rPr>
                <w:sz w:val="16"/>
              </w:rPr>
              <w:t>Se 0.803 (0.758–0.848); Sp 0.847 (0.807–0.889)</w:t>
            </w:r>
          </w:p>
        </w:tc>
        <w:tc>
          <w:tcPr>
            <w:tcW w:type="dxa" w:w="1392"/>
            <w:vAlign w:val="center"/>
          </w:tcPr>
          <w:p>
            <w:r>
              <w:rPr>
                <w:sz w:val="16"/>
              </w:rPr>
              <w:t>AUROC 0.883 (0.852–0.914)</w:t>
            </w:r>
          </w:p>
        </w:tc>
        <w:tc>
          <w:tcPr>
            <w:tcW w:type="dxa" w:w="1392"/>
            <w:vAlign w:val="center"/>
          </w:tcPr>
          <w:p>
            <w:r>
              <w:rPr>
                <w:sz w:val="16"/>
              </w:rPr>
              <w:t>balanced accuracy 0.819; retained original effect threshold</w:t>
            </w:r>
          </w:p>
        </w:tc>
      </w:tr>
      <w:tr>
        <w:trPr>
          <w:cantSplit/>
        </w:trPr>
        <w:tc>
          <w:tcPr>
            <w:tcW w:type="dxa" w:w="1392"/>
            <w:vAlign w:val="center"/>
          </w:tcPr>
          <w:p>
            <w:r>
              <w:rPr>
                <w:sz w:val="16"/>
              </w:rPr>
              <w:t>continuous</w:t>
            </w:r>
          </w:p>
        </w:tc>
        <w:tc>
          <w:tcPr>
            <w:tcW w:type="dxa" w:w="1392"/>
            <w:vAlign w:val="center"/>
          </w:tcPr>
          <w:p>
            <w:r>
              <w:rPr>
                <w:sz w:val="16"/>
              </w:rPr>
              <w:t>BRCA–Proliferation</w:t>
            </w:r>
          </w:p>
        </w:tc>
        <w:tc>
          <w:tcPr>
            <w:tcW w:type="dxa" w:w="1392"/>
            <w:vAlign w:val="center"/>
          </w:tcPr>
          <w:p>
            <w:r>
              <w:rPr>
                <w:sz w:val="16"/>
              </w:rPr>
              <w:t>1039</w:t>
            </w:r>
          </w:p>
        </w:tc>
        <w:tc>
          <w:tcPr>
            <w:tcW w:type="dxa" w:w="1392"/>
            <w:vAlign w:val="center"/>
          </w:tcPr>
          <w:p>
            <w:r>
              <w:rPr>
                <w:sz w:val="16"/>
              </w:rPr>
              <w:t>Q² 0.515 (0.467–0.560)</w:t>
            </w:r>
          </w:p>
        </w:tc>
        <w:tc>
          <w:tcPr>
            <w:tcW w:type="dxa" w:w="1392"/>
            <w:vAlign w:val="center"/>
          </w:tcPr>
          <w:p>
            <w:r>
              <w:rPr>
                <w:sz w:val="16"/>
              </w:rPr>
              <w:t>Not applicable</w:t>
            </w:r>
          </w:p>
        </w:tc>
        <w:tc>
          <w:tcPr>
            <w:tcW w:type="dxa" w:w="1392"/>
            <w:vAlign w:val="center"/>
          </w:tcPr>
          <w:p>
            <w:r>
              <w:rPr>
                <w:sz w:val="16"/>
              </w:rPr>
              <w:t>RMSE 0.441 (0.418–0.466); ρ 0.740 (0.710–0.770)</w:t>
            </w:r>
          </w:p>
        </w:tc>
        <w:tc>
          <w:tcPr>
            <w:tcW w:type="dxa" w:w="1392"/>
            <w:vAlign w:val="center"/>
          </w:tcPr>
          <w:p>
            <w:r>
              <w:rPr>
                <w:sz w:val="16"/>
              </w:rPr>
              <w:t>Q2 0.498; retained original effect threshold</w:t>
            </w:r>
          </w:p>
        </w:tc>
      </w:tr>
      <w:tr>
        <w:trPr>
          <w:cantSplit/>
        </w:trPr>
        <w:tc>
          <w:tcPr>
            <w:tcW w:type="dxa" w:w="1392"/>
            <w:vAlign w:val="center"/>
          </w:tcPr>
          <w:p>
            <w:r>
              <w:rPr>
                <w:sz w:val="16"/>
              </w:rPr>
              <w:t>continuous</w:t>
            </w:r>
          </w:p>
        </w:tc>
        <w:tc>
          <w:tcPr>
            <w:tcW w:type="dxa" w:w="1392"/>
            <w:vAlign w:val="center"/>
          </w:tcPr>
          <w:p>
            <w:r>
              <w:rPr>
                <w:sz w:val="16"/>
              </w:rPr>
              <w:t>BRCA–Wound Healing</w:t>
            </w:r>
          </w:p>
        </w:tc>
        <w:tc>
          <w:tcPr>
            <w:tcW w:type="dxa" w:w="1392"/>
            <w:vAlign w:val="center"/>
          </w:tcPr>
          <w:p>
            <w:r>
              <w:rPr>
                <w:sz w:val="16"/>
              </w:rPr>
              <w:t>1039</w:t>
            </w:r>
          </w:p>
        </w:tc>
        <w:tc>
          <w:tcPr>
            <w:tcW w:type="dxa" w:w="1392"/>
            <w:vAlign w:val="center"/>
          </w:tcPr>
          <w:p>
            <w:r>
              <w:rPr>
                <w:sz w:val="16"/>
              </w:rPr>
              <w:t>Q² 0.528 (0.483–0.569)</w:t>
            </w:r>
          </w:p>
        </w:tc>
        <w:tc>
          <w:tcPr>
            <w:tcW w:type="dxa" w:w="1392"/>
            <w:vAlign w:val="center"/>
          </w:tcPr>
          <w:p>
            <w:r>
              <w:rPr>
                <w:sz w:val="16"/>
              </w:rPr>
              <w:t>Not applicable</w:t>
            </w:r>
          </w:p>
        </w:tc>
        <w:tc>
          <w:tcPr>
            <w:tcW w:type="dxa" w:w="1392"/>
            <w:vAlign w:val="center"/>
          </w:tcPr>
          <w:p>
            <w:r>
              <w:rPr>
                <w:sz w:val="16"/>
              </w:rPr>
              <w:t>RMSE 0.111 (0.106–0.116); ρ 0.724 (0.694–0.753)</w:t>
            </w:r>
          </w:p>
        </w:tc>
        <w:tc>
          <w:tcPr>
            <w:tcW w:type="dxa" w:w="1392"/>
            <w:vAlign w:val="center"/>
          </w:tcPr>
          <w:p>
            <w:r>
              <w:rPr>
                <w:sz w:val="16"/>
              </w:rPr>
              <w:t>Q2 0.508; retained original effect threshold</w:t>
            </w:r>
          </w:p>
        </w:tc>
      </w:tr>
      <w:tr>
        <w:trPr>
          <w:cantSplit/>
        </w:trPr>
        <w:tc>
          <w:tcPr>
            <w:tcW w:type="dxa" w:w="1392"/>
            <w:vAlign w:val="center"/>
          </w:tcPr>
          <w:p>
            <w:r>
              <w:rPr>
                <w:sz w:val="16"/>
              </w:rPr>
              <w:t>continuous</w:t>
            </w:r>
          </w:p>
        </w:tc>
        <w:tc>
          <w:tcPr>
            <w:tcW w:type="dxa" w:w="1392"/>
            <w:vAlign w:val="center"/>
          </w:tcPr>
          <w:p>
            <w:r>
              <w:rPr>
                <w:sz w:val="16"/>
              </w:rPr>
              <w:t>KIRP–Proliferation</w:t>
            </w:r>
          </w:p>
        </w:tc>
        <w:tc>
          <w:tcPr>
            <w:tcW w:type="dxa" w:w="1392"/>
            <w:vAlign w:val="center"/>
          </w:tcPr>
          <w:p>
            <w:r>
              <w:rPr>
                <w:sz w:val="16"/>
              </w:rPr>
              <w:t>261</w:t>
            </w:r>
          </w:p>
        </w:tc>
        <w:tc>
          <w:tcPr>
            <w:tcW w:type="dxa" w:w="1392"/>
            <w:vAlign w:val="center"/>
          </w:tcPr>
          <w:p>
            <w:r>
              <w:rPr>
                <w:sz w:val="16"/>
              </w:rPr>
              <w:t>Q² 0.499 (0.386–0.585)</w:t>
            </w:r>
          </w:p>
        </w:tc>
        <w:tc>
          <w:tcPr>
            <w:tcW w:type="dxa" w:w="1392"/>
            <w:vAlign w:val="center"/>
          </w:tcPr>
          <w:p>
            <w:r>
              <w:rPr>
                <w:sz w:val="16"/>
              </w:rPr>
              <w:t>Not applicable</w:t>
            </w:r>
          </w:p>
        </w:tc>
        <w:tc>
          <w:tcPr>
            <w:tcW w:type="dxa" w:w="1392"/>
            <w:vAlign w:val="center"/>
          </w:tcPr>
          <w:p>
            <w:r>
              <w:rPr>
                <w:sz w:val="16"/>
              </w:rPr>
              <w:t>RMSE 0.400 (0.364–0.429); ρ 0.605 (0.521–0.688)</w:t>
            </w:r>
          </w:p>
        </w:tc>
        <w:tc>
          <w:tcPr>
            <w:tcW w:type="dxa" w:w="1392"/>
            <w:vAlign w:val="center"/>
          </w:tcPr>
          <w:p>
            <w:r>
              <w:rPr>
                <w:sz w:val="16"/>
              </w:rPr>
              <w:t>Q2 0.516; retained original effect threshold</w:t>
            </w:r>
          </w:p>
        </w:tc>
      </w:tr>
      <w:tr>
        <w:trPr>
          <w:cantSplit/>
        </w:trPr>
        <w:tc>
          <w:tcPr>
            <w:tcW w:type="dxa" w:w="1392"/>
            <w:vAlign w:val="center"/>
          </w:tcPr>
          <w:p>
            <w:r>
              <w:rPr>
                <w:sz w:val="16"/>
              </w:rPr>
              <w:t>continuous</w:t>
            </w:r>
          </w:p>
        </w:tc>
        <w:tc>
          <w:tcPr>
            <w:tcW w:type="dxa" w:w="1392"/>
            <w:vAlign w:val="center"/>
          </w:tcPr>
          <w:p>
            <w:r>
              <w:rPr>
                <w:sz w:val="16"/>
              </w:rPr>
              <w:t>LUAD–Proliferation</w:t>
            </w:r>
          </w:p>
        </w:tc>
        <w:tc>
          <w:tcPr>
            <w:tcW w:type="dxa" w:w="1392"/>
            <w:vAlign w:val="center"/>
          </w:tcPr>
          <w:p>
            <w:r>
              <w:rPr>
                <w:sz w:val="16"/>
              </w:rPr>
              <w:t>410</w:t>
            </w:r>
          </w:p>
        </w:tc>
        <w:tc>
          <w:tcPr>
            <w:tcW w:type="dxa" w:w="1392"/>
            <w:vAlign w:val="center"/>
          </w:tcPr>
          <w:p>
            <w:r>
              <w:rPr>
                <w:sz w:val="16"/>
              </w:rPr>
              <w:t>Q² 0.524 (0.443–0.591)</w:t>
            </w:r>
          </w:p>
        </w:tc>
        <w:tc>
          <w:tcPr>
            <w:tcW w:type="dxa" w:w="1392"/>
            <w:vAlign w:val="center"/>
          </w:tcPr>
          <w:p>
            <w:r>
              <w:rPr>
                <w:sz w:val="16"/>
              </w:rPr>
              <w:t>Not applicable</w:t>
            </w:r>
          </w:p>
        </w:tc>
        <w:tc>
          <w:tcPr>
            <w:tcW w:type="dxa" w:w="1392"/>
            <w:vAlign w:val="center"/>
          </w:tcPr>
          <w:p>
            <w:r>
              <w:rPr>
                <w:sz w:val="16"/>
              </w:rPr>
              <w:t>RMSE 0.450 (0.413–0.486); ρ 0.729 (0.674–0.777)</w:t>
            </w:r>
          </w:p>
        </w:tc>
        <w:tc>
          <w:tcPr>
            <w:tcW w:type="dxa" w:w="1392"/>
            <w:vAlign w:val="center"/>
          </w:tcPr>
          <w:p>
            <w:r>
              <w:rPr>
                <w:sz w:val="16"/>
              </w:rPr>
              <w:t>Q2 0.490; retained original effect threshold</w:t>
            </w:r>
          </w:p>
        </w:tc>
      </w:tr>
      <w:tr>
        <w:trPr>
          <w:cantSplit/>
        </w:trPr>
        <w:tc>
          <w:tcPr>
            <w:tcW w:type="dxa" w:w="1392"/>
            <w:vAlign w:val="center"/>
          </w:tcPr>
          <w:p>
            <w:r>
              <w:rPr>
                <w:sz w:val="16"/>
              </w:rPr>
              <w:t>continuous</w:t>
            </w:r>
          </w:p>
        </w:tc>
        <w:tc>
          <w:tcPr>
            <w:tcW w:type="dxa" w:w="1392"/>
            <w:vAlign w:val="center"/>
          </w:tcPr>
          <w:p>
            <w:r>
              <w:rPr>
                <w:sz w:val="16"/>
              </w:rPr>
              <w:t>SARC–Macrophage Regulation</w:t>
            </w:r>
          </w:p>
        </w:tc>
        <w:tc>
          <w:tcPr>
            <w:tcW w:type="dxa" w:w="1392"/>
            <w:vAlign w:val="center"/>
          </w:tcPr>
          <w:p>
            <w:r>
              <w:rPr>
                <w:sz w:val="16"/>
              </w:rPr>
              <w:t>218</w:t>
            </w:r>
          </w:p>
        </w:tc>
        <w:tc>
          <w:tcPr>
            <w:tcW w:type="dxa" w:w="1392"/>
            <w:vAlign w:val="center"/>
          </w:tcPr>
          <w:p>
            <w:r>
              <w:rPr>
                <w:sz w:val="16"/>
              </w:rPr>
              <w:t>Q² 0.502 (0.401–0.584)</w:t>
            </w:r>
          </w:p>
        </w:tc>
        <w:tc>
          <w:tcPr>
            <w:tcW w:type="dxa" w:w="1392"/>
            <w:vAlign w:val="center"/>
          </w:tcPr>
          <w:p>
            <w:r>
              <w:rPr>
                <w:sz w:val="16"/>
              </w:rPr>
              <w:t>Not applicable</w:t>
            </w:r>
          </w:p>
        </w:tc>
        <w:tc>
          <w:tcPr>
            <w:tcW w:type="dxa" w:w="1392"/>
            <w:vAlign w:val="center"/>
          </w:tcPr>
          <w:p>
            <w:r>
              <w:rPr>
                <w:sz w:val="16"/>
              </w:rPr>
              <w:t>RMSE 0.629 (0.577–0.678); ρ 0.697 (0.622–0.759)</w:t>
            </w:r>
          </w:p>
        </w:tc>
        <w:tc>
          <w:tcPr>
            <w:tcW w:type="dxa" w:w="1392"/>
            <w:vAlign w:val="center"/>
          </w:tcPr>
          <w:p>
            <w:r>
              <w:rPr>
                <w:sz w:val="16"/>
              </w:rPr>
              <w:t>Q2 0.479; retained original effect threshold</w:t>
            </w:r>
          </w:p>
        </w:tc>
      </w:tr>
      <w:tr>
        <w:trPr>
          <w:cantSplit/>
        </w:trPr>
        <w:tc>
          <w:tcPr>
            <w:tcW w:type="dxa" w:w="1392"/>
            <w:vAlign w:val="center"/>
          </w:tcPr>
          <w:p>
            <w:r>
              <w:rPr>
                <w:sz w:val="16"/>
              </w:rPr>
              <w:t>continuous</w:t>
            </w:r>
          </w:p>
        </w:tc>
        <w:tc>
          <w:tcPr>
            <w:tcW w:type="dxa" w:w="1392"/>
            <w:vAlign w:val="center"/>
          </w:tcPr>
          <w:p>
            <w:r>
              <w:rPr>
                <w:sz w:val="16"/>
              </w:rPr>
              <w:t>TGCT–TGF-beta Response</w:t>
            </w:r>
          </w:p>
        </w:tc>
        <w:tc>
          <w:tcPr>
            <w:tcW w:type="dxa" w:w="1392"/>
            <w:vAlign w:val="center"/>
          </w:tcPr>
          <w:p>
            <w:r>
              <w:rPr>
                <w:sz w:val="16"/>
              </w:rPr>
              <w:t>148</w:t>
            </w:r>
          </w:p>
        </w:tc>
        <w:tc>
          <w:tcPr>
            <w:tcW w:type="dxa" w:w="1392"/>
            <w:vAlign w:val="center"/>
          </w:tcPr>
          <w:p>
            <w:r>
              <w:rPr>
                <w:sz w:val="16"/>
              </w:rPr>
              <w:t>Q² 0.670 (0.573–0.741)</w:t>
            </w:r>
          </w:p>
        </w:tc>
        <w:tc>
          <w:tcPr>
            <w:tcW w:type="dxa" w:w="1392"/>
            <w:vAlign w:val="center"/>
          </w:tcPr>
          <w:p>
            <w:r>
              <w:rPr>
                <w:sz w:val="16"/>
              </w:rPr>
              <w:t>Not applicable</w:t>
            </w:r>
          </w:p>
        </w:tc>
        <w:tc>
          <w:tcPr>
            <w:tcW w:type="dxa" w:w="1392"/>
            <w:vAlign w:val="center"/>
          </w:tcPr>
          <w:p>
            <w:r>
              <w:rPr>
                <w:sz w:val="16"/>
              </w:rPr>
              <w:t>RMSE 0.303 (0.269–0.337); ρ 0.791 (0.713–0.842)</w:t>
            </w:r>
          </w:p>
        </w:tc>
        <w:tc>
          <w:tcPr>
            <w:tcW w:type="dxa" w:w="1392"/>
            <w:vAlign w:val="center"/>
          </w:tcPr>
          <w:p>
            <w:r>
              <w:rPr>
                <w:sz w:val="16"/>
              </w:rPr>
              <w:t>Q2 0.596; retained original effect threshold</w:t>
            </w:r>
          </w:p>
        </w:tc>
      </w:tr>
      <w:tr>
        <w:trPr>
          <w:cantSplit/>
        </w:trPr>
        <w:tc>
          <w:tcPr>
            <w:tcW w:type="dxa" w:w="1392"/>
            <w:vAlign w:val="center"/>
          </w:tcPr>
          <w:p>
            <w:r>
              <w:rPr>
                <w:sz w:val="16"/>
              </w:rPr>
              <w:t>continuous</w:t>
            </w:r>
          </w:p>
        </w:tc>
        <w:tc>
          <w:tcPr>
            <w:tcW w:type="dxa" w:w="1392"/>
            <w:vAlign w:val="center"/>
          </w:tcPr>
          <w:p>
            <w:r>
              <w:rPr>
                <w:sz w:val="16"/>
              </w:rPr>
              <w:t>TGCT–Wound Healing</w:t>
            </w:r>
          </w:p>
        </w:tc>
        <w:tc>
          <w:tcPr>
            <w:tcW w:type="dxa" w:w="1392"/>
            <w:vAlign w:val="center"/>
          </w:tcPr>
          <w:p>
            <w:r>
              <w:rPr>
                <w:sz w:val="16"/>
              </w:rPr>
              <w:t>148</w:t>
            </w:r>
          </w:p>
        </w:tc>
        <w:tc>
          <w:tcPr>
            <w:tcW w:type="dxa" w:w="1392"/>
            <w:vAlign w:val="center"/>
          </w:tcPr>
          <w:p>
            <w:r>
              <w:rPr>
                <w:sz w:val="16"/>
              </w:rPr>
              <w:t>Q² 0.511 (0.360–0.620)</w:t>
            </w:r>
          </w:p>
        </w:tc>
        <w:tc>
          <w:tcPr>
            <w:tcW w:type="dxa" w:w="1392"/>
            <w:vAlign w:val="center"/>
          </w:tcPr>
          <w:p>
            <w:r>
              <w:rPr>
                <w:sz w:val="16"/>
              </w:rPr>
              <w:t>Not applicable</w:t>
            </w:r>
          </w:p>
        </w:tc>
        <w:tc>
          <w:tcPr>
            <w:tcW w:type="dxa" w:w="1392"/>
            <w:vAlign w:val="center"/>
          </w:tcPr>
          <w:p>
            <w:r>
              <w:rPr>
                <w:sz w:val="16"/>
              </w:rPr>
              <w:t>RMSE 0.136 (0.122–0.151); ρ 0.668 (0.549–0.764)</w:t>
            </w:r>
          </w:p>
        </w:tc>
        <w:tc>
          <w:tcPr>
            <w:tcW w:type="dxa" w:w="1392"/>
            <w:vAlign w:val="center"/>
          </w:tcPr>
          <w:p>
            <w:r>
              <w:rPr>
                <w:sz w:val="16"/>
              </w:rPr>
              <w:t>Q2 0.359; retained original effect threshold</w:t>
            </w:r>
          </w:p>
        </w:tc>
      </w:tr>
      <w:tr>
        <w:trPr>
          <w:cantSplit/>
        </w:trPr>
        <w:tc>
          <w:tcPr>
            <w:tcW w:type="dxa" w:w="1392"/>
            <w:vAlign w:val="center"/>
          </w:tcPr>
          <w:p>
            <w:r>
              <w:rPr>
                <w:sz w:val="16"/>
              </w:rPr>
              <w:t>continuous</w:t>
            </w:r>
          </w:p>
        </w:tc>
        <w:tc>
          <w:tcPr>
            <w:tcW w:type="dxa" w:w="1392"/>
            <w:vAlign w:val="center"/>
          </w:tcPr>
          <w:p>
            <w:r>
              <w:rPr>
                <w:sz w:val="16"/>
              </w:rPr>
              <w:t>THCA–Lymphocyte Infiltration Signature Score</w:t>
            </w:r>
          </w:p>
        </w:tc>
        <w:tc>
          <w:tcPr>
            <w:tcW w:type="dxa" w:w="1392"/>
            <w:vAlign w:val="center"/>
          </w:tcPr>
          <w:p>
            <w:r>
              <w:rPr>
                <w:sz w:val="16"/>
              </w:rPr>
              <w:t>498</w:t>
            </w:r>
          </w:p>
        </w:tc>
        <w:tc>
          <w:tcPr>
            <w:tcW w:type="dxa" w:w="1392"/>
            <w:vAlign w:val="center"/>
          </w:tcPr>
          <w:p>
            <w:r>
              <w:rPr>
                <w:sz w:val="16"/>
              </w:rPr>
              <w:t>Q² 0.577 (0.511–0.636)</w:t>
            </w:r>
          </w:p>
        </w:tc>
        <w:tc>
          <w:tcPr>
            <w:tcW w:type="dxa" w:w="1392"/>
            <w:vAlign w:val="center"/>
          </w:tcPr>
          <w:p>
            <w:r>
              <w:rPr>
                <w:sz w:val="16"/>
              </w:rPr>
              <w:t>Not applicable</w:t>
            </w:r>
          </w:p>
        </w:tc>
        <w:tc>
          <w:tcPr>
            <w:tcW w:type="dxa" w:w="1392"/>
            <w:vAlign w:val="center"/>
          </w:tcPr>
          <w:p>
            <w:r>
              <w:rPr>
                <w:sz w:val="16"/>
              </w:rPr>
              <w:t>RMSE 0.781 (0.722–0.844); ρ 0.742 (0.693–0.786)</w:t>
            </w:r>
          </w:p>
        </w:tc>
        <w:tc>
          <w:tcPr>
            <w:tcW w:type="dxa" w:w="1392"/>
            <w:vAlign w:val="center"/>
          </w:tcPr>
          <w:p>
            <w:r>
              <w:rPr>
                <w:sz w:val="16"/>
              </w:rPr>
              <w:t>Q2 0.544; retained original effect threshold</w:t>
            </w:r>
          </w:p>
        </w:tc>
      </w:tr>
      <w:tr>
        <w:trPr>
          <w:cantSplit/>
        </w:trPr>
        <w:tc>
          <w:tcPr>
            <w:tcW w:type="dxa" w:w="1392"/>
            <w:vAlign w:val="center"/>
          </w:tcPr>
          <w:p>
            <w:r>
              <w:rPr>
                <w:sz w:val="16"/>
              </w:rPr>
              <w:t>continuous</w:t>
            </w:r>
          </w:p>
        </w:tc>
        <w:tc>
          <w:tcPr>
            <w:tcW w:type="dxa" w:w="1392"/>
            <w:vAlign w:val="center"/>
          </w:tcPr>
          <w:p>
            <w:r>
              <w:rPr>
                <w:sz w:val="16"/>
              </w:rPr>
              <w:t>THCA–Macrophage Regulation</w:t>
            </w:r>
          </w:p>
        </w:tc>
        <w:tc>
          <w:tcPr>
            <w:tcW w:type="dxa" w:w="1392"/>
            <w:vAlign w:val="center"/>
          </w:tcPr>
          <w:p>
            <w:r>
              <w:rPr>
                <w:sz w:val="16"/>
              </w:rPr>
              <w:t>498</w:t>
            </w:r>
          </w:p>
        </w:tc>
        <w:tc>
          <w:tcPr>
            <w:tcW w:type="dxa" w:w="1392"/>
            <w:vAlign w:val="center"/>
          </w:tcPr>
          <w:p>
            <w:r>
              <w:rPr>
                <w:sz w:val="16"/>
              </w:rPr>
              <w:t>Q² 0.509 (0.438–0.580)</w:t>
            </w:r>
          </w:p>
        </w:tc>
        <w:tc>
          <w:tcPr>
            <w:tcW w:type="dxa" w:w="1392"/>
            <w:vAlign w:val="center"/>
          </w:tcPr>
          <w:p>
            <w:r>
              <w:rPr>
                <w:sz w:val="16"/>
              </w:rPr>
              <w:t>Not applicable</w:t>
            </w:r>
          </w:p>
        </w:tc>
        <w:tc>
          <w:tcPr>
            <w:tcW w:type="dxa" w:w="1392"/>
            <w:vAlign w:val="center"/>
          </w:tcPr>
          <w:p>
            <w:r>
              <w:rPr>
                <w:sz w:val="16"/>
              </w:rPr>
              <w:t>RMSE 0.453 (0.418–0.492); ρ 0.704 (0.653–0.754)</w:t>
            </w:r>
          </w:p>
        </w:tc>
        <w:tc>
          <w:tcPr>
            <w:tcW w:type="dxa" w:w="1392"/>
            <w:vAlign w:val="center"/>
          </w:tcPr>
          <w:p>
            <w:r>
              <w:rPr>
                <w:sz w:val="16"/>
              </w:rPr>
              <w:t>Q2 0.466; retained original effect threshold</w:t>
            </w:r>
          </w:p>
        </w:tc>
      </w:tr>
      <w:tr>
        <w:trPr>
          <w:cantSplit/>
        </w:trPr>
        <w:tc>
          <w:tcPr>
            <w:tcW w:type="dxa" w:w="1392"/>
            <w:vAlign w:val="center"/>
          </w:tcPr>
          <w:p>
            <w:r>
              <w:rPr>
                <w:sz w:val="16"/>
              </w:rPr>
              <w:t>continuous</w:t>
            </w:r>
          </w:p>
        </w:tc>
        <w:tc>
          <w:tcPr>
            <w:tcW w:type="dxa" w:w="1392"/>
            <w:vAlign w:val="center"/>
          </w:tcPr>
          <w:p>
            <w:r>
              <w:rPr>
                <w:sz w:val="16"/>
              </w:rPr>
              <w:t>THCA–TGF-beta Response</w:t>
            </w:r>
          </w:p>
        </w:tc>
        <w:tc>
          <w:tcPr>
            <w:tcW w:type="dxa" w:w="1392"/>
            <w:vAlign w:val="center"/>
          </w:tcPr>
          <w:p>
            <w:r>
              <w:rPr>
                <w:sz w:val="16"/>
              </w:rPr>
              <w:t>498</w:t>
            </w:r>
          </w:p>
        </w:tc>
        <w:tc>
          <w:tcPr>
            <w:tcW w:type="dxa" w:w="1392"/>
            <w:vAlign w:val="center"/>
          </w:tcPr>
          <w:p>
            <w:r>
              <w:rPr>
                <w:sz w:val="16"/>
              </w:rPr>
              <w:t>Q² 0.524 (0.458–0.587)</w:t>
            </w:r>
          </w:p>
        </w:tc>
        <w:tc>
          <w:tcPr>
            <w:tcW w:type="dxa" w:w="1392"/>
            <w:vAlign w:val="center"/>
          </w:tcPr>
          <w:p>
            <w:r>
              <w:rPr>
                <w:sz w:val="16"/>
              </w:rPr>
              <w:t>Not applicable</w:t>
            </w:r>
          </w:p>
        </w:tc>
        <w:tc>
          <w:tcPr>
            <w:tcW w:type="dxa" w:w="1392"/>
            <w:vAlign w:val="center"/>
          </w:tcPr>
          <w:p>
            <w:r>
              <w:rPr>
                <w:sz w:val="16"/>
              </w:rPr>
              <w:t>RMSE 0.233 (0.214–0.249); ρ 0.707 (0.658–0.752)</w:t>
            </w:r>
          </w:p>
        </w:tc>
        <w:tc>
          <w:tcPr>
            <w:tcW w:type="dxa" w:w="1392"/>
            <w:vAlign w:val="center"/>
          </w:tcPr>
          <w:p>
            <w:r>
              <w:rPr>
                <w:sz w:val="16"/>
              </w:rPr>
              <w:t>Q2 0.533; retained original effect threshold</w:t>
            </w:r>
          </w:p>
        </w:tc>
      </w:tr>
      <w:tr>
        <w:trPr>
          <w:cantSplit/>
        </w:trPr>
        <w:tc>
          <w:tcPr>
            <w:tcW w:type="dxa" w:w="1392"/>
            <w:vAlign w:val="center"/>
          </w:tcPr>
          <w:p>
            <w:r>
              <w:rPr>
                <w:sz w:val="16"/>
              </w:rPr>
              <w:t>continuous</w:t>
            </w:r>
          </w:p>
        </w:tc>
        <w:tc>
          <w:tcPr>
            <w:tcW w:type="dxa" w:w="1392"/>
            <w:vAlign w:val="center"/>
          </w:tcPr>
          <w:p>
            <w:r>
              <w:rPr>
                <w:sz w:val="16"/>
              </w:rPr>
              <w:t>THCA–Th1 Cells</w:t>
            </w:r>
          </w:p>
        </w:tc>
        <w:tc>
          <w:tcPr>
            <w:tcW w:type="dxa" w:w="1392"/>
            <w:vAlign w:val="center"/>
          </w:tcPr>
          <w:p>
            <w:r>
              <w:rPr>
                <w:sz w:val="16"/>
              </w:rPr>
              <w:t>498</w:t>
            </w:r>
          </w:p>
        </w:tc>
        <w:tc>
          <w:tcPr>
            <w:tcW w:type="dxa" w:w="1392"/>
            <w:vAlign w:val="center"/>
          </w:tcPr>
          <w:p>
            <w:r>
              <w:rPr>
                <w:sz w:val="16"/>
              </w:rPr>
              <w:t>Q² 0.514 (0.444–0.573)</w:t>
            </w:r>
          </w:p>
        </w:tc>
        <w:tc>
          <w:tcPr>
            <w:tcW w:type="dxa" w:w="1392"/>
            <w:vAlign w:val="center"/>
          </w:tcPr>
          <w:p>
            <w:r>
              <w:rPr>
                <w:sz w:val="16"/>
              </w:rPr>
              <w:t>Not applicable</w:t>
            </w:r>
          </w:p>
        </w:tc>
        <w:tc>
          <w:tcPr>
            <w:tcW w:type="dxa" w:w="1392"/>
            <w:vAlign w:val="center"/>
          </w:tcPr>
          <w:p>
            <w:r>
              <w:rPr>
                <w:sz w:val="16"/>
              </w:rPr>
              <w:t>RMSE 508.154 (472.842–543.826); ρ 0.704 (0.653–0.752)</w:t>
            </w:r>
          </w:p>
        </w:tc>
        <w:tc>
          <w:tcPr>
            <w:tcW w:type="dxa" w:w="1392"/>
            <w:vAlign w:val="center"/>
          </w:tcPr>
          <w:p>
            <w:r>
              <w:rPr>
                <w:sz w:val="16"/>
              </w:rPr>
              <w:t>Q2 0.417; retained original effect threshold</w:t>
            </w:r>
          </w:p>
        </w:tc>
      </w:tr>
      <w:tr>
        <w:trPr>
          <w:cantSplit/>
        </w:trPr>
        <w:tc>
          <w:tcPr>
            <w:tcW w:type="dxa" w:w="1392"/>
            <w:vAlign w:val="center"/>
          </w:tcPr>
          <w:p>
            <w:r>
              <w:rPr>
                <w:sz w:val="16"/>
              </w:rPr>
              <w:t>continuous</w:t>
            </w:r>
          </w:p>
        </w:tc>
        <w:tc>
          <w:tcPr>
            <w:tcW w:type="dxa" w:w="1392"/>
            <w:vAlign w:val="center"/>
          </w:tcPr>
          <w:p>
            <w:r>
              <w:rPr>
                <w:sz w:val="16"/>
              </w:rPr>
              <w:t>THYM–Th17 Cells</w:t>
            </w:r>
          </w:p>
        </w:tc>
        <w:tc>
          <w:tcPr>
            <w:tcW w:type="dxa" w:w="1392"/>
            <w:vAlign w:val="center"/>
          </w:tcPr>
          <w:p>
            <w:r>
              <w:rPr>
                <w:sz w:val="16"/>
              </w:rPr>
              <w:t>117</w:t>
            </w:r>
          </w:p>
        </w:tc>
        <w:tc>
          <w:tcPr>
            <w:tcW w:type="dxa" w:w="1392"/>
            <w:vAlign w:val="center"/>
          </w:tcPr>
          <w:p>
            <w:r>
              <w:rPr>
                <w:sz w:val="16"/>
              </w:rPr>
              <w:t>Q² 0.594 (0.455–0.698)</w:t>
            </w:r>
          </w:p>
        </w:tc>
        <w:tc>
          <w:tcPr>
            <w:tcW w:type="dxa" w:w="1392"/>
            <w:vAlign w:val="center"/>
          </w:tcPr>
          <w:p>
            <w:r>
              <w:rPr>
                <w:sz w:val="16"/>
              </w:rPr>
              <w:t>Not applicable</w:t>
            </w:r>
          </w:p>
        </w:tc>
        <w:tc>
          <w:tcPr>
            <w:tcW w:type="dxa" w:w="1392"/>
            <w:vAlign w:val="center"/>
          </w:tcPr>
          <w:p>
            <w:r>
              <w:rPr>
                <w:sz w:val="16"/>
              </w:rPr>
              <w:t>RMSE 1743.443 (1514.535–1979.481); ρ 0.738 (0.636–0.811)</w:t>
            </w:r>
          </w:p>
        </w:tc>
        <w:tc>
          <w:tcPr>
            <w:tcW w:type="dxa" w:w="1392"/>
            <w:vAlign w:val="center"/>
          </w:tcPr>
          <w:p>
            <w:r>
              <w:rPr>
                <w:sz w:val="16"/>
              </w:rPr>
              <w:t>Q2 0.572; retained original effect threshold</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TSS-grouped sites: 24; delta: -0.250; status: site-sensitive: near chance or worse; inner site separation: TRUE;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TSS-grouped sites: 24; delta: -0.131; status: retained original effect threshold; inner site separation: TRUE;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TSS-grouped sites: 25; delta: 0.008; status: retained original effect threshold; inner site separation: TRUE;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TSS-grouped sites: 25; delta: -0.005; status: retained original effect threshold; inner site separation: TRUE;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TSS-grouped sites: 13; delta: -0.367; status: site-sensitive: near chance or worse; inner site separation: TRUE;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TSS-grouped sites: 13; delta: -0.182; status: retained original effect threshold; inner site separation: TRUE;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TSS-grouped sites: 22; delta: -0.003; status: retained original effect threshold; inner site separation: TRUE;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TSS-grouped sites: 19; delta: -0.033; status: retained original effect threshold; inner site separation: TRUE;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TSS-grouped sites: 28; delta: 0.026; status: retained original effect threshold; inner site separation: TRUE;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TSS-grouped sites: 24; delta: -0.043; status: retained original effect threshold; inner site separation: TRUE;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TSS-grouped sites: 25; delta: -0.001; status: retained original effect threshold; inner site separation: TRUE;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TSS-grouped sites: 25; delta: -0.003; status: retained original effect threshold; inner site separation: TRUE;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TSS-grouped sites: 39; delta: -0.012; status: retained original effect threshold; inner site separation: TRUE;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TSS-grouped sites: 39; delta: -0.019; status: retained original effect threshold; inner site separation: TRUE;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TSS-grouped sites: 31; delta: 0.001; status: retained original effect threshold; inner site separation: TRUE;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TSS-grouped sites: 33; delta: -0.023; status: retained original effect threshold; inner site separation: TRUE;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TSS-grouped sites: 33; delta: -0.041; status: retained original effect threshold; inner site separation: TRUE;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TSS-grouped sites: 15; delta: -0.073; status: retained original effect threshold; inner site separation: TRUE;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TSS-grouped sites: 15; delta: -0.144; status: retained original effect threshold; inner site separation: TRUE;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TSS-grouped sites: 22; delta: -0.036; status: retained original effect threshold; inner site separation: TRUE;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TSS-grouped sites: 22; delta: -0.034; status: retained original effect threshold; inner site separation: TRUE;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TSS-grouped sites: 22; delta: 0.011; status: retained original effect threshold; inner site separation: TRUE;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TSS-grouped sites: 22; delta: -0.086; status: retained original effect threshold; inner site separation: TRUE;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TSS-grouped sites: 19; delta: -0.066; status: retained original effect threshold; inner site separation: TRUE;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moderate effect</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moderate effect</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moderate effect</w:t>
            </w:r>
          </w:p>
        </w:tc>
      </w:tr>
    </w:tbl>
    <w:p/>
    <w:p>
      <w:pPr>
        <w:pStyle w:val="Heading1"/>
      </w:pPr>
      <w:r>
        <w:t>Table S8. Top binary results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Endpoint</w:t>
            </w:r>
          </w:p>
        </w:tc>
        <w:tc>
          <w:tcPr>
            <w:tcW w:type="dxa" w:w="1218"/>
          </w:tcPr>
          <w:p>
            <w:r>
              <w:rPr>
                <w:b/>
                <w:sz w:val="17"/>
              </w:rPr>
              <w:t>Family</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driver_mutation</w:t>
            </w:r>
          </w:p>
        </w:tc>
        <w:tc>
          <w:tcPr>
            <w:tcW w:type="dxa" w:w="1218"/>
            <w:vAlign w:val="center"/>
          </w:tcPr>
          <w:p>
            <w:r>
              <w:rPr>
                <w:sz w:val="16"/>
              </w:rPr>
              <w:t>120</w:t>
            </w:r>
          </w:p>
        </w:tc>
        <w:tc>
          <w:tcPr>
            <w:tcW w:type="dxa" w:w="1218"/>
            <w:vAlign w:val="center"/>
          </w:tcPr>
          <w:p>
            <w:r>
              <w:rPr>
                <w:sz w:val="16"/>
              </w:rPr>
              <w:t>59</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65</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66</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232</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289</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248</w:t>
            </w:r>
          </w:p>
        </w:tc>
        <w:tc>
          <w:tcPr>
            <w:tcW w:type="dxa" w:w="1218"/>
            <w:vAlign w:val="center"/>
          </w:tcPr>
          <w:p>
            <w:r>
              <w:rPr>
                <w:sz w:val="16"/>
              </w:rPr>
              <w:t>0.822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379</w:t>
            </w:r>
          </w:p>
        </w:tc>
        <w:tc>
          <w:tcPr>
            <w:tcW w:type="dxa" w:w="1218"/>
            <w:vAlign w:val="center"/>
          </w:tcPr>
          <w:p>
            <w:r>
              <w:rPr>
                <w:sz w:val="16"/>
              </w:rPr>
              <w:t>0.811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196</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153</w:t>
            </w:r>
          </w:p>
        </w:tc>
        <w:tc>
          <w:tcPr>
            <w:tcW w:type="dxa" w:w="1218"/>
            <w:vAlign w:val="center"/>
          </w:tcPr>
          <w:p>
            <w:r>
              <w:rPr>
                <w:sz w:val="16"/>
              </w:rPr>
              <w:t>80</w:t>
            </w:r>
          </w:p>
        </w:tc>
        <w:tc>
          <w:tcPr>
            <w:tcW w:type="dxa" w:w="1218"/>
            <w:vAlign w:val="center"/>
          </w:tcPr>
          <w:p>
            <w:r>
              <w:rPr>
                <w:sz w:val="16"/>
              </w:rPr>
              <w:t>0.792</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375</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374</w:t>
            </w:r>
          </w:p>
        </w:tc>
        <w:tc>
          <w:tcPr>
            <w:tcW w:type="dxa" w:w="1218"/>
            <w:vAlign w:val="center"/>
          </w:tcPr>
          <w:p>
            <w:r>
              <w:rPr>
                <w:sz w:val="16"/>
              </w:rPr>
              <w:t>57</w:t>
            </w:r>
          </w:p>
        </w:tc>
        <w:tc>
          <w:tcPr>
            <w:tcW w:type="dxa" w:w="1218"/>
            <w:vAlign w:val="center"/>
          </w:tcPr>
          <w:p>
            <w:r>
              <w:rPr>
                <w:sz w:val="16"/>
              </w:rPr>
              <w:t>0.784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161</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105</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181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468</w:t>
            </w:r>
          </w:p>
        </w:tc>
        <w:tc>
          <w:tcPr>
            <w:tcW w:type="dxa" w:w="1218"/>
            <w:vAlign w:val="center"/>
          </w:tcPr>
          <w:p>
            <w:r>
              <w:rPr>
                <w:sz w:val="16"/>
              </w:rPr>
              <w:t>218</w:t>
            </w:r>
          </w:p>
        </w:tc>
        <w:tc>
          <w:tcPr>
            <w:tcW w:type="dxa" w:w="1218"/>
            <w:vAlign w:val="center"/>
          </w:tcPr>
          <w:p>
            <w:r>
              <w:rPr>
                <w:sz w:val="16"/>
              </w:rPr>
              <w:t>0.754</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259</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391</w:t>
            </w:r>
          </w:p>
        </w:tc>
        <w:tc>
          <w:tcPr>
            <w:tcW w:type="dxa" w:w="1218"/>
            <w:vAlign w:val="center"/>
          </w:tcPr>
          <w:p>
            <w:r>
              <w:rPr>
                <w:sz w:val="16"/>
              </w:rPr>
              <w:t>74</w:t>
            </w:r>
          </w:p>
        </w:tc>
        <w:tc>
          <w:tcPr>
            <w:tcW w:type="dxa" w:w="1218"/>
            <w:vAlign w:val="center"/>
          </w:tcPr>
          <w:p>
            <w:r>
              <w:rPr>
                <w:sz w:val="16"/>
              </w:rPr>
              <w:t>0.744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942</w:t>
            </w:r>
          </w:p>
        </w:tc>
        <w:tc>
          <w:tcPr>
            <w:tcW w:type="dxa" w:w="1218"/>
            <w:vAlign w:val="center"/>
          </w:tcPr>
          <w:p>
            <w:r>
              <w:rPr>
                <w:sz w:val="16"/>
              </w:rPr>
              <w:t>437</w:t>
            </w:r>
          </w:p>
        </w:tc>
        <w:tc>
          <w:tcPr>
            <w:tcW w:type="dxa" w:w="1218"/>
            <w:vAlign w:val="center"/>
          </w:tcPr>
          <w:p>
            <w:r>
              <w:rPr>
                <w:sz w:val="16"/>
              </w:rPr>
              <w:t>0.742</w:t>
            </w:r>
          </w:p>
        </w:tc>
        <w:tc>
          <w:tcPr>
            <w:tcW w:type="dxa" w:w="1218"/>
            <w:vAlign w:val="center"/>
          </w:tcPr>
          <w:p>
            <w:r>
              <w:rPr>
                <w:sz w:val="16"/>
              </w:rPr>
              <w:t>0.009</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403</w:t>
            </w:r>
          </w:p>
        </w:tc>
        <w:tc>
          <w:tcPr>
            <w:tcW w:type="dxa" w:w="1218"/>
            <w:vAlign w:val="center"/>
          </w:tcPr>
          <w:p>
            <w:r>
              <w:rPr>
                <w:sz w:val="16"/>
              </w:rPr>
              <w:t>0.740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96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131</w:t>
            </w:r>
          </w:p>
        </w:tc>
        <w:tc>
          <w:tcPr>
            <w:tcW w:type="dxa" w:w="1218"/>
            <w:vAlign w:val="center"/>
          </w:tcPr>
          <w:p>
            <w:r>
              <w:rPr>
                <w:sz w:val="16"/>
              </w:rPr>
              <w:t>0.729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54</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371</w:t>
            </w:r>
          </w:p>
        </w:tc>
        <w:tc>
          <w:tcPr>
            <w:tcW w:type="dxa" w:w="1218"/>
            <w:vAlign w:val="center"/>
          </w:tcPr>
          <w:p>
            <w:r>
              <w:rPr>
                <w:sz w:val="16"/>
              </w:rPr>
              <w:t>63</w:t>
            </w:r>
          </w:p>
        </w:tc>
        <w:tc>
          <w:tcPr>
            <w:tcW w:type="dxa" w:w="1218"/>
            <w:vAlign w:val="center"/>
          </w:tcPr>
          <w:p>
            <w:r>
              <w:rPr>
                <w:sz w:val="16"/>
              </w:rPr>
              <w:t>0.728</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261</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364</w:t>
            </w:r>
          </w:p>
        </w:tc>
        <w:tc>
          <w:tcPr>
            <w:tcW w:type="dxa" w:w="1218"/>
            <w:vAlign w:val="center"/>
          </w:tcPr>
          <w:p>
            <w:r>
              <w:rPr>
                <w:sz w:val="16"/>
              </w:rPr>
              <w:t>56</w:t>
            </w:r>
          </w:p>
        </w:tc>
        <w:tc>
          <w:tcPr>
            <w:tcW w:type="dxa" w:w="1218"/>
            <w:vAlign w:val="center"/>
          </w:tcPr>
          <w:p>
            <w:r>
              <w:rPr>
                <w:sz w:val="16"/>
              </w:rPr>
              <w:t>0.713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477</w:t>
            </w:r>
          </w:p>
        </w:tc>
        <w:tc>
          <w:tcPr>
            <w:tcW w:type="dxa" w:w="1218"/>
            <w:vAlign w:val="center"/>
          </w:tcPr>
          <w:p>
            <w:r>
              <w:rPr>
                <w:sz w:val="16"/>
              </w:rPr>
              <w:t>97</w:t>
            </w:r>
          </w:p>
        </w:tc>
        <w:tc>
          <w:tcPr>
            <w:tcW w:type="dxa" w:w="1218"/>
            <w:vAlign w:val="center"/>
          </w:tcPr>
          <w:p>
            <w:r>
              <w:rPr>
                <w:sz w:val="16"/>
              </w:rPr>
              <w:t>0.707</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39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62</w:t>
            </w:r>
          </w:p>
        </w:tc>
        <w:tc>
          <w:tcPr>
            <w:tcW w:type="dxa" w:w="1218"/>
            <w:vAlign w:val="center"/>
          </w:tcPr>
          <w:p>
            <w:r>
              <w:rPr>
                <w:sz w:val="16"/>
              </w:rPr>
              <w:t>0.700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463</w:t>
            </w:r>
          </w:p>
        </w:tc>
        <w:tc>
          <w:tcPr>
            <w:tcW w:type="dxa" w:w="1218"/>
            <w:vAlign w:val="center"/>
          </w:tcPr>
          <w:p>
            <w:r>
              <w:rPr>
                <w:sz w:val="16"/>
              </w:rPr>
              <w:t>234</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998</w:t>
            </w:r>
          </w:p>
        </w:tc>
        <w:tc>
          <w:tcPr>
            <w:tcW w:type="dxa" w:w="1218"/>
            <w:vAlign w:val="center"/>
          </w:tcPr>
          <w:p>
            <w:r>
              <w:rPr>
                <w:sz w:val="16"/>
              </w:rPr>
              <w:t>438</w:t>
            </w:r>
          </w:p>
        </w:tc>
        <w:tc>
          <w:tcPr>
            <w:tcW w:type="dxa" w:w="1218"/>
            <w:vAlign w:val="center"/>
          </w:tcPr>
          <w:p>
            <w:r>
              <w:rPr>
                <w:sz w:val="16"/>
              </w:rPr>
              <w:t>0.699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451</w:t>
            </w:r>
          </w:p>
        </w:tc>
        <w:tc>
          <w:tcPr>
            <w:tcW w:type="dxa" w:w="1218"/>
            <w:vAlign w:val="center"/>
          </w:tcPr>
          <w:p>
            <w:r>
              <w:rPr>
                <w:sz w:val="16"/>
              </w:rPr>
              <w:t>274</w:t>
            </w:r>
          </w:p>
        </w:tc>
        <w:tc>
          <w:tcPr>
            <w:tcW w:type="dxa" w:w="1218"/>
            <w:vAlign w:val="center"/>
          </w:tcPr>
          <w:p>
            <w:r>
              <w:rPr>
                <w:sz w:val="16"/>
              </w:rPr>
              <w:t>0.699</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KIRP</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243</w:t>
            </w:r>
          </w:p>
        </w:tc>
        <w:tc>
          <w:tcPr>
            <w:tcW w:type="dxa" w:w="1218"/>
            <w:vAlign w:val="center"/>
          </w:tcPr>
          <w:p>
            <w:r>
              <w:rPr>
                <w:sz w:val="16"/>
              </w:rPr>
              <w:t>31</w:t>
            </w:r>
          </w:p>
        </w:tc>
        <w:tc>
          <w:tcPr>
            <w:tcW w:type="dxa" w:w="1218"/>
            <w:vAlign w:val="center"/>
          </w:tcPr>
          <w:p>
            <w:r>
              <w:rPr>
                <w:sz w:val="16"/>
              </w:rPr>
              <w:t>0.698</w:t>
            </w:r>
          </w:p>
        </w:tc>
        <w:tc>
          <w:tcPr>
            <w:tcW w:type="dxa" w:w="1218"/>
            <w:vAlign w:val="center"/>
          </w:tcPr>
          <w:p>
            <w:r>
              <w:rPr>
                <w:sz w:val="16"/>
              </w:rPr>
              <w:t>0.006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487</w:t>
            </w:r>
          </w:p>
        </w:tc>
        <w:tc>
          <w:tcPr>
            <w:tcW w:type="dxa" w:w="1218"/>
            <w:vAlign w:val="center"/>
          </w:tcPr>
          <w:p>
            <w:r>
              <w:rPr>
                <w:sz w:val="16"/>
              </w:rPr>
              <w:t>236</w:t>
            </w:r>
          </w:p>
        </w:tc>
        <w:tc>
          <w:tcPr>
            <w:tcW w:type="dxa" w:w="1218"/>
            <w:vAlign w:val="center"/>
          </w:tcPr>
          <w:p>
            <w:r>
              <w:rPr>
                <w:sz w:val="16"/>
              </w:rPr>
              <w:t>0.695</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158</w:t>
            </w:r>
          </w:p>
        </w:tc>
        <w:tc>
          <w:tcPr>
            <w:tcW w:type="dxa" w:w="1218"/>
            <w:vAlign w:val="center"/>
          </w:tcPr>
          <w:p>
            <w:r>
              <w:rPr>
                <w:sz w:val="16"/>
              </w:rPr>
              <w:t>52</w:t>
            </w:r>
          </w:p>
        </w:tc>
        <w:tc>
          <w:tcPr>
            <w:tcW w:type="dxa" w:w="1218"/>
            <w:vAlign w:val="center"/>
          </w:tcPr>
          <w:p>
            <w:r>
              <w:rPr>
                <w:sz w:val="16"/>
              </w:rPr>
              <w:t>0.694</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TGCT</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143</w:t>
            </w:r>
          </w:p>
        </w:tc>
        <w:tc>
          <w:tcPr>
            <w:tcW w:type="dxa" w:w="1218"/>
            <w:vAlign w:val="center"/>
          </w:tcPr>
          <w:p>
            <w:r>
              <w:rPr>
                <w:sz w:val="16"/>
              </w:rPr>
              <w:t>54</w:t>
            </w:r>
          </w:p>
        </w:tc>
        <w:tc>
          <w:tcPr>
            <w:tcW w:type="dxa" w:w="1218"/>
            <w:vAlign w:val="center"/>
          </w:tcPr>
          <w:p>
            <w:r>
              <w:rPr>
                <w:sz w:val="16"/>
              </w:rPr>
              <w:t>0.693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135</w:t>
            </w:r>
          </w:p>
        </w:tc>
        <w:tc>
          <w:tcPr>
            <w:tcW w:type="dxa" w:w="1218"/>
            <w:vAlign w:val="center"/>
          </w:tcPr>
          <w:p>
            <w:r>
              <w:rPr>
                <w:sz w:val="16"/>
              </w:rPr>
              <w:t>0.692</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376</w:t>
            </w:r>
          </w:p>
        </w:tc>
        <w:tc>
          <w:tcPr>
            <w:tcW w:type="dxa" w:w="1218"/>
            <w:vAlign w:val="center"/>
          </w:tcPr>
          <w:p>
            <w:r>
              <w:rPr>
                <w:sz w:val="16"/>
              </w:rPr>
              <w:t>228</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408</w:t>
            </w:r>
          </w:p>
        </w:tc>
        <w:tc>
          <w:tcPr>
            <w:tcW w:type="dxa" w:w="1218"/>
            <w:vAlign w:val="center"/>
          </w:tcPr>
          <w:p>
            <w:r>
              <w:rPr>
                <w:sz w:val="16"/>
              </w:rPr>
              <w:t>165</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71</w:t>
            </w:r>
          </w:p>
        </w:tc>
        <w:tc>
          <w:tcPr>
            <w:tcW w:type="dxa" w:w="1218"/>
            <w:vAlign w:val="center"/>
          </w:tcPr>
          <w:p>
            <w:r>
              <w:rPr>
                <w:sz w:val="16"/>
              </w:rPr>
              <w:t>38</w:t>
            </w:r>
          </w:p>
        </w:tc>
        <w:tc>
          <w:tcPr>
            <w:tcW w:type="dxa" w:w="1218"/>
            <w:vAlign w:val="center"/>
          </w:tcPr>
          <w:p>
            <w:r>
              <w:rPr>
                <w:sz w:val="16"/>
              </w:rPr>
              <w:t>0.691</w:t>
            </w:r>
          </w:p>
        </w:tc>
        <w:tc>
          <w:tcPr>
            <w:tcW w:type="dxa" w:w="1218"/>
            <w:vAlign w:val="center"/>
          </w:tcPr>
          <w:p>
            <w:r>
              <w:rPr>
                <w:sz w:val="16"/>
              </w:rPr>
              <w:t>0.008</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449</w:t>
            </w:r>
          </w:p>
        </w:tc>
        <w:tc>
          <w:tcPr>
            <w:tcW w:type="dxa" w:w="1218"/>
            <w:vAlign w:val="center"/>
          </w:tcPr>
          <w:p>
            <w:r>
              <w:rPr>
                <w:sz w:val="16"/>
              </w:rPr>
              <w:t>264</w:t>
            </w:r>
          </w:p>
        </w:tc>
        <w:tc>
          <w:tcPr>
            <w:tcW w:type="dxa" w:w="1218"/>
            <w:vAlign w:val="center"/>
          </w:tcPr>
          <w:p>
            <w:r>
              <w:rPr>
                <w:sz w:val="16"/>
              </w:rPr>
              <w:t>0.687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155</w:t>
            </w:r>
          </w:p>
        </w:tc>
        <w:tc>
          <w:tcPr>
            <w:tcW w:type="dxa" w:w="1218"/>
            <w:vAlign w:val="center"/>
          </w:tcPr>
          <w:p>
            <w:r>
              <w:rPr>
                <w:sz w:val="16"/>
              </w:rPr>
              <w:t>23</w:t>
            </w:r>
          </w:p>
        </w:tc>
        <w:tc>
          <w:tcPr>
            <w:tcW w:type="dxa" w:w="1218"/>
            <w:vAlign w:val="center"/>
          </w:tcPr>
          <w:p>
            <w:r>
              <w:rPr>
                <w:sz w:val="16"/>
              </w:rPr>
              <w:t>0.686</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360</w:t>
            </w:r>
          </w:p>
        </w:tc>
        <w:tc>
          <w:tcPr>
            <w:tcW w:type="dxa" w:w="1218"/>
            <w:vAlign w:val="center"/>
          </w:tcPr>
          <w:p>
            <w:r>
              <w:rPr>
                <w:sz w:val="16"/>
              </w:rPr>
              <w:t>154</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THCA</w:t>
            </w:r>
          </w:p>
        </w:tc>
        <w:tc>
          <w:tcPr>
            <w:tcW w:type="dxa" w:w="1218"/>
            <w:vAlign w:val="center"/>
          </w:tcPr>
          <w:p>
            <w:r>
              <w:rPr>
                <w:sz w:val="16"/>
              </w:rPr>
              <w:t>Fusion pair: CCDC6--RET</w:t>
            </w:r>
          </w:p>
        </w:tc>
        <w:tc>
          <w:tcPr>
            <w:tcW w:type="dxa" w:w="1218"/>
            <w:vAlign w:val="center"/>
          </w:tcPr>
          <w:p>
            <w:r>
              <w:rPr>
                <w:sz w:val="16"/>
              </w:rPr>
              <w:t>fusion</w:t>
            </w:r>
          </w:p>
        </w:tc>
        <w:tc>
          <w:tcPr>
            <w:tcW w:type="dxa" w:w="1218"/>
            <w:vAlign w:val="center"/>
          </w:tcPr>
          <w:p>
            <w:r>
              <w:rPr>
                <w:sz w:val="16"/>
              </w:rPr>
              <w:t>502</w:t>
            </w:r>
          </w:p>
        </w:tc>
        <w:tc>
          <w:tcPr>
            <w:tcW w:type="dxa" w:w="1218"/>
            <w:vAlign w:val="center"/>
          </w:tcPr>
          <w:p>
            <w:r>
              <w:rPr>
                <w:sz w:val="16"/>
              </w:rPr>
              <w:t>21</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126</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96</w:t>
            </w:r>
          </w:p>
        </w:tc>
        <w:tc>
          <w:tcPr>
            <w:tcW w:type="dxa" w:w="1218"/>
            <w:vAlign w:val="center"/>
          </w:tcPr>
          <w:p>
            <w:r>
              <w:rPr>
                <w:sz w:val="16"/>
              </w:rPr>
              <w:t>66</w:t>
            </w:r>
          </w:p>
        </w:tc>
        <w:tc>
          <w:tcPr>
            <w:tcW w:type="dxa" w:w="1218"/>
            <w:vAlign w:val="center"/>
          </w:tcPr>
          <w:p>
            <w:r>
              <w:rPr>
                <w:sz w:val="16"/>
              </w:rPr>
              <w:t>0.677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371</w:t>
            </w:r>
          </w:p>
        </w:tc>
        <w:tc>
          <w:tcPr>
            <w:tcW w:type="dxa" w:w="1218"/>
            <w:vAlign w:val="center"/>
          </w:tcPr>
          <w:p>
            <w:r>
              <w:rPr>
                <w:sz w:val="16"/>
              </w:rPr>
              <w:t>179</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323</w:t>
            </w:r>
          </w:p>
        </w:tc>
        <w:tc>
          <w:tcPr>
            <w:tcW w:type="dxa" w:w="1218"/>
            <w:vAlign w:val="center"/>
          </w:tcPr>
          <w:p>
            <w:r>
              <w:rPr>
                <w:sz w:val="16"/>
              </w:rPr>
              <w:t>208</w:t>
            </w:r>
          </w:p>
        </w:tc>
        <w:tc>
          <w:tcPr>
            <w:tcW w:type="dxa" w:w="1218"/>
            <w:vAlign w:val="center"/>
          </w:tcPr>
          <w:p>
            <w:r>
              <w:rPr>
                <w:sz w:val="16"/>
              </w:rPr>
              <w:t>0.671</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driver_mutation</w:t>
            </w:r>
          </w:p>
        </w:tc>
        <w:tc>
          <w:tcPr>
            <w:tcW w:type="dxa" w:w="1218"/>
            <w:vAlign w:val="center"/>
          </w:tcPr>
          <w:p>
            <w:r>
              <w:rPr>
                <w:sz w:val="16"/>
              </w:rPr>
              <w:t>350</w:t>
            </w:r>
          </w:p>
        </w:tc>
        <w:tc>
          <w:tcPr>
            <w:tcW w:type="dxa" w:w="1218"/>
            <w:vAlign w:val="center"/>
          </w:tcPr>
          <w:p>
            <w:r>
              <w:rPr>
                <w:sz w:val="16"/>
              </w:rPr>
              <w:t>93</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238</w:t>
            </w:r>
          </w:p>
        </w:tc>
        <w:tc>
          <w:tcPr>
            <w:tcW w:type="dxa" w:w="1218"/>
            <w:vAlign w:val="center"/>
          </w:tcPr>
          <w:p>
            <w:r>
              <w:rPr>
                <w:sz w:val="16"/>
              </w:rPr>
              <w:t>112</w:t>
            </w:r>
          </w:p>
        </w:tc>
        <w:tc>
          <w:tcPr>
            <w:tcW w:type="dxa" w:w="1218"/>
            <w:vAlign w:val="center"/>
          </w:tcPr>
          <w:p>
            <w:r>
              <w:rPr>
                <w:sz w:val="16"/>
              </w:rPr>
              <w:t>0.659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72</w:t>
            </w:r>
          </w:p>
        </w:tc>
        <w:tc>
          <w:tcPr>
            <w:tcW w:type="dxa" w:w="1218"/>
            <w:vAlign w:val="center"/>
          </w:tcPr>
          <w:p>
            <w:r>
              <w:rPr>
                <w:sz w:val="16"/>
              </w:rPr>
              <w:t>22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0.657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438</w:t>
            </w:r>
          </w:p>
        </w:tc>
        <w:tc>
          <w:tcPr>
            <w:tcW w:type="dxa" w:w="1218"/>
            <w:vAlign w:val="center"/>
          </w:tcPr>
          <w:p>
            <w:r>
              <w:rPr>
                <w:sz w:val="16"/>
              </w:rPr>
              <w:t>106</w:t>
            </w:r>
          </w:p>
        </w:tc>
        <w:tc>
          <w:tcPr>
            <w:tcW w:type="dxa" w:w="1218"/>
            <w:vAlign w:val="center"/>
          </w:tcPr>
          <w:p>
            <w:r>
              <w:rPr>
                <w:sz w:val="16"/>
              </w:rPr>
              <w:t>0.653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44</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241</w:t>
            </w:r>
          </w:p>
        </w:tc>
        <w:tc>
          <w:tcPr>
            <w:tcW w:type="dxa" w:w="1218"/>
            <w:vAlign w:val="center"/>
          </w:tcPr>
          <w:p>
            <w:r>
              <w:rPr>
                <w:sz w:val="16"/>
              </w:rPr>
              <w:t>52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337</w:t>
            </w:r>
          </w:p>
        </w:tc>
        <w:tc>
          <w:tcPr>
            <w:tcW w:type="dxa" w:w="1218"/>
            <w:vAlign w:val="center"/>
          </w:tcPr>
          <w:p>
            <w:r>
              <w:rPr>
                <w:sz w:val="16"/>
              </w:rPr>
              <w:t>232</w:t>
            </w:r>
          </w:p>
        </w:tc>
        <w:tc>
          <w:tcPr>
            <w:tcW w:type="dxa" w:w="1218"/>
            <w:vAlign w:val="center"/>
          </w:tcPr>
          <w:p>
            <w:r>
              <w:rPr>
                <w:sz w:val="16"/>
              </w:rPr>
              <w:t>0.644</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184</w:t>
            </w:r>
          </w:p>
        </w:tc>
        <w:tc>
          <w:tcPr>
            <w:tcW w:type="dxa" w:w="1218"/>
            <w:vAlign w:val="center"/>
          </w:tcPr>
          <w:p>
            <w:r>
              <w:rPr>
                <w:sz w:val="16"/>
              </w:rPr>
              <w:t>0.643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222</w:t>
            </w:r>
          </w:p>
        </w:tc>
        <w:tc>
          <w:tcPr>
            <w:tcW w:type="dxa" w:w="1218"/>
            <w:vAlign w:val="center"/>
          </w:tcPr>
          <w:p>
            <w:r>
              <w:rPr>
                <w:sz w:val="16"/>
              </w:rPr>
              <w:t>146</w:t>
            </w:r>
          </w:p>
        </w:tc>
        <w:tc>
          <w:tcPr>
            <w:tcW w:type="dxa" w:w="1218"/>
            <w:vAlign w:val="center"/>
          </w:tcPr>
          <w:p>
            <w:r>
              <w:rPr>
                <w:sz w:val="16"/>
              </w:rPr>
              <w:t>0.643</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185</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70</w:t>
            </w:r>
          </w:p>
        </w:tc>
        <w:tc>
          <w:tcPr>
            <w:tcW w:type="dxa" w:w="1218"/>
            <w:vAlign w:val="center"/>
          </w:tcPr>
          <w:p>
            <w:r>
              <w:rPr>
                <w:sz w:val="16"/>
              </w:rPr>
              <w:t>0.639</w:t>
            </w:r>
          </w:p>
        </w:tc>
        <w:tc>
          <w:tcPr>
            <w:tcW w:type="dxa" w:w="1218"/>
            <w:vAlign w:val="center"/>
          </w:tcPr>
          <w:p>
            <w:r>
              <w:rPr>
                <w:sz w:val="16"/>
              </w:rPr>
              <w:t>0.002</w:t>
            </w:r>
          </w:p>
        </w:tc>
        <w:tc>
          <w:tcPr>
            <w:tcW w:type="dxa" w:w="1218"/>
            <w:vAlign w:val="center"/>
          </w:tcPr>
          <w:p>
            <w:r>
              <w:rPr>
                <w:sz w:val="16"/>
              </w:rPr>
              <w:t>within-cancer moderate effect</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moderate effect</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moderate effect</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moderate effect</w:t>
            </w:r>
          </w:p>
        </w:tc>
      </w:tr>
    </w:tbl>
    <w:p/>
    <w:p>
      <w:pPr>
        <w:pStyle w:val="Heading1"/>
      </w:pPr>
      <w:r>
        <w:t>Table S10b. Screen-positive models below the original effect threshold under site-grouped validation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Sites</w:t>
            </w:r>
          </w:p>
        </w:tc>
        <w:tc>
          <w:tcPr>
            <w:tcW w:type="dxa" w:w="1083"/>
          </w:tcPr>
          <w:p>
            <w:r>
              <w:rPr>
                <w:b/>
                <w:sz w:val="17"/>
              </w:rPr>
              <w:t>Random-fold metric</w:t>
            </w:r>
          </w:p>
        </w:tc>
        <w:tc>
          <w:tcPr>
            <w:tcW w:type="dxa" w:w="1083"/>
          </w:tcPr>
          <w:p>
            <w:r>
              <w:rPr>
                <w:b/>
                <w:sz w:val="17"/>
              </w:rPr>
              <w:t>Site-grouped metric</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Tissue-source-site-grouped outer-fold composition for the two colorectal APC examples</w:t>
      </w:r>
    </w:p>
    <w:p>
      <w:r>
        <w:t>The table shows every outer fold for the two near-chance APC examples. The complete 1,613-row file reports test and training patients, tissue-source sites, positive and negative cases, site identifiers, seeds and inner-site-separation diagnostics for every screen-positive model. Inner component selection used the same tissue-source-site grouping and had no site overlap.</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Model</w:t>
            </w:r>
          </w:p>
        </w:tc>
        <w:tc>
          <w:tcPr>
            <w:tcW w:type="dxa" w:w="1218"/>
          </w:tcPr>
          <w:p>
            <w:r>
              <w:rPr>
                <w:b/>
                <w:sz w:val="17"/>
              </w:rPr>
              <w:t>Fold</w:t>
            </w:r>
          </w:p>
        </w:tc>
        <w:tc>
          <w:tcPr>
            <w:tcW w:type="dxa" w:w="1218"/>
          </w:tcPr>
          <w:p>
            <w:r>
              <w:rPr>
                <w:b/>
                <w:sz w:val="17"/>
              </w:rPr>
              <w:t>Test patients</w:t>
            </w:r>
          </w:p>
        </w:tc>
        <w:tc>
          <w:tcPr>
            <w:tcW w:type="dxa" w:w="1218"/>
          </w:tcPr>
          <w:p>
            <w:r>
              <w:rPr>
                <w:b/>
                <w:sz w:val="17"/>
              </w:rPr>
              <w:t>Test sites</w:t>
            </w:r>
          </w:p>
        </w:tc>
        <w:tc>
          <w:tcPr>
            <w:tcW w:type="dxa" w:w="1218"/>
          </w:tcPr>
          <w:p>
            <w:r>
              <w:rPr>
                <w:b/>
                <w:sz w:val="17"/>
              </w:rPr>
              <w:t>Test positive/negative</w:t>
            </w:r>
          </w:p>
        </w:tc>
        <w:tc>
          <w:tcPr>
            <w:tcW w:type="dxa" w:w="1218"/>
          </w:tcPr>
          <w:p>
            <w:r>
              <w:rPr>
                <w:b/>
                <w:sz w:val="17"/>
              </w:rPr>
              <w:t>Training patients</w:t>
            </w:r>
          </w:p>
        </w:tc>
        <w:tc>
          <w:tcPr>
            <w:tcW w:type="dxa" w:w="1218"/>
          </w:tcPr>
          <w:p>
            <w:r>
              <w:rPr>
                <w:b/>
                <w:sz w:val="17"/>
              </w:rPr>
              <w:t>Training sites</w:t>
            </w:r>
          </w:p>
        </w:tc>
        <w:tc>
          <w:tcPr>
            <w:tcW w:type="dxa" w:w="1218"/>
          </w:tcPr>
          <w:p>
            <w:r>
              <w:rPr>
                <w:b/>
                <w:sz w:val="17"/>
              </w:rPr>
              <w:t>Training positive/negative</w:t>
            </w:r>
          </w:p>
        </w:tc>
      </w:tr>
      <w:tr>
        <w:trPr>
          <w:cantSplit/>
        </w:trPr>
        <w:tc>
          <w:tcPr>
            <w:tcW w:type="dxa" w:w="1218"/>
            <w:vAlign w:val="center"/>
          </w:tcPr>
          <w:p>
            <w:r>
              <w:rPr>
                <w:sz w:val="16"/>
              </w:rPr>
              <w:t>COAD–APC</w:t>
            </w:r>
          </w:p>
        </w:tc>
        <w:tc>
          <w:tcPr>
            <w:tcW w:type="dxa" w:w="1218"/>
            <w:vAlign w:val="center"/>
          </w:tcPr>
          <w:p>
            <w:r>
              <w:rPr>
                <w:sz w:val="16"/>
              </w:rPr>
              <w:t>1</w:t>
            </w:r>
          </w:p>
        </w:tc>
        <w:tc>
          <w:tcPr>
            <w:tcW w:type="dxa" w:w="1218"/>
            <w:vAlign w:val="center"/>
          </w:tcPr>
          <w:p>
            <w:r>
              <w:rPr>
                <w:sz w:val="16"/>
              </w:rPr>
              <w:t>63</w:t>
            </w:r>
          </w:p>
        </w:tc>
        <w:tc>
          <w:tcPr>
            <w:tcW w:type="dxa" w:w="1218"/>
            <w:vAlign w:val="center"/>
          </w:tcPr>
          <w:p>
            <w:r>
              <w:rPr>
                <w:sz w:val="16"/>
              </w:rPr>
              <w:t>6</w:t>
            </w:r>
          </w:p>
        </w:tc>
        <w:tc>
          <w:tcPr>
            <w:tcW w:type="dxa" w:w="1218"/>
            <w:vAlign w:val="center"/>
          </w:tcPr>
          <w:p>
            <w:r>
              <w:rPr>
                <w:sz w:val="16"/>
              </w:rPr>
              <w:t>43/20</w:t>
            </w:r>
          </w:p>
        </w:tc>
        <w:tc>
          <w:tcPr>
            <w:tcW w:type="dxa" w:w="1218"/>
            <w:vAlign w:val="center"/>
          </w:tcPr>
          <w:p>
            <w:r>
              <w:rPr>
                <w:sz w:val="16"/>
              </w:rPr>
              <w:t>319</w:t>
            </w:r>
          </w:p>
        </w:tc>
        <w:tc>
          <w:tcPr>
            <w:tcW w:type="dxa" w:w="1218"/>
            <w:vAlign w:val="center"/>
          </w:tcPr>
          <w:p>
            <w:r>
              <w:rPr>
                <w:sz w:val="16"/>
              </w:rPr>
              <w:t>18</w:t>
            </w:r>
          </w:p>
        </w:tc>
        <w:tc>
          <w:tcPr>
            <w:tcW w:type="dxa" w:w="1218"/>
            <w:vAlign w:val="center"/>
          </w:tcPr>
          <w:p>
            <w:r>
              <w:rPr>
                <w:sz w:val="16"/>
              </w:rPr>
              <w:t>153/166</w:t>
            </w:r>
          </w:p>
        </w:tc>
      </w:tr>
      <w:tr>
        <w:trPr>
          <w:cantSplit/>
        </w:trPr>
        <w:tc>
          <w:tcPr>
            <w:tcW w:type="dxa" w:w="1218"/>
            <w:vAlign w:val="center"/>
          </w:tcPr>
          <w:p>
            <w:r>
              <w:rPr>
                <w:sz w:val="16"/>
              </w:rPr>
              <w:t>COAD–APC</w:t>
            </w:r>
          </w:p>
        </w:tc>
        <w:tc>
          <w:tcPr>
            <w:tcW w:type="dxa" w:w="1218"/>
            <w:vAlign w:val="center"/>
          </w:tcPr>
          <w:p>
            <w:r>
              <w:rPr>
                <w:sz w:val="16"/>
              </w:rPr>
              <w:t>2</w:t>
            </w:r>
          </w:p>
        </w:tc>
        <w:tc>
          <w:tcPr>
            <w:tcW w:type="dxa" w:w="1218"/>
            <w:vAlign w:val="center"/>
          </w:tcPr>
          <w:p>
            <w:r>
              <w:rPr>
                <w:sz w:val="16"/>
              </w:rPr>
              <w:t>177</w:t>
            </w:r>
          </w:p>
        </w:tc>
        <w:tc>
          <w:tcPr>
            <w:tcW w:type="dxa" w:w="1218"/>
            <w:vAlign w:val="center"/>
          </w:tcPr>
          <w:p>
            <w:r>
              <w:rPr>
                <w:sz w:val="16"/>
              </w:rPr>
              <w:t>6</w:t>
            </w:r>
          </w:p>
        </w:tc>
        <w:tc>
          <w:tcPr>
            <w:tcW w:type="dxa" w:w="1218"/>
            <w:vAlign w:val="center"/>
          </w:tcPr>
          <w:p>
            <w:r>
              <w:rPr>
                <w:sz w:val="16"/>
              </w:rPr>
              <w:t>47/130</w:t>
            </w:r>
          </w:p>
        </w:tc>
        <w:tc>
          <w:tcPr>
            <w:tcW w:type="dxa" w:w="1218"/>
            <w:vAlign w:val="center"/>
          </w:tcPr>
          <w:p>
            <w:r>
              <w:rPr>
                <w:sz w:val="16"/>
              </w:rPr>
              <w:t>205</w:t>
            </w:r>
          </w:p>
        </w:tc>
        <w:tc>
          <w:tcPr>
            <w:tcW w:type="dxa" w:w="1218"/>
            <w:vAlign w:val="center"/>
          </w:tcPr>
          <w:p>
            <w:r>
              <w:rPr>
                <w:sz w:val="16"/>
              </w:rPr>
              <w:t>18</w:t>
            </w:r>
          </w:p>
        </w:tc>
        <w:tc>
          <w:tcPr>
            <w:tcW w:type="dxa" w:w="1218"/>
            <w:vAlign w:val="center"/>
          </w:tcPr>
          <w:p>
            <w:r>
              <w:rPr>
                <w:sz w:val="16"/>
              </w:rPr>
              <w:t>149/56</w:t>
            </w:r>
          </w:p>
        </w:tc>
      </w:tr>
      <w:tr>
        <w:trPr>
          <w:cantSplit/>
        </w:trPr>
        <w:tc>
          <w:tcPr>
            <w:tcW w:type="dxa" w:w="1218"/>
            <w:vAlign w:val="center"/>
          </w:tcPr>
          <w:p>
            <w:r>
              <w:rPr>
                <w:sz w:val="16"/>
              </w:rPr>
              <w:t>COAD–APC</w:t>
            </w:r>
          </w:p>
        </w:tc>
        <w:tc>
          <w:tcPr>
            <w:tcW w:type="dxa" w:w="1218"/>
            <w:vAlign w:val="center"/>
          </w:tcPr>
          <w:p>
            <w:r>
              <w:rPr>
                <w:sz w:val="16"/>
              </w:rPr>
              <w:t>3</w:t>
            </w:r>
          </w:p>
        </w:tc>
        <w:tc>
          <w:tcPr>
            <w:tcW w:type="dxa" w:w="1218"/>
            <w:vAlign w:val="center"/>
          </w:tcPr>
          <w:p>
            <w:r>
              <w:rPr>
                <w:sz w:val="16"/>
              </w:rPr>
              <w:t>35</w:t>
            </w:r>
          </w:p>
        </w:tc>
        <w:tc>
          <w:tcPr>
            <w:tcW w:type="dxa" w:w="1218"/>
            <w:vAlign w:val="center"/>
          </w:tcPr>
          <w:p>
            <w:r>
              <w:rPr>
                <w:sz w:val="16"/>
              </w:rPr>
              <w:t>4</w:t>
            </w:r>
          </w:p>
        </w:tc>
        <w:tc>
          <w:tcPr>
            <w:tcW w:type="dxa" w:w="1218"/>
            <w:vAlign w:val="center"/>
          </w:tcPr>
          <w:p>
            <w:r>
              <w:rPr>
                <w:sz w:val="16"/>
              </w:rPr>
              <w:t>30/5</w:t>
            </w:r>
          </w:p>
        </w:tc>
        <w:tc>
          <w:tcPr>
            <w:tcW w:type="dxa" w:w="1218"/>
            <w:vAlign w:val="center"/>
          </w:tcPr>
          <w:p>
            <w:r>
              <w:rPr>
                <w:sz w:val="16"/>
              </w:rPr>
              <w:t>347</w:t>
            </w:r>
          </w:p>
        </w:tc>
        <w:tc>
          <w:tcPr>
            <w:tcW w:type="dxa" w:w="1218"/>
            <w:vAlign w:val="center"/>
          </w:tcPr>
          <w:p>
            <w:r>
              <w:rPr>
                <w:sz w:val="16"/>
              </w:rPr>
              <w:t>20</w:t>
            </w:r>
          </w:p>
        </w:tc>
        <w:tc>
          <w:tcPr>
            <w:tcW w:type="dxa" w:w="1218"/>
            <w:vAlign w:val="center"/>
          </w:tcPr>
          <w:p>
            <w:r>
              <w:rPr>
                <w:sz w:val="16"/>
              </w:rPr>
              <w:t>166/181</w:t>
            </w:r>
          </w:p>
        </w:tc>
      </w:tr>
      <w:tr>
        <w:trPr>
          <w:cantSplit/>
        </w:trPr>
        <w:tc>
          <w:tcPr>
            <w:tcW w:type="dxa" w:w="1218"/>
            <w:vAlign w:val="center"/>
          </w:tcPr>
          <w:p>
            <w:r>
              <w:rPr>
                <w:sz w:val="16"/>
              </w:rPr>
              <w:t>COAD–APC</w:t>
            </w:r>
          </w:p>
        </w:tc>
        <w:tc>
          <w:tcPr>
            <w:tcW w:type="dxa" w:w="1218"/>
            <w:vAlign w:val="center"/>
          </w:tcPr>
          <w:p>
            <w:r>
              <w:rPr>
                <w:sz w:val="16"/>
              </w:rPr>
              <w:t>4</w:t>
            </w:r>
          </w:p>
        </w:tc>
        <w:tc>
          <w:tcPr>
            <w:tcW w:type="dxa" w:w="1218"/>
            <w:vAlign w:val="center"/>
          </w:tcPr>
          <w:p>
            <w:r>
              <w:rPr>
                <w:sz w:val="16"/>
              </w:rPr>
              <w:t>85</w:t>
            </w:r>
          </w:p>
        </w:tc>
        <w:tc>
          <w:tcPr>
            <w:tcW w:type="dxa" w:w="1218"/>
            <w:vAlign w:val="center"/>
          </w:tcPr>
          <w:p>
            <w:r>
              <w:rPr>
                <w:sz w:val="16"/>
              </w:rPr>
              <w:t>4</w:t>
            </w:r>
          </w:p>
        </w:tc>
        <w:tc>
          <w:tcPr>
            <w:tcW w:type="dxa" w:w="1218"/>
            <w:vAlign w:val="center"/>
          </w:tcPr>
          <w:p>
            <w:r>
              <w:rPr>
                <w:sz w:val="16"/>
              </w:rPr>
              <w:t>61/24</w:t>
            </w:r>
          </w:p>
        </w:tc>
        <w:tc>
          <w:tcPr>
            <w:tcW w:type="dxa" w:w="1218"/>
            <w:vAlign w:val="center"/>
          </w:tcPr>
          <w:p>
            <w:r>
              <w:rPr>
                <w:sz w:val="16"/>
              </w:rPr>
              <w:t>297</w:t>
            </w:r>
          </w:p>
        </w:tc>
        <w:tc>
          <w:tcPr>
            <w:tcW w:type="dxa" w:w="1218"/>
            <w:vAlign w:val="center"/>
          </w:tcPr>
          <w:p>
            <w:r>
              <w:rPr>
                <w:sz w:val="16"/>
              </w:rPr>
              <w:t>20</w:t>
            </w:r>
          </w:p>
        </w:tc>
        <w:tc>
          <w:tcPr>
            <w:tcW w:type="dxa" w:w="1218"/>
            <w:vAlign w:val="center"/>
          </w:tcPr>
          <w:p>
            <w:r>
              <w:rPr>
                <w:sz w:val="16"/>
              </w:rPr>
              <w:t>135/162</w:t>
            </w:r>
          </w:p>
        </w:tc>
      </w:tr>
      <w:tr>
        <w:trPr>
          <w:cantSplit/>
        </w:trPr>
        <w:tc>
          <w:tcPr>
            <w:tcW w:type="dxa" w:w="1218"/>
            <w:vAlign w:val="center"/>
          </w:tcPr>
          <w:p>
            <w:r>
              <w:rPr>
                <w:sz w:val="16"/>
              </w:rPr>
              <w:t>COAD–APC</w:t>
            </w:r>
          </w:p>
        </w:tc>
        <w:tc>
          <w:tcPr>
            <w:tcW w:type="dxa" w:w="1218"/>
            <w:vAlign w:val="center"/>
          </w:tcPr>
          <w:p>
            <w:r>
              <w:rPr>
                <w:sz w:val="16"/>
              </w:rPr>
              <w:t>5</w:t>
            </w:r>
          </w:p>
        </w:tc>
        <w:tc>
          <w:tcPr>
            <w:tcW w:type="dxa" w:w="1218"/>
            <w:vAlign w:val="center"/>
          </w:tcPr>
          <w:p>
            <w:r>
              <w:rPr>
                <w:sz w:val="16"/>
              </w:rPr>
              <w:t>22</w:t>
            </w:r>
          </w:p>
        </w:tc>
        <w:tc>
          <w:tcPr>
            <w:tcW w:type="dxa" w:w="1218"/>
            <w:vAlign w:val="center"/>
          </w:tcPr>
          <w:p>
            <w:r>
              <w:rPr>
                <w:sz w:val="16"/>
              </w:rPr>
              <w:t>4</w:t>
            </w:r>
          </w:p>
        </w:tc>
        <w:tc>
          <w:tcPr>
            <w:tcW w:type="dxa" w:w="1218"/>
            <w:vAlign w:val="center"/>
          </w:tcPr>
          <w:p>
            <w:r>
              <w:rPr>
                <w:sz w:val="16"/>
              </w:rPr>
              <w:t>15/7</w:t>
            </w:r>
          </w:p>
        </w:tc>
        <w:tc>
          <w:tcPr>
            <w:tcW w:type="dxa" w:w="1218"/>
            <w:vAlign w:val="center"/>
          </w:tcPr>
          <w:p>
            <w:r>
              <w:rPr>
                <w:sz w:val="16"/>
              </w:rPr>
              <w:t>360</w:t>
            </w:r>
          </w:p>
        </w:tc>
        <w:tc>
          <w:tcPr>
            <w:tcW w:type="dxa" w:w="1218"/>
            <w:vAlign w:val="center"/>
          </w:tcPr>
          <w:p>
            <w:r>
              <w:rPr>
                <w:sz w:val="16"/>
              </w:rPr>
              <w:t>20</w:t>
            </w:r>
          </w:p>
        </w:tc>
        <w:tc>
          <w:tcPr>
            <w:tcW w:type="dxa" w:w="1218"/>
            <w:vAlign w:val="center"/>
          </w:tcPr>
          <w:p>
            <w:r>
              <w:rPr>
                <w:sz w:val="16"/>
              </w:rPr>
              <w:t>181/179</w:t>
            </w:r>
          </w:p>
        </w:tc>
      </w:tr>
      <w:tr>
        <w:trPr>
          <w:cantSplit/>
        </w:trPr>
        <w:tc>
          <w:tcPr>
            <w:tcW w:type="dxa" w:w="1218"/>
            <w:vAlign w:val="center"/>
          </w:tcPr>
          <w:p>
            <w:r>
              <w:rPr>
                <w:sz w:val="16"/>
              </w:rPr>
              <w:t>READ–APC</w:t>
            </w:r>
          </w:p>
        </w:tc>
        <w:tc>
          <w:tcPr>
            <w:tcW w:type="dxa" w:w="1218"/>
            <w:vAlign w:val="center"/>
          </w:tcPr>
          <w:p>
            <w:r>
              <w:rPr>
                <w:sz w:val="16"/>
              </w:rPr>
              <w:t>1</w:t>
            </w:r>
          </w:p>
        </w:tc>
        <w:tc>
          <w:tcPr>
            <w:tcW w:type="dxa" w:w="1218"/>
            <w:vAlign w:val="center"/>
          </w:tcPr>
          <w:p>
            <w:r>
              <w:rPr>
                <w:sz w:val="16"/>
              </w:rPr>
              <w:t>5</w:t>
            </w:r>
          </w:p>
        </w:tc>
        <w:tc>
          <w:tcPr>
            <w:tcW w:type="dxa" w:w="1218"/>
            <w:vAlign w:val="center"/>
          </w:tcPr>
          <w:p>
            <w:r>
              <w:rPr>
                <w:sz w:val="16"/>
              </w:rPr>
              <w:t>3</w:t>
            </w:r>
          </w:p>
        </w:tc>
        <w:tc>
          <w:tcPr>
            <w:tcW w:type="dxa" w:w="1218"/>
            <w:vAlign w:val="center"/>
          </w:tcPr>
          <w:p>
            <w:r>
              <w:rPr>
                <w:sz w:val="16"/>
              </w:rPr>
              <w:t>4/1</w:t>
            </w:r>
          </w:p>
        </w:tc>
        <w:tc>
          <w:tcPr>
            <w:tcW w:type="dxa" w:w="1218"/>
            <w:vAlign w:val="center"/>
          </w:tcPr>
          <w:p>
            <w:r>
              <w:rPr>
                <w:sz w:val="16"/>
              </w:rPr>
              <w:t>130</w:t>
            </w:r>
          </w:p>
        </w:tc>
        <w:tc>
          <w:tcPr>
            <w:tcW w:type="dxa" w:w="1218"/>
            <w:vAlign w:val="center"/>
          </w:tcPr>
          <w:p>
            <w:r>
              <w:rPr>
                <w:sz w:val="16"/>
              </w:rPr>
              <w:t>10</w:t>
            </w:r>
          </w:p>
        </w:tc>
        <w:tc>
          <w:tcPr>
            <w:tcW w:type="dxa" w:w="1218"/>
            <w:vAlign w:val="center"/>
          </w:tcPr>
          <w:p>
            <w:r>
              <w:rPr>
                <w:sz w:val="16"/>
              </w:rPr>
              <w:t>61/69</w:t>
            </w:r>
          </w:p>
        </w:tc>
      </w:tr>
      <w:tr>
        <w:trPr>
          <w:cantSplit/>
        </w:trPr>
        <w:tc>
          <w:tcPr>
            <w:tcW w:type="dxa" w:w="1218"/>
            <w:vAlign w:val="center"/>
          </w:tcPr>
          <w:p>
            <w:r>
              <w:rPr>
                <w:sz w:val="16"/>
              </w:rPr>
              <w:t>READ–APC</w:t>
            </w:r>
          </w:p>
        </w:tc>
        <w:tc>
          <w:tcPr>
            <w:tcW w:type="dxa" w:w="1218"/>
            <w:vAlign w:val="center"/>
          </w:tcPr>
          <w:p>
            <w:r>
              <w:rPr>
                <w:sz w:val="16"/>
              </w:rPr>
              <w:t>2</w:t>
            </w:r>
          </w:p>
        </w:tc>
        <w:tc>
          <w:tcPr>
            <w:tcW w:type="dxa" w:w="1218"/>
            <w:vAlign w:val="center"/>
          </w:tcPr>
          <w:p>
            <w:r>
              <w:rPr>
                <w:sz w:val="16"/>
              </w:rPr>
              <w:t>10</w:t>
            </w:r>
          </w:p>
        </w:tc>
        <w:tc>
          <w:tcPr>
            <w:tcW w:type="dxa" w:w="1218"/>
            <w:vAlign w:val="center"/>
          </w:tcPr>
          <w:p>
            <w:r>
              <w:rPr>
                <w:sz w:val="16"/>
              </w:rPr>
              <w:t>3</w:t>
            </w:r>
          </w:p>
        </w:tc>
        <w:tc>
          <w:tcPr>
            <w:tcW w:type="dxa" w:w="1218"/>
            <w:vAlign w:val="center"/>
          </w:tcPr>
          <w:p>
            <w:r>
              <w:rPr>
                <w:sz w:val="16"/>
              </w:rPr>
              <w:t>9/1</w:t>
            </w:r>
          </w:p>
        </w:tc>
        <w:tc>
          <w:tcPr>
            <w:tcW w:type="dxa" w:w="1218"/>
            <w:vAlign w:val="center"/>
          </w:tcPr>
          <w:p>
            <w:r>
              <w:rPr>
                <w:sz w:val="16"/>
              </w:rPr>
              <w:t>125</w:t>
            </w:r>
          </w:p>
        </w:tc>
        <w:tc>
          <w:tcPr>
            <w:tcW w:type="dxa" w:w="1218"/>
            <w:vAlign w:val="center"/>
          </w:tcPr>
          <w:p>
            <w:r>
              <w:rPr>
                <w:sz w:val="16"/>
              </w:rPr>
              <w:t>10</w:t>
            </w:r>
          </w:p>
        </w:tc>
        <w:tc>
          <w:tcPr>
            <w:tcW w:type="dxa" w:w="1218"/>
            <w:vAlign w:val="center"/>
          </w:tcPr>
          <w:p>
            <w:r>
              <w:rPr>
                <w:sz w:val="16"/>
              </w:rPr>
              <w:t>56/69</w:t>
            </w:r>
          </w:p>
        </w:tc>
      </w:tr>
      <w:tr>
        <w:trPr>
          <w:cantSplit/>
        </w:trPr>
        <w:tc>
          <w:tcPr>
            <w:tcW w:type="dxa" w:w="1218"/>
            <w:vAlign w:val="center"/>
          </w:tcPr>
          <w:p>
            <w:r>
              <w:rPr>
                <w:sz w:val="16"/>
              </w:rPr>
              <w:t>READ–APC</w:t>
            </w:r>
          </w:p>
        </w:tc>
        <w:tc>
          <w:tcPr>
            <w:tcW w:type="dxa" w:w="1218"/>
            <w:vAlign w:val="center"/>
          </w:tcPr>
          <w:p>
            <w:r>
              <w:rPr>
                <w:sz w:val="16"/>
              </w:rPr>
              <w:t>3</w:t>
            </w:r>
          </w:p>
        </w:tc>
        <w:tc>
          <w:tcPr>
            <w:tcW w:type="dxa" w:w="1218"/>
            <w:vAlign w:val="center"/>
          </w:tcPr>
          <w:p>
            <w:r>
              <w:rPr>
                <w:sz w:val="16"/>
              </w:rPr>
              <w:t>30</w:t>
            </w:r>
          </w:p>
        </w:tc>
        <w:tc>
          <w:tcPr>
            <w:tcW w:type="dxa" w:w="1218"/>
            <w:vAlign w:val="center"/>
          </w:tcPr>
          <w:p>
            <w:r>
              <w:rPr>
                <w:sz w:val="16"/>
              </w:rPr>
              <w:t>3</w:t>
            </w:r>
          </w:p>
        </w:tc>
        <w:tc>
          <w:tcPr>
            <w:tcW w:type="dxa" w:w="1218"/>
            <w:vAlign w:val="center"/>
          </w:tcPr>
          <w:p>
            <w:r>
              <w:rPr>
                <w:sz w:val="16"/>
              </w:rPr>
              <w:t>25/5</w:t>
            </w:r>
          </w:p>
        </w:tc>
        <w:tc>
          <w:tcPr>
            <w:tcW w:type="dxa" w:w="1218"/>
            <w:vAlign w:val="center"/>
          </w:tcPr>
          <w:p>
            <w:r>
              <w:rPr>
                <w:sz w:val="16"/>
              </w:rPr>
              <w:t>105</w:t>
            </w:r>
          </w:p>
        </w:tc>
        <w:tc>
          <w:tcPr>
            <w:tcW w:type="dxa" w:w="1218"/>
            <w:vAlign w:val="center"/>
          </w:tcPr>
          <w:p>
            <w:r>
              <w:rPr>
                <w:sz w:val="16"/>
              </w:rPr>
              <w:t>10</w:t>
            </w:r>
          </w:p>
        </w:tc>
        <w:tc>
          <w:tcPr>
            <w:tcW w:type="dxa" w:w="1218"/>
            <w:vAlign w:val="center"/>
          </w:tcPr>
          <w:p>
            <w:r>
              <w:rPr>
                <w:sz w:val="16"/>
              </w:rPr>
              <w:t>40/65</w:t>
            </w:r>
          </w:p>
        </w:tc>
      </w:tr>
      <w:tr>
        <w:trPr>
          <w:cantSplit/>
        </w:trPr>
        <w:tc>
          <w:tcPr>
            <w:tcW w:type="dxa" w:w="1218"/>
            <w:vAlign w:val="center"/>
          </w:tcPr>
          <w:p>
            <w:r>
              <w:rPr>
                <w:sz w:val="16"/>
              </w:rPr>
              <w:t>READ–APC</w:t>
            </w:r>
          </w:p>
        </w:tc>
        <w:tc>
          <w:tcPr>
            <w:tcW w:type="dxa" w:w="1218"/>
            <w:vAlign w:val="center"/>
          </w:tcPr>
          <w:p>
            <w:r>
              <w:rPr>
                <w:sz w:val="16"/>
              </w:rPr>
              <w:t>4</w:t>
            </w:r>
          </w:p>
        </w:tc>
        <w:tc>
          <w:tcPr>
            <w:tcW w:type="dxa" w:w="1218"/>
            <w:vAlign w:val="center"/>
          </w:tcPr>
          <w:p>
            <w:r>
              <w:rPr>
                <w:sz w:val="16"/>
              </w:rPr>
              <w:t>25</w:t>
            </w:r>
          </w:p>
        </w:tc>
        <w:tc>
          <w:tcPr>
            <w:tcW w:type="dxa" w:w="1218"/>
            <w:vAlign w:val="center"/>
          </w:tcPr>
          <w:p>
            <w:r>
              <w:rPr>
                <w:sz w:val="16"/>
              </w:rPr>
              <w:t>2</w:t>
            </w:r>
          </w:p>
        </w:tc>
        <w:tc>
          <w:tcPr>
            <w:tcW w:type="dxa" w:w="1218"/>
            <w:vAlign w:val="center"/>
          </w:tcPr>
          <w:p>
            <w:r>
              <w:rPr>
                <w:sz w:val="16"/>
              </w:rPr>
              <w:t>15/10</w:t>
            </w:r>
          </w:p>
        </w:tc>
        <w:tc>
          <w:tcPr>
            <w:tcW w:type="dxa" w:w="1218"/>
            <w:vAlign w:val="center"/>
          </w:tcPr>
          <w:p>
            <w:r>
              <w:rPr>
                <w:sz w:val="16"/>
              </w:rPr>
              <w:t>110</w:t>
            </w:r>
          </w:p>
        </w:tc>
        <w:tc>
          <w:tcPr>
            <w:tcW w:type="dxa" w:w="1218"/>
            <w:vAlign w:val="center"/>
          </w:tcPr>
          <w:p>
            <w:r>
              <w:rPr>
                <w:sz w:val="16"/>
              </w:rPr>
              <w:t>11</w:t>
            </w:r>
          </w:p>
        </w:tc>
        <w:tc>
          <w:tcPr>
            <w:tcW w:type="dxa" w:w="1218"/>
            <w:vAlign w:val="center"/>
          </w:tcPr>
          <w:p>
            <w:r>
              <w:rPr>
                <w:sz w:val="16"/>
              </w:rPr>
              <w:t>50/60</w:t>
            </w:r>
          </w:p>
        </w:tc>
      </w:tr>
      <w:tr>
        <w:trPr>
          <w:cantSplit/>
        </w:trPr>
        <w:tc>
          <w:tcPr>
            <w:tcW w:type="dxa" w:w="1218"/>
            <w:vAlign w:val="center"/>
          </w:tcPr>
          <w:p>
            <w:r>
              <w:rPr>
                <w:sz w:val="16"/>
              </w:rPr>
              <w:t>READ–APC</w:t>
            </w:r>
          </w:p>
        </w:tc>
        <w:tc>
          <w:tcPr>
            <w:tcW w:type="dxa" w:w="1218"/>
            <w:vAlign w:val="center"/>
          </w:tcPr>
          <w:p>
            <w:r>
              <w:rPr>
                <w:sz w:val="16"/>
              </w:rPr>
              <w:t>5</w:t>
            </w:r>
          </w:p>
        </w:tc>
        <w:tc>
          <w:tcPr>
            <w:tcW w:type="dxa" w:w="1218"/>
            <w:vAlign w:val="center"/>
          </w:tcPr>
          <w:p>
            <w:r>
              <w:rPr>
                <w:sz w:val="16"/>
              </w:rPr>
              <w:t>65</w:t>
            </w:r>
          </w:p>
        </w:tc>
        <w:tc>
          <w:tcPr>
            <w:tcW w:type="dxa" w:w="1218"/>
            <w:vAlign w:val="center"/>
          </w:tcPr>
          <w:p>
            <w:r>
              <w:rPr>
                <w:sz w:val="16"/>
              </w:rPr>
              <w:t>2</w:t>
            </w:r>
          </w:p>
        </w:tc>
        <w:tc>
          <w:tcPr>
            <w:tcW w:type="dxa" w:w="1218"/>
            <w:vAlign w:val="center"/>
          </w:tcPr>
          <w:p>
            <w:r>
              <w:rPr>
                <w:sz w:val="16"/>
              </w:rPr>
              <w:t>12/53</w:t>
            </w:r>
          </w:p>
        </w:tc>
        <w:tc>
          <w:tcPr>
            <w:tcW w:type="dxa" w:w="1218"/>
            <w:vAlign w:val="center"/>
          </w:tcPr>
          <w:p>
            <w:r>
              <w:rPr>
                <w:sz w:val="16"/>
              </w:rPr>
              <w:t>70</w:t>
            </w:r>
          </w:p>
        </w:tc>
        <w:tc>
          <w:tcPr>
            <w:tcW w:type="dxa" w:w="1218"/>
            <w:vAlign w:val="center"/>
          </w:tcPr>
          <w:p>
            <w:r>
              <w:rPr>
                <w:sz w:val="16"/>
              </w:rPr>
              <w:t>11</w:t>
            </w:r>
          </w:p>
        </w:tc>
        <w:tc>
          <w:tcPr>
            <w:tcW w:type="dxa" w:w="1218"/>
            <w:vAlign w:val="center"/>
          </w:tcPr>
          <w:p>
            <w:r>
              <w:rPr>
                <w:sz w:val="16"/>
              </w:rPr>
              <w:t>53/17</w:t>
            </w:r>
          </w:p>
        </w:tc>
      </w:tr>
    </w:tbl>
    <w:p/>
    <w:p>
      <w:pPr>
        <w:pStyle w:val="Heading1"/>
      </w:pPr>
      <w:r>
        <w:t>Table S10d. Within-cancer prediction of TCGA tissue-source site from TITAN representations</w:t>
      </w:r>
    </w:p>
    <w:p>
      <w:r>
        <w:t>Sites with fewer than 10 patients were excluded only from this dedicated confounding analysis. Macro balanced accuracy is the mean per-site recall; its chance reference is 1/k for k analysed sites. Good site prediction demonstrates that the representation carries submitting-site information, but tissue-source site is not a complete scanner, laboratory or staining-batch identifier.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Eligible</w:t>
            </w:r>
          </w:p>
        </w:tc>
        <w:tc>
          <w:tcPr>
            <w:tcW w:type="dxa" w:w="1218"/>
          </w:tcPr>
          <w:p>
            <w:r>
              <w:rPr>
                <w:b/>
                <w:sz w:val="17"/>
              </w:rPr>
              <w:t>Analysed patients</w:t>
            </w:r>
          </w:p>
        </w:tc>
        <w:tc>
          <w:tcPr>
            <w:tcW w:type="dxa" w:w="1218"/>
          </w:tcPr>
          <w:p>
            <w:r>
              <w:rPr>
                <w:b/>
                <w:sz w:val="17"/>
              </w:rPr>
              <w:t>Analysed sites</w:t>
            </w:r>
          </w:p>
        </w:tc>
        <w:tc>
          <w:tcPr>
            <w:tcW w:type="dxa" w:w="1218"/>
          </w:tcPr>
          <w:p>
            <w:r>
              <w:rPr>
                <w:b/>
                <w:sz w:val="17"/>
              </w:rPr>
              <w:t>Macro BA, mean (SD)</w:t>
            </w:r>
          </w:p>
        </w:tc>
        <w:tc>
          <w:tcPr>
            <w:tcW w:type="dxa" w:w="1218"/>
          </w:tcPr>
          <w:p>
            <w:r>
              <w:rPr>
                <w:b/>
                <w:sz w:val="17"/>
              </w:rPr>
              <w:t>Chance 1/k</w:t>
            </w:r>
          </w:p>
        </w:tc>
        <w:tc>
          <w:tcPr>
            <w:tcW w:type="dxa" w:w="1218"/>
          </w:tcPr>
          <w:p>
            <w:r>
              <w:rPr>
                <w:b/>
                <w:sz w:val="17"/>
              </w:rPr>
              <w:t>Chance-normalised BA</w:t>
            </w:r>
          </w:p>
        </w:tc>
        <w:tc>
          <w:tcPr>
            <w:tcW w:type="dxa" w:w="1218"/>
          </w:tcPr>
          <w:p>
            <w:r>
              <w:rPr>
                <w:b/>
                <w:sz w:val="17"/>
              </w:rPr>
              <w:t>Reason if ineligible</w:t>
            </w:r>
          </w:p>
        </w:tc>
      </w:tr>
      <w:tr>
        <w:trPr>
          <w:cantSplit/>
        </w:trPr>
        <w:tc>
          <w:tcPr>
            <w:tcW w:type="dxa" w:w="1218"/>
            <w:vAlign w:val="center"/>
          </w:tcPr>
          <w:p>
            <w:r>
              <w:rPr>
                <w:sz w:val="16"/>
              </w:rPr>
              <w:t>ACC</w:t>
            </w:r>
          </w:p>
        </w:tc>
        <w:tc>
          <w:tcPr>
            <w:tcW w:type="dxa" w:w="1218"/>
            <w:vAlign w:val="center"/>
          </w:tcPr>
          <w:p>
            <w:r>
              <w:rPr>
                <w:sz w:val="16"/>
              </w:rPr>
              <w:t>FALSE</w:t>
            </w:r>
          </w:p>
        </w:tc>
        <w:tc>
          <w:tcPr>
            <w:tcW w:type="dxa" w:w="1218"/>
            <w:vAlign w:val="center"/>
          </w:tcPr>
          <w:p>
            <w:r>
              <w:rPr>
                <w:sz w:val="16"/>
              </w:rPr>
              <w:t>48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BLCA</w:t>
            </w:r>
          </w:p>
        </w:tc>
        <w:tc>
          <w:tcPr>
            <w:tcW w:type="dxa" w:w="1218"/>
            <w:vAlign w:val="center"/>
          </w:tcPr>
          <w:p>
            <w:r>
              <w:rPr>
                <w:sz w:val="16"/>
              </w:rPr>
              <w:t>TRUE</w:t>
            </w:r>
          </w:p>
        </w:tc>
        <w:tc>
          <w:tcPr>
            <w:tcW w:type="dxa" w:w="1218"/>
            <w:vAlign w:val="center"/>
          </w:tcPr>
          <w:p>
            <w:r>
              <w:rPr>
                <w:sz w:val="16"/>
              </w:rPr>
              <w:t>324</w:t>
            </w:r>
          </w:p>
        </w:tc>
        <w:tc>
          <w:tcPr>
            <w:tcW w:type="dxa" w:w="1218"/>
            <w:vAlign w:val="center"/>
          </w:tcPr>
          <w:p>
            <w:r>
              <w:rPr>
                <w:sz w:val="16"/>
              </w:rPr>
              <w:t>14</w:t>
            </w:r>
          </w:p>
        </w:tc>
        <w:tc>
          <w:tcPr>
            <w:tcW w:type="dxa" w:w="1218"/>
            <w:vAlign w:val="center"/>
          </w:tcPr>
          <w:p>
            <w:r>
              <w:rPr>
                <w:sz w:val="16"/>
              </w:rPr>
              <w:t>0.425 (0.015)</w:t>
            </w:r>
          </w:p>
        </w:tc>
        <w:tc>
          <w:tcPr>
            <w:tcW w:type="dxa" w:w="1218"/>
            <w:vAlign w:val="center"/>
          </w:tcPr>
          <w:p>
            <w:r>
              <w:rPr>
                <w:sz w:val="16"/>
              </w:rPr>
              <w:t>0.071</w:t>
            </w:r>
          </w:p>
        </w:tc>
        <w:tc>
          <w:tcPr>
            <w:tcW w:type="dxa" w:w="1218"/>
            <w:vAlign w:val="center"/>
          </w:tcPr>
          <w:p>
            <w:r>
              <w:rPr>
                <w:sz w:val="16"/>
              </w:rPr>
              <w:t>0.381</w:t>
            </w:r>
          </w:p>
        </w:tc>
        <w:tc>
          <w:tcPr>
            <w:tcW w:type="dxa" w:w="1218"/>
            <w:vAlign w:val="center"/>
          </w:tcPr>
          <w:p>
            <w:r>
              <w:rPr>
                <w:sz w:val="16"/>
              </w:rPr>
            </w:r>
          </w:p>
        </w:tc>
      </w:tr>
      <w:tr>
        <w:trPr>
          <w:cantSplit/>
        </w:trPr>
        <w:tc>
          <w:tcPr>
            <w:tcW w:type="dxa" w:w="1218"/>
            <w:vAlign w:val="center"/>
          </w:tcPr>
          <w:p>
            <w:r>
              <w:rPr>
                <w:sz w:val="16"/>
              </w:rPr>
              <w:t>BRCA</w:t>
            </w:r>
          </w:p>
        </w:tc>
        <w:tc>
          <w:tcPr>
            <w:tcW w:type="dxa" w:w="1218"/>
            <w:vAlign w:val="center"/>
          </w:tcPr>
          <w:p>
            <w:r>
              <w:rPr>
                <w:sz w:val="16"/>
              </w:rPr>
              <w:t>TRUE</w:t>
            </w:r>
          </w:p>
        </w:tc>
        <w:tc>
          <w:tcPr>
            <w:tcW w:type="dxa" w:w="1218"/>
            <w:vAlign w:val="center"/>
          </w:tcPr>
          <w:p>
            <w:r>
              <w:rPr>
                <w:sz w:val="16"/>
              </w:rPr>
              <w:t>1010</w:t>
            </w:r>
          </w:p>
        </w:tc>
        <w:tc>
          <w:tcPr>
            <w:tcW w:type="dxa" w:w="1218"/>
            <w:vAlign w:val="center"/>
          </w:tcPr>
          <w:p>
            <w:r>
              <w:rPr>
                <w:sz w:val="16"/>
              </w:rPr>
              <w:t>19</w:t>
            </w:r>
          </w:p>
        </w:tc>
        <w:tc>
          <w:tcPr>
            <w:tcW w:type="dxa" w:w="1218"/>
            <w:vAlign w:val="center"/>
          </w:tcPr>
          <w:p>
            <w:r>
              <w:rPr>
                <w:sz w:val="16"/>
              </w:rPr>
              <w:t>0.460 (0.004)</w:t>
            </w:r>
          </w:p>
        </w:tc>
        <w:tc>
          <w:tcPr>
            <w:tcW w:type="dxa" w:w="1218"/>
            <w:vAlign w:val="center"/>
          </w:tcPr>
          <w:p>
            <w:r>
              <w:rPr>
                <w:sz w:val="16"/>
              </w:rPr>
              <w:t>0.053</w:t>
            </w:r>
          </w:p>
        </w:tc>
        <w:tc>
          <w:tcPr>
            <w:tcW w:type="dxa" w:w="1218"/>
            <w:vAlign w:val="center"/>
          </w:tcPr>
          <w:p>
            <w:r>
              <w:rPr>
                <w:sz w:val="16"/>
              </w:rPr>
              <w:t>0.430</w:t>
            </w:r>
          </w:p>
        </w:tc>
        <w:tc>
          <w:tcPr>
            <w:tcW w:type="dxa" w:w="1218"/>
            <w:vAlign w:val="center"/>
          </w:tcPr>
          <w:p>
            <w:r>
              <w:rPr>
                <w:sz w:val="16"/>
              </w:rPr>
            </w:r>
          </w:p>
        </w:tc>
      </w:tr>
      <w:tr>
        <w:trPr>
          <w:cantSplit/>
        </w:trPr>
        <w:tc>
          <w:tcPr>
            <w:tcW w:type="dxa" w:w="1218"/>
            <w:vAlign w:val="center"/>
          </w:tcPr>
          <w:p>
            <w:r>
              <w:rPr>
                <w:sz w:val="16"/>
              </w:rPr>
              <w:t>CESC</w:t>
            </w:r>
          </w:p>
        </w:tc>
        <w:tc>
          <w:tcPr>
            <w:tcW w:type="dxa" w:w="1218"/>
            <w:vAlign w:val="center"/>
          </w:tcPr>
          <w:p>
            <w:r>
              <w:rPr>
                <w:sz w:val="16"/>
              </w:rPr>
              <w:t>TRUE</w:t>
            </w:r>
          </w:p>
        </w:tc>
        <w:tc>
          <w:tcPr>
            <w:tcW w:type="dxa" w:w="1218"/>
            <w:vAlign w:val="center"/>
          </w:tcPr>
          <w:p>
            <w:r>
              <w:rPr>
                <w:sz w:val="16"/>
              </w:rPr>
              <w:t>194</w:t>
            </w:r>
          </w:p>
        </w:tc>
        <w:tc>
          <w:tcPr>
            <w:tcW w:type="dxa" w:w="1218"/>
            <w:vAlign w:val="center"/>
          </w:tcPr>
          <w:p>
            <w:r>
              <w:rPr>
                <w:sz w:val="16"/>
              </w:rPr>
              <w:t>7</w:t>
            </w:r>
          </w:p>
        </w:tc>
        <w:tc>
          <w:tcPr>
            <w:tcW w:type="dxa" w:w="1218"/>
            <w:vAlign w:val="center"/>
          </w:tcPr>
          <w:p>
            <w:r>
              <w:rPr>
                <w:sz w:val="16"/>
              </w:rPr>
              <w:t>0.632 (0.026)</w:t>
            </w:r>
          </w:p>
        </w:tc>
        <w:tc>
          <w:tcPr>
            <w:tcW w:type="dxa" w:w="1218"/>
            <w:vAlign w:val="center"/>
          </w:tcPr>
          <w:p>
            <w:r>
              <w:rPr>
                <w:sz w:val="16"/>
              </w:rPr>
              <w:t>0.143</w:t>
            </w:r>
          </w:p>
        </w:tc>
        <w:tc>
          <w:tcPr>
            <w:tcW w:type="dxa" w:w="1218"/>
            <w:vAlign w:val="center"/>
          </w:tcPr>
          <w:p>
            <w:r>
              <w:rPr>
                <w:sz w:val="16"/>
              </w:rPr>
              <w:t>0.571</w:t>
            </w:r>
          </w:p>
        </w:tc>
        <w:tc>
          <w:tcPr>
            <w:tcW w:type="dxa" w:w="1218"/>
            <w:vAlign w:val="center"/>
          </w:tcPr>
          <w:p>
            <w:r>
              <w:rPr>
                <w:sz w:val="16"/>
              </w:rPr>
            </w:r>
          </w:p>
        </w:tc>
      </w:tr>
      <w:tr>
        <w:trPr>
          <w:cantSplit/>
        </w:trPr>
        <w:tc>
          <w:tcPr>
            <w:tcW w:type="dxa" w:w="1218"/>
            <w:vAlign w:val="center"/>
          </w:tcPr>
          <w:p>
            <w:r>
              <w:rPr>
                <w:sz w:val="16"/>
              </w:rPr>
              <w:t>CHOL</w:t>
            </w:r>
          </w:p>
        </w:tc>
        <w:tc>
          <w:tcPr>
            <w:tcW w:type="dxa" w:w="1218"/>
            <w:vAlign w:val="center"/>
          </w:tcPr>
          <w:p>
            <w:r>
              <w:rPr>
                <w:sz w:val="16"/>
              </w:rPr>
              <w:t>FALSE</w:t>
            </w:r>
          </w:p>
        </w:tc>
        <w:tc>
          <w:tcPr>
            <w:tcW w:type="dxa" w:w="1218"/>
            <w:vAlign w:val="center"/>
          </w:tcPr>
          <w:p>
            <w:r>
              <w:rPr>
                <w:sz w:val="16"/>
              </w:rPr>
              <w:t>18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COAD</w:t>
            </w:r>
          </w:p>
        </w:tc>
        <w:tc>
          <w:tcPr>
            <w:tcW w:type="dxa" w:w="1218"/>
            <w:vAlign w:val="center"/>
          </w:tcPr>
          <w:p>
            <w:r>
              <w:rPr>
                <w:sz w:val="16"/>
              </w:rPr>
              <w:t>TRUE</w:t>
            </w:r>
          </w:p>
        </w:tc>
        <w:tc>
          <w:tcPr>
            <w:tcW w:type="dxa" w:w="1218"/>
            <w:vAlign w:val="center"/>
          </w:tcPr>
          <w:p>
            <w:r>
              <w:rPr>
                <w:sz w:val="16"/>
              </w:rPr>
              <w:t>404</w:t>
            </w:r>
          </w:p>
        </w:tc>
        <w:tc>
          <w:tcPr>
            <w:tcW w:type="dxa" w:w="1218"/>
            <w:vAlign w:val="center"/>
          </w:tcPr>
          <w:p>
            <w:r>
              <w:rPr>
                <w:sz w:val="16"/>
              </w:rPr>
              <w:t>12</w:t>
            </w:r>
          </w:p>
        </w:tc>
        <w:tc>
          <w:tcPr>
            <w:tcW w:type="dxa" w:w="1218"/>
            <w:vAlign w:val="center"/>
          </w:tcPr>
          <w:p>
            <w:r>
              <w:rPr>
                <w:sz w:val="16"/>
              </w:rPr>
              <w:t>0.598 (0.022)</w:t>
            </w:r>
          </w:p>
        </w:tc>
        <w:tc>
          <w:tcPr>
            <w:tcW w:type="dxa" w:w="1218"/>
            <w:vAlign w:val="center"/>
          </w:tcPr>
          <w:p>
            <w:r>
              <w:rPr>
                <w:sz w:val="16"/>
              </w:rPr>
              <w:t>0.083</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DLBC</w:t>
            </w:r>
          </w:p>
        </w:tc>
        <w:tc>
          <w:tcPr>
            <w:tcW w:type="dxa" w:w="1218"/>
            <w:vAlign w:val="center"/>
          </w:tcPr>
          <w:p>
            <w:r>
              <w:rPr>
                <w:sz w:val="16"/>
              </w:rPr>
              <w:t>FALSE</w:t>
            </w:r>
          </w:p>
        </w:tc>
        <w:tc>
          <w:tcPr>
            <w:tcW w:type="dxa" w:w="1218"/>
            <w:vAlign w:val="center"/>
          </w:tcPr>
          <w:p>
            <w:r>
              <w:rPr>
                <w:sz w:val="16"/>
              </w:rPr>
              <w:t>10</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ESCA</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7</w:t>
            </w:r>
          </w:p>
        </w:tc>
        <w:tc>
          <w:tcPr>
            <w:tcW w:type="dxa" w:w="1218"/>
            <w:vAlign w:val="center"/>
          </w:tcPr>
          <w:p>
            <w:r>
              <w:rPr>
                <w:sz w:val="16"/>
              </w:rPr>
              <w:t>0.861 (0.011)</w:t>
            </w:r>
          </w:p>
        </w:tc>
        <w:tc>
          <w:tcPr>
            <w:tcW w:type="dxa" w:w="1218"/>
            <w:vAlign w:val="center"/>
          </w:tcPr>
          <w:p>
            <w:r>
              <w:rPr>
                <w:sz w:val="16"/>
              </w:rPr>
              <w:t>0.143</w:t>
            </w:r>
          </w:p>
        </w:tc>
        <w:tc>
          <w:tcPr>
            <w:tcW w:type="dxa" w:w="1218"/>
            <w:vAlign w:val="center"/>
          </w:tcPr>
          <w:p>
            <w:r>
              <w:rPr>
                <w:sz w:val="16"/>
              </w:rPr>
              <w:t>0.837</w:t>
            </w:r>
          </w:p>
        </w:tc>
        <w:tc>
          <w:tcPr>
            <w:tcW w:type="dxa" w:w="1218"/>
            <w:vAlign w:val="center"/>
          </w:tcPr>
          <w:p>
            <w:r>
              <w:rPr>
                <w:sz w:val="16"/>
              </w:rPr>
            </w:r>
          </w:p>
        </w:tc>
      </w:tr>
      <w:tr>
        <w:trPr>
          <w:cantSplit/>
        </w:trPr>
        <w:tc>
          <w:tcPr>
            <w:tcW w:type="dxa" w:w="1218"/>
            <w:vAlign w:val="center"/>
          </w:tcPr>
          <w:p>
            <w:r>
              <w:rPr>
                <w:sz w:val="16"/>
              </w:rPr>
              <w:t>GBM</w:t>
            </w:r>
          </w:p>
        </w:tc>
        <w:tc>
          <w:tcPr>
            <w:tcW w:type="dxa" w:w="1218"/>
            <w:vAlign w:val="center"/>
          </w:tcPr>
          <w:p>
            <w:r>
              <w:rPr>
                <w:sz w:val="16"/>
              </w:rPr>
              <w:t>TRUE</w:t>
            </w:r>
          </w:p>
        </w:tc>
        <w:tc>
          <w:tcPr>
            <w:tcW w:type="dxa" w:w="1218"/>
            <w:vAlign w:val="center"/>
          </w:tcPr>
          <w:p>
            <w:r>
              <w:rPr>
                <w:sz w:val="16"/>
              </w:rPr>
              <w:t>351</w:t>
            </w:r>
          </w:p>
        </w:tc>
        <w:tc>
          <w:tcPr>
            <w:tcW w:type="dxa" w:w="1218"/>
            <w:vAlign w:val="center"/>
          </w:tcPr>
          <w:p>
            <w:r>
              <w:rPr>
                <w:sz w:val="16"/>
              </w:rPr>
              <w:t>8</w:t>
            </w:r>
          </w:p>
        </w:tc>
        <w:tc>
          <w:tcPr>
            <w:tcW w:type="dxa" w:w="1218"/>
            <w:vAlign w:val="center"/>
          </w:tcPr>
          <w:p>
            <w:r>
              <w:rPr>
                <w:sz w:val="16"/>
              </w:rPr>
              <w:t>0.667 (0.022)</w:t>
            </w:r>
          </w:p>
        </w:tc>
        <w:tc>
          <w:tcPr>
            <w:tcW w:type="dxa" w:w="1218"/>
            <w:vAlign w:val="center"/>
          </w:tcPr>
          <w:p>
            <w:r>
              <w:rPr>
                <w:sz w:val="16"/>
              </w:rPr>
              <w:t>0.125</w:t>
            </w:r>
          </w:p>
        </w:tc>
        <w:tc>
          <w:tcPr>
            <w:tcW w:type="dxa" w:w="1218"/>
            <w:vAlign w:val="center"/>
          </w:tcPr>
          <w:p>
            <w:r>
              <w:rPr>
                <w:sz w:val="16"/>
              </w:rPr>
              <w:t>0.619</w:t>
            </w:r>
          </w:p>
        </w:tc>
        <w:tc>
          <w:tcPr>
            <w:tcW w:type="dxa" w:w="1218"/>
            <w:vAlign w:val="center"/>
          </w:tcPr>
          <w:p>
            <w:r>
              <w:rPr>
                <w:sz w:val="16"/>
              </w:rPr>
            </w:r>
          </w:p>
        </w:tc>
      </w:tr>
      <w:tr>
        <w:trPr>
          <w:cantSplit/>
        </w:trPr>
        <w:tc>
          <w:tcPr>
            <w:tcW w:type="dxa" w:w="1218"/>
            <w:vAlign w:val="center"/>
          </w:tcPr>
          <w:p>
            <w:r>
              <w:rPr>
                <w:sz w:val="16"/>
              </w:rPr>
              <w:t>HNSC</w:t>
            </w:r>
          </w:p>
        </w:tc>
        <w:tc>
          <w:tcPr>
            <w:tcW w:type="dxa" w:w="1218"/>
            <w:vAlign w:val="center"/>
          </w:tcPr>
          <w:p>
            <w:r>
              <w:rPr>
                <w:sz w:val="16"/>
              </w:rPr>
              <w:t>TRUE</w:t>
            </w:r>
          </w:p>
        </w:tc>
        <w:tc>
          <w:tcPr>
            <w:tcW w:type="dxa" w:w="1218"/>
            <w:vAlign w:val="center"/>
          </w:tcPr>
          <w:p>
            <w:r>
              <w:rPr>
                <w:sz w:val="16"/>
              </w:rPr>
              <w:t>412</w:t>
            </w:r>
          </w:p>
        </w:tc>
        <w:tc>
          <w:tcPr>
            <w:tcW w:type="dxa" w:w="1218"/>
            <w:vAlign w:val="center"/>
          </w:tcPr>
          <w:p>
            <w:r>
              <w:rPr>
                <w:sz w:val="16"/>
              </w:rPr>
              <w:t>13</w:t>
            </w:r>
          </w:p>
        </w:tc>
        <w:tc>
          <w:tcPr>
            <w:tcW w:type="dxa" w:w="1218"/>
            <w:vAlign w:val="center"/>
          </w:tcPr>
          <w:p>
            <w:r>
              <w:rPr>
                <w:sz w:val="16"/>
              </w:rPr>
              <w:t>0.454 (0.013)</w:t>
            </w:r>
          </w:p>
        </w:tc>
        <w:tc>
          <w:tcPr>
            <w:tcW w:type="dxa" w:w="1218"/>
            <w:vAlign w:val="center"/>
          </w:tcPr>
          <w:p>
            <w:r>
              <w:rPr>
                <w:sz w:val="16"/>
              </w:rPr>
              <w:t>0.077</w:t>
            </w:r>
          </w:p>
        </w:tc>
        <w:tc>
          <w:tcPr>
            <w:tcW w:type="dxa" w:w="1218"/>
            <w:vAlign w:val="center"/>
          </w:tcPr>
          <w:p>
            <w:r>
              <w:rPr>
                <w:sz w:val="16"/>
              </w:rPr>
              <w:t>0.408</w:t>
            </w:r>
          </w:p>
        </w:tc>
        <w:tc>
          <w:tcPr>
            <w:tcW w:type="dxa" w:w="1218"/>
            <w:vAlign w:val="center"/>
          </w:tcPr>
          <w:p>
            <w:r>
              <w:rPr>
                <w:sz w:val="16"/>
              </w:rPr>
            </w:r>
          </w:p>
        </w:tc>
      </w:tr>
      <w:tr>
        <w:trPr>
          <w:cantSplit/>
        </w:trPr>
        <w:tc>
          <w:tcPr>
            <w:tcW w:type="dxa" w:w="1218"/>
            <w:vAlign w:val="center"/>
          </w:tcPr>
          <w:p>
            <w:r>
              <w:rPr>
                <w:sz w:val="16"/>
              </w:rPr>
              <w:t>KICH</w:t>
            </w:r>
          </w:p>
        </w:tc>
        <w:tc>
          <w:tcPr>
            <w:tcW w:type="dxa" w:w="1218"/>
            <w:vAlign w:val="center"/>
          </w:tcPr>
          <w:p>
            <w:r>
              <w:rPr>
                <w:sz w:val="16"/>
              </w:rPr>
              <w:t>TRUE</w:t>
            </w:r>
          </w:p>
        </w:tc>
        <w:tc>
          <w:tcPr>
            <w:tcW w:type="dxa" w:w="1218"/>
            <w:vAlign w:val="center"/>
          </w:tcPr>
          <w:p>
            <w:r>
              <w:rPr>
                <w:sz w:val="16"/>
              </w:rPr>
              <w:t>101</w:t>
            </w:r>
          </w:p>
        </w:tc>
        <w:tc>
          <w:tcPr>
            <w:tcW w:type="dxa" w:w="1218"/>
            <w:vAlign w:val="center"/>
          </w:tcPr>
          <w:p>
            <w:r>
              <w:rPr>
                <w:sz w:val="16"/>
              </w:rPr>
              <w:t>5</w:t>
            </w:r>
          </w:p>
        </w:tc>
        <w:tc>
          <w:tcPr>
            <w:tcW w:type="dxa" w:w="1218"/>
            <w:vAlign w:val="center"/>
          </w:tcPr>
          <w:p>
            <w:r>
              <w:rPr>
                <w:sz w:val="16"/>
              </w:rPr>
              <w:t>0.688 (0.037)</w:t>
            </w:r>
          </w:p>
        </w:tc>
        <w:tc>
          <w:tcPr>
            <w:tcW w:type="dxa" w:w="1218"/>
            <w:vAlign w:val="center"/>
          </w:tcPr>
          <w:p>
            <w:r>
              <w:rPr>
                <w:sz w:val="16"/>
              </w:rPr>
              <w:t>0.200</w:t>
            </w:r>
          </w:p>
        </w:tc>
        <w:tc>
          <w:tcPr>
            <w:tcW w:type="dxa" w:w="1218"/>
            <w:vAlign w:val="center"/>
          </w:tcPr>
          <w:p>
            <w:r>
              <w:rPr>
                <w:sz w:val="16"/>
              </w:rPr>
              <w:t>0.610</w:t>
            </w:r>
          </w:p>
        </w:tc>
        <w:tc>
          <w:tcPr>
            <w:tcW w:type="dxa" w:w="1218"/>
            <w:vAlign w:val="center"/>
          </w:tcPr>
          <w:p>
            <w:r>
              <w:rPr>
                <w:sz w:val="16"/>
              </w:rPr>
            </w:r>
          </w:p>
        </w:tc>
      </w:tr>
      <w:tr>
        <w:trPr>
          <w:cantSplit/>
        </w:trPr>
        <w:tc>
          <w:tcPr>
            <w:tcW w:type="dxa" w:w="1218"/>
            <w:vAlign w:val="center"/>
          </w:tcPr>
          <w:p>
            <w:r>
              <w:rPr>
                <w:sz w:val="16"/>
              </w:rPr>
              <w:t>KIRC</w:t>
            </w:r>
          </w:p>
        </w:tc>
        <w:tc>
          <w:tcPr>
            <w:tcW w:type="dxa" w:w="1218"/>
            <w:vAlign w:val="center"/>
          </w:tcPr>
          <w:p>
            <w:r>
              <w:rPr>
                <w:sz w:val="16"/>
              </w:rPr>
              <w:t>TRUE</w:t>
            </w:r>
          </w:p>
        </w:tc>
        <w:tc>
          <w:tcPr>
            <w:tcW w:type="dxa" w:w="1218"/>
            <w:vAlign w:val="center"/>
          </w:tcPr>
          <w:p>
            <w:r>
              <w:rPr>
                <w:sz w:val="16"/>
              </w:rPr>
              <w:t>488</w:t>
            </w:r>
          </w:p>
        </w:tc>
        <w:tc>
          <w:tcPr>
            <w:tcW w:type="dxa" w:w="1218"/>
            <w:vAlign w:val="center"/>
          </w:tcPr>
          <w:p>
            <w:r>
              <w:rPr>
                <w:sz w:val="16"/>
              </w:rPr>
              <w:t>9</w:t>
            </w:r>
          </w:p>
        </w:tc>
        <w:tc>
          <w:tcPr>
            <w:tcW w:type="dxa" w:w="1218"/>
            <w:vAlign w:val="center"/>
          </w:tcPr>
          <w:p>
            <w:r>
              <w:rPr>
                <w:sz w:val="16"/>
              </w:rPr>
              <w:t>0.609 (0.032)</w:t>
            </w:r>
          </w:p>
        </w:tc>
        <w:tc>
          <w:tcPr>
            <w:tcW w:type="dxa" w:w="1218"/>
            <w:vAlign w:val="center"/>
          </w:tcPr>
          <w:p>
            <w:r>
              <w:rPr>
                <w:sz w:val="16"/>
              </w:rPr>
              <w:t>0.111</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KIRP</w:t>
            </w:r>
          </w:p>
        </w:tc>
        <w:tc>
          <w:tcPr>
            <w:tcW w:type="dxa" w:w="1218"/>
            <w:vAlign w:val="center"/>
          </w:tcPr>
          <w:p>
            <w:r>
              <w:rPr>
                <w:sz w:val="16"/>
              </w:rPr>
              <w:t>TRUE</w:t>
            </w:r>
          </w:p>
        </w:tc>
        <w:tc>
          <w:tcPr>
            <w:tcW w:type="dxa" w:w="1218"/>
            <w:vAlign w:val="center"/>
          </w:tcPr>
          <w:p>
            <w:r>
              <w:rPr>
                <w:sz w:val="16"/>
              </w:rPr>
              <w:t>184</w:t>
            </w:r>
          </w:p>
        </w:tc>
        <w:tc>
          <w:tcPr>
            <w:tcW w:type="dxa" w:w="1218"/>
            <w:vAlign w:val="center"/>
          </w:tcPr>
          <w:p>
            <w:r>
              <w:rPr>
                <w:sz w:val="16"/>
              </w:rPr>
              <w:t>10</w:t>
            </w:r>
          </w:p>
        </w:tc>
        <w:tc>
          <w:tcPr>
            <w:tcW w:type="dxa" w:w="1218"/>
            <w:vAlign w:val="center"/>
          </w:tcPr>
          <w:p>
            <w:r>
              <w:rPr>
                <w:sz w:val="16"/>
              </w:rPr>
              <w:t>0.600 (0.032)</w:t>
            </w:r>
          </w:p>
        </w:tc>
        <w:tc>
          <w:tcPr>
            <w:tcW w:type="dxa" w:w="1218"/>
            <w:vAlign w:val="center"/>
          </w:tcPr>
          <w:p>
            <w:r>
              <w:rPr>
                <w:sz w:val="16"/>
              </w:rPr>
              <w:t>0.100</w:t>
            </w:r>
          </w:p>
        </w:tc>
        <w:tc>
          <w:tcPr>
            <w:tcW w:type="dxa" w:w="1218"/>
            <w:vAlign w:val="center"/>
          </w:tcPr>
          <w:p>
            <w:r>
              <w:rPr>
                <w:sz w:val="16"/>
              </w:rPr>
              <w:t>0.555</w:t>
            </w:r>
          </w:p>
        </w:tc>
        <w:tc>
          <w:tcPr>
            <w:tcW w:type="dxa" w:w="1218"/>
            <w:vAlign w:val="center"/>
          </w:tcPr>
          <w:p>
            <w:r>
              <w:rPr>
                <w:sz w:val="16"/>
              </w:rPr>
            </w:r>
          </w:p>
        </w:tc>
      </w:tr>
      <w:tr>
        <w:trPr>
          <w:cantSplit/>
        </w:trPr>
        <w:tc>
          <w:tcPr>
            <w:tcW w:type="dxa" w:w="1218"/>
            <w:vAlign w:val="center"/>
          </w:tcPr>
          <w:p>
            <w:r>
              <w:rPr>
                <w:sz w:val="16"/>
              </w:rPr>
              <w:t>LGG</w:t>
            </w:r>
          </w:p>
        </w:tc>
        <w:tc>
          <w:tcPr>
            <w:tcW w:type="dxa" w:w="1218"/>
            <w:vAlign w:val="center"/>
          </w:tcPr>
          <w:p>
            <w:r>
              <w:rPr>
                <w:sz w:val="16"/>
              </w:rPr>
              <w:t>TRUE</w:t>
            </w:r>
          </w:p>
        </w:tc>
        <w:tc>
          <w:tcPr>
            <w:tcW w:type="dxa" w:w="1218"/>
            <w:vAlign w:val="center"/>
          </w:tcPr>
          <w:p>
            <w:r>
              <w:rPr>
                <w:sz w:val="16"/>
              </w:rPr>
              <w:t>451</w:t>
            </w:r>
          </w:p>
        </w:tc>
        <w:tc>
          <w:tcPr>
            <w:tcW w:type="dxa" w:w="1218"/>
            <w:vAlign w:val="center"/>
          </w:tcPr>
          <w:p>
            <w:r>
              <w:rPr>
                <w:sz w:val="16"/>
              </w:rPr>
              <w:t>13</w:t>
            </w:r>
          </w:p>
        </w:tc>
        <w:tc>
          <w:tcPr>
            <w:tcW w:type="dxa" w:w="1218"/>
            <w:vAlign w:val="center"/>
          </w:tcPr>
          <w:p>
            <w:r>
              <w:rPr>
                <w:sz w:val="16"/>
              </w:rPr>
              <w:t>0.539 (0.020)</w:t>
            </w:r>
          </w:p>
        </w:tc>
        <w:tc>
          <w:tcPr>
            <w:tcW w:type="dxa" w:w="1218"/>
            <w:vAlign w:val="center"/>
          </w:tcPr>
          <w:p>
            <w:r>
              <w:rPr>
                <w:sz w:val="16"/>
              </w:rPr>
              <w:t>0.077</w:t>
            </w:r>
          </w:p>
        </w:tc>
        <w:tc>
          <w:tcPr>
            <w:tcW w:type="dxa" w:w="1218"/>
            <w:vAlign w:val="center"/>
          </w:tcPr>
          <w:p>
            <w:r>
              <w:rPr>
                <w:sz w:val="16"/>
              </w:rPr>
              <w:t>0.501</w:t>
            </w:r>
          </w:p>
        </w:tc>
        <w:tc>
          <w:tcPr>
            <w:tcW w:type="dxa" w:w="1218"/>
            <w:vAlign w:val="center"/>
          </w:tcPr>
          <w:p>
            <w:r>
              <w:rPr>
                <w:sz w:val="16"/>
              </w:rPr>
            </w:r>
          </w:p>
        </w:tc>
      </w:tr>
      <w:tr>
        <w:trPr>
          <w:cantSplit/>
        </w:trPr>
        <w:tc>
          <w:tcPr>
            <w:tcW w:type="dxa" w:w="1218"/>
            <w:vAlign w:val="center"/>
          </w:tcPr>
          <w:p>
            <w:r>
              <w:rPr>
                <w:sz w:val="16"/>
              </w:rPr>
              <w:t>LIHC</w:t>
            </w:r>
          </w:p>
        </w:tc>
        <w:tc>
          <w:tcPr>
            <w:tcW w:type="dxa" w:w="1218"/>
            <w:vAlign w:val="center"/>
          </w:tcPr>
          <w:p>
            <w:r>
              <w:rPr>
                <w:sz w:val="16"/>
              </w:rPr>
              <w:t>TRUE</w:t>
            </w:r>
          </w:p>
        </w:tc>
        <w:tc>
          <w:tcPr>
            <w:tcW w:type="dxa" w:w="1218"/>
            <w:vAlign w:val="center"/>
          </w:tcPr>
          <w:p>
            <w:r>
              <w:rPr>
                <w:sz w:val="16"/>
              </w:rPr>
              <w:t>280</w:t>
            </w:r>
          </w:p>
        </w:tc>
        <w:tc>
          <w:tcPr>
            <w:tcW w:type="dxa" w:w="1218"/>
            <w:vAlign w:val="center"/>
          </w:tcPr>
          <w:p>
            <w:r>
              <w:rPr>
                <w:sz w:val="16"/>
              </w:rPr>
              <w:t>7</w:t>
            </w:r>
          </w:p>
        </w:tc>
        <w:tc>
          <w:tcPr>
            <w:tcW w:type="dxa" w:w="1218"/>
            <w:vAlign w:val="center"/>
          </w:tcPr>
          <w:p>
            <w:r>
              <w:rPr>
                <w:sz w:val="16"/>
              </w:rPr>
              <w:t>0.635 (0.025)</w:t>
            </w:r>
          </w:p>
        </w:tc>
        <w:tc>
          <w:tcPr>
            <w:tcW w:type="dxa" w:w="1218"/>
            <w:vAlign w:val="center"/>
          </w:tcPr>
          <w:p>
            <w:r>
              <w:rPr>
                <w:sz w:val="16"/>
              </w:rPr>
              <w:t>0.143</w:t>
            </w:r>
          </w:p>
        </w:tc>
        <w:tc>
          <w:tcPr>
            <w:tcW w:type="dxa" w:w="1218"/>
            <w:vAlign w:val="center"/>
          </w:tcPr>
          <w:p>
            <w:r>
              <w:rPr>
                <w:sz w:val="16"/>
              </w:rPr>
              <w:t>0.574</w:t>
            </w:r>
          </w:p>
        </w:tc>
        <w:tc>
          <w:tcPr>
            <w:tcW w:type="dxa" w:w="1218"/>
            <w:vAlign w:val="center"/>
          </w:tcPr>
          <w:p>
            <w:r>
              <w:rPr>
                <w:sz w:val="16"/>
              </w:rPr>
            </w:r>
          </w:p>
        </w:tc>
      </w:tr>
      <w:tr>
        <w:trPr>
          <w:cantSplit/>
        </w:trPr>
        <w:tc>
          <w:tcPr>
            <w:tcW w:type="dxa" w:w="1218"/>
            <w:vAlign w:val="center"/>
          </w:tcPr>
          <w:p>
            <w:r>
              <w:rPr>
                <w:sz w:val="16"/>
              </w:rPr>
              <w:t>LUAD</w:t>
            </w:r>
          </w:p>
        </w:tc>
        <w:tc>
          <w:tcPr>
            <w:tcW w:type="dxa" w:w="1218"/>
            <w:vAlign w:val="center"/>
          </w:tcPr>
          <w:p>
            <w:r>
              <w:rPr>
                <w:sz w:val="16"/>
              </w:rPr>
              <w:t>TRUE</w:t>
            </w:r>
          </w:p>
        </w:tc>
        <w:tc>
          <w:tcPr>
            <w:tcW w:type="dxa" w:w="1218"/>
            <w:vAlign w:val="center"/>
          </w:tcPr>
          <w:p>
            <w:r>
              <w:rPr>
                <w:sz w:val="16"/>
              </w:rPr>
              <w:t>392</w:t>
            </w:r>
          </w:p>
        </w:tc>
        <w:tc>
          <w:tcPr>
            <w:tcW w:type="dxa" w:w="1218"/>
            <w:vAlign w:val="center"/>
          </w:tcPr>
          <w:p>
            <w:r>
              <w:rPr>
                <w:sz w:val="16"/>
              </w:rPr>
              <w:t>15</w:t>
            </w:r>
          </w:p>
        </w:tc>
        <w:tc>
          <w:tcPr>
            <w:tcW w:type="dxa" w:w="1218"/>
            <w:vAlign w:val="center"/>
          </w:tcPr>
          <w:p>
            <w:r>
              <w:rPr>
                <w:sz w:val="16"/>
              </w:rPr>
              <w:t>0.465 (0.013)</w:t>
            </w:r>
          </w:p>
        </w:tc>
        <w:tc>
          <w:tcPr>
            <w:tcW w:type="dxa" w:w="1218"/>
            <w:vAlign w:val="center"/>
          </w:tcPr>
          <w:p>
            <w:r>
              <w:rPr>
                <w:sz w:val="16"/>
              </w:rPr>
              <w:t>0.067</w:t>
            </w:r>
          </w:p>
        </w:tc>
        <w:tc>
          <w:tcPr>
            <w:tcW w:type="dxa" w:w="1218"/>
            <w:vAlign w:val="center"/>
          </w:tcPr>
          <w:p>
            <w:r>
              <w:rPr>
                <w:sz w:val="16"/>
              </w:rPr>
              <w:t>0.427</w:t>
            </w:r>
          </w:p>
        </w:tc>
        <w:tc>
          <w:tcPr>
            <w:tcW w:type="dxa" w:w="1218"/>
            <w:vAlign w:val="center"/>
          </w:tcPr>
          <w:p>
            <w:r>
              <w:rPr>
                <w:sz w:val="16"/>
              </w:rPr>
            </w:r>
          </w:p>
        </w:tc>
      </w:tr>
      <w:tr>
        <w:trPr>
          <w:cantSplit/>
        </w:trPr>
        <w:tc>
          <w:tcPr>
            <w:tcW w:type="dxa" w:w="1218"/>
            <w:vAlign w:val="center"/>
          </w:tcPr>
          <w:p>
            <w:r>
              <w:rPr>
                <w:sz w:val="16"/>
              </w:rPr>
              <w:t>LUSC</w:t>
            </w:r>
          </w:p>
        </w:tc>
        <w:tc>
          <w:tcPr>
            <w:tcW w:type="dxa" w:w="1218"/>
            <w:vAlign w:val="center"/>
          </w:tcPr>
          <w:p>
            <w:r>
              <w:rPr>
                <w:sz w:val="16"/>
              </w:rPr>
              <w:t>TRUE</w:t>
            </w:r>
          </w:p>
        </w:tc>
        <w:tc>
          <w:tcPr>
            <w:tcW w:type="dxa" w:w="1218"/>
            <w:vAlign w:val="center"/>
          </w:tcPr>
          <w:p>
            <w:r>
              <w:rPr>
                <w:sz w:val="16"/>
              </w:rPr>
              <w:t>405</w:t>
            </w:r>
          </w:p>
        </w:tc>
        <w:tc>
          <w:tcPr>
            <w:tcW w:type="dxa" w:w="1218"/>
            <w:vAlign w:val="center"/>
          </w:tcPr>
          <w:p>
            <w:r>
              <w:rPr>
                <w:sz w:val="16"/>
              </w:rPr>
              <w:t>16</w:t>
            </w:r>
          </w:p>
        </w:tc>
        <w:tc>
          <w:tcPr>
            <w:tcW w:type="dxa" w:w="1218"/>
            <w:vAlign w:val="center"/>
          </w:tcPr>
          <w:p>
            <w:r>
              <w:rPr>
                <w:sz w:val="16"/>
              </w:rPr>
              <w:t>0.531 (0.014)</w:t>
            </w:r>
          </w:p>
        </w:tc>
        <w:tc>
          <w:tcPr>
            <w:tcW w:type="dxa" w:w="1218"/>
            <w:vAlign w:val="center"/>
          </w:tcPr>
          <w:p>
            <w:r>
              <w:rPr>
                <w:sz w:val="16"/>
              </w:rPr>
              <w:t>0.062</w:t>
            </w:r>
          </w:p>
        </w:tc>
        <w:tc>
          <w:tcPr>
            <w:tcW w:type="dxa" w:w="1218"/>
            <w:vAlign w:val="center"/>
          </w:tcPr>
          <w:p>
            <w:r>
              <w:rPr>
                <w:sz w:val="16"/>
              </w:rPr>
              <w:t>0.499</w:t>
            </w:r>
          </w:p>
        </w:tc>
        <w:tc>
          <w:tcPr>
            <w:tcW w:type="dxa" w:w="1218"/>
            <w:vAlign w:val="center"/>
          </w:tcPr>
          <w:p>
            <w:r>
              <w:rPr>
                <w:sz w:val="16"/>
              </w:rPr>
            </w:r>
          </w:p>
        </w:tc>
      </w:tr>
      <w:tr>
        <w:trPr>
          <w:cantSplit/>
        </w:trPr>
        <w:tc>
          <w:tcPr>
            <w:tcW w:type="dxa" w:w="1218"/>
            <w:vAlign w:val="center"/>
          </w:tcPr>
          <w:p>
            <w:r>
              <w:rPr>
                <w:sz w:val="16"/>
              </w:rPr>
              <w:t>MESO</w:t>
            </w:r>
          </w:p>
        </w:tc>
        <w:tc>
          <w:tcPr>
            <w:tcW w:type="dxa" w:w="1218"/>
            <w:vAlign w:val="center"/>
          </w:tcPr>
          <w:p>
            <w:r>
              <w:rPr>
                <w:sz w:val="16"/>
              </w:rPr>
              <w:t>FALSE</w:t>
            </w:r>
          </w:p>
        </w:tc>
        <w:tc>
          <w:tcPr>
            <w:tcW w:type="dxa" w:w="1218"/>
            <w:vAlign w:val="center"/>
          </w:tcPr>
          <w:p>
            <w:r>
              <w:rPr>
                <w:sz w:val="16"/>
              </w:rPr>
              <w:t>15</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OV</w:t>
            </w:r>
          </w:p>
        </w:tc>
        <w:tc>
          <w:tcPr>
            <w:tcW w:type="dxa" w:w="1218"/>
            <w:vAlign w:val="center"/>
          </w:tcPr>
          <w:p>
            <w:r>
              <w:rPr>
                <w:sz w:val="16"/>
              </w:rPr>
              <w:t>TRUE</w:t>
            </w:r>
          </w:p>
        </w:tc>
        <w:tc>
          <w:tcPr>
            <w:tcW w:type="dxa" w:w="1218"/>
            <w:vAlign w:val="center"/>
          </w:tcPr>
          <w:p>
            <w:r>
              <w:rPr>
                <w:sz w:val="16"/>
              </w:rPr>
              <w:t>83</w:t>
            </w:r>
          </w:p>
        </w:tc>
        <w:tc>
          <w:tcPr>
            <w:tcW w:type="dxa" w:w="1218"/>
            <w:vAlign w:val="center"/>
          </w:tcPr>
          <w:p>
            <w:r>
              <w:rPr>
                <w:sz w:val="16"/>
              </w:rPr>
              <w:t>2</w:t>
            </w:r>
          </w:p>
        </w:tc>
        <w:tc>
          <w:tcPr>
            <w:tcW w:type="dxa" w:w="1218"/>
            <w:vAlign w:val="center"/>
          </w:tcPr>
          <w:p>
            <w:r>
              <w:rPr>
                <w:sz w:val="16"/>
              </w:rPr>
              <w:t>0.963 (0.010)</w:t>
            </w:r>
          </w:p>
        </w:tc>
        <w:tc>
          <w:tcPr>
            <w:tcW w:type="dxa" w:w="1218"/>
            <w:vAlign w:val="center"/>
          </w:tcPr>
          <w:p>
            <w:r>
              <w:rPr>
                <w:sz w:val="16"/>
              </w:rPr>
              <w:t>0.500</w:t>
            </w:r>
          </w:p>
        </w:tc>
        <w:tc>
          <w:tcPr>
            <w:tcW w:type="dxa" w:w="1218"/>
            <w:vAlign w:val="center"/>
          </w:tcPr>
          <w:p>
            <w:r>
              <w:rPr>
                <w:sz w:val="16"/>
              </w:rPr>
              <w:t>0.926</w:t>
            </w:r>
          </w:p>
        </w:tc>
        <w:tc>
          <w:tcPr>
            <w:tcW w:type="dxa" w:w="1218"/>
            <w:vAlign w:val="center"/>
          </w:tcPr>
          <w:p>
            <w:r>
              <w:rPr>
                <w:sz w:val="16"/>
              </w:rPr>
            </w:r>
          </w:p>
        </w:tc>
      </w:tr>
      <w:tr>
        <w:trPr>
          <w:cantSplit/>
        </w:trPr>
        <w:tc>
          <w:tcPr>
            <w:tcW w:type="dxa" w:w="1218"/>
            <w:vAlign w:val="center"/>
          </w:tcPr>
          <w:p>
            <w:r>
              <w:rPr>
                <w:sz w:val="16"/>
              </w:rPr>
              <w:t>PAAD</w:t>
            </w:r>
          </w:p>
        </w:tc>
        <w:tc>
          <w:tcPr>
            <w:tcW w:type="dxa" w:w="1218"/>
            <w:vAlign w:val="center"/>
          </w:tcPr>
          <w:p>
            <w:r>
              <w:rPr>
                <w:sz w:val="16"/>
              </w:rPr>
              <w:t>TRUE</w:t>
            </w:r>
          </w:p>
        </w:tc>
        <w:tc>
          <w:tcPr>
            <w:tcW w:type="dxa" w:w="1218"/>
            <w:vAlign w:val="center"/>
          </w:tcPr>
          <w:p>
            <w:r>
              <w:rPr>
                <w:sz w:val="16"/>
              </w:rPr>
              <w:t>120</w:t>
            </w:r>
          </w:p>
        </w:tc>
        <w:tc>
          <w:tcPr>
            <w:tcW w:type="dxa" w:w="1218"/>
            <w:vAlign w:val="center"/>
          </w:tcPr>
          <w:p>
            <w:r>
              <w:rPr>
                <w:sz w:val="16"/>
              </w:rPr>
              <w:t>5</w:t>
            </w:r>
          </w:p>
        </w:tc>
        <w:tc>
          <w:tcPr>
            <w:tcW w:type="dxa" w:w="1218"/>
            <w:vAlign w:val="center"/>
          </w:tcPr>
          <w:p>
            <w:r>
              <w:rPr>
                <w:sz w:val="16"/>
              </w:rPr>
              <w:t>0.911 (0.015)</w:t>
            </w:r>
          </w:p>
        </w:tc>
        <w:tc>
          <w:tcPr>
            <w:tcW w:type="dxa" w:w="1218"/>
            <w:vAlign w:val="center"/>
          </w:tcPr>
          <w:p>
            <w:r>
              <w:rPr>
                <w:sz w:val="16"/>
              </w:rPr>
              <w:t>0.200</w:t>
            </w:r>
          </w:p>
        </w:tc>
        <w:tc>
          <w:tcPr>
            <w:tcW w:type="dxa" w:w="1218"/>
            <w:vAlign w:val="center"/>
          </w:tcPr>
          <w:p>
            <w:r>
              <w:rPr>
                <w:sz w:val="16"/>
              </w:rPr>
              <w:t>0.888</w:t>
            </w:r>
          </w:p>
        </w:tc>
        <w:tc>
          <w:tcPr>
            <w:tcW w:type="dxa" w:w="1218"/>
            <w:vAlign w:val="center"/>
          </w:tcPr>
          <w:p>
            <w:r>
              <w:rPr>
                <w:sz w:val="16"/>
              </w:rPr>
            </w:r>
          </w:p>
        </w:tc>
      </w:tr>
      <w:tr>
        <w:trPr>
          <w:cantSplit/>
        </w:trPr>
        <w:tc>
          <w:tcPr>
            <w:tcW w:type="dxa" w:w="1218"/>
            <w:vAlign w:val="center"/>
          </w:tcPr>
          <w:p>
            <w:r>
              <w:rPr>
                <w:sz w:val="16"/>
              </w:rPr>
              <w:t>PCPG</w:t>
            </w:r>
          </w:p>
        </w:tc>
        <w:tc>
          <w:tcPr>
            <w:tcW w:type="dxa" w:w="1218"/>
            <w:vAlign w:val="center"/>
          </w:tcPr>
          <w:p>
            <w:r>
              <w:rPr>
                <w:sz w:val="16"/>
              </w:rPr>
              <w:t>TRUE</w:t>
            </w:r>
          </w:p>
        </w:tc>
        <w:tc>
          <w:tcPr>
            <w:tcW w:type="dxa" w:w="1218"/>
            <w:vAlign w:val="center"/>
          </w:tcPr>
          <w:p>
            <w:r>
              <w:rPr>
                <w:sz w:val="16"/>
              </w:rPr>
              <w:t>138</w:t>
            </w:r>
          </w:p>
        </w:tc>
        <w:tc>
          <w:tcPr>
            <w:tcW w:type="dxa" w:w="1218"/>
            <w:vAlign w:val="center"/>
          </w:tcPr>
          <w:p>
            <w:r>
              <w:rPr>
                <w:sz w:val="16"/>
              </w:rPr>
              <w:t>6</w:t>
            </w:r>
          </w:p>
        </w:tc>
        <w:tc>
          <w:tcPr>
            <w:tcW w:type="dxa" w:w="1218"/>
            <w:vAlign w:val="center"/>
          </w:tcPr>
          <w:p>
            <w:r>
              <w:rPr>
                <w:sz w:val="16"/>
              </w:rPr>
              <w:t>0.516 (0.033)</w:t>
            </w:r>
          </w:p>
        </w:tc>
        <w:tc>
          <w:tcPr>
            <w:tcW w:type="dxa" w:w="1218"/>
            <w:vAlign w:val="center"/>
          </w:tcPr>
          <w:p>
            <w:r>
              <w:rPr>
                <w:sz w:val="16"/>
              </w:rPr>
              <w:t>0.167</w:t>
            </w:r>
          </w:p>
        </w:tc>
        <w:tc>
          <w:tcPr>
            <w:tcW w:type="dxa" w:w="1218"/>
            <w:vAlign w:val="center"/>
          </w:tcPr>
          <w:p>
            <w:r>
              <w:rPr>
                <w:sz w:val="16"/>
              </w:rPr>
              <w:t>0.419</w:t>
            </w:r>
          </w:p>
        </w:tc>
        <w:tc>
          <w:tcPr>
            <w:tcW w:type="dxa" w:w="1218"/>
            <w:vAlign w:val="center"/>
          </w:tcPr>
          <w:p>
            <w:r>
              <w:rPr>
                <w:sz w:val="16"/>
              </w:rPr>
            </w:r>
          </w:p>
        </w:tc>
      </w:tr>
      <w:tr>
        <w:trPr>
          <w:cantSplit/>
        </w:trPr>
        <w:tc>
          <w:tcPr>
            <w:tcW w:type="dxa" w:w="1218"/>
            <w:vAlign w:val="center"/>
          </w:tcPr>
          <w:p>
            <w:r>
              <w:rPr>
                <w:sz w:val="16"/>
              </w:rPr>
              <w:t>PRAD</w:t>
            </w:r>
          </w:p>
        </w:tc>
        <w:tc>
          <w:tcPr>
            <w:tcW w:type="dxa" w:w="1218"/>
            <w:vAlign w:val="center"/>
          </w:tcPr>
          <w:p>
            <w:r>
              <w:rPr>
                <w:sz w:val="16"/>
              </w:rPr>
              <w:t>TRUE</w:t>
            </w:r>
          </w:p>
        </w:tc>
        <w:tc>
          <w:tcPr>
            <w:tcW w:type="dxa" w:w="1218"/>
            <w:vAlign w:val="center"/>
          </w:tcPr>
          <w:p>
            <w:r>
              <w:rPr>
                <w:sz w:val="16"/>
              </w:rPr>
              <w:t>345</w:t>
            </w:r>
          </w:p>
        </w:tc>
        <w:tc>
          <w:tcPr>
            <w:tcW w:type="dxa" w:w="1218"/>
            <w:vAlign w:val="center"/>
          </w:tcPr>
          <w:p>
            <w:r>
              <w:rPr>
                <w:sz w:val="16"/>
              </w:rPr>
              <w:t>10</w:t>
            </w:r>
          </w:p>
        </w:tc>
        <w:tc>
          <w:tcPr>
            <w:tcW w:type="dxa" w:w="1218"/>
            <w:vAlign w:val="center"/>
          </w:tcPr>
          <w:p>
            <w:r>
              <w:rPr>
                <w:sz w:val="16"/>
              </w:rPr>
              <w:t>0.767 (0.012)</w:t>
            </w:r>
          </w:p>
        </w:tc>
        <w:tc>
          <w:tcPr>
            <w:tcW w:type="dxa" w:w="1218"/>
            <w:vAlign w:val="center"/>
          </w:tcPr>
          <w:p>
            <w:r>
              <w:rPr>
                <w:sz w:val="16"/>
              </w:rPr>
              <w:t>0.100</w:t>
            </w:r>
          </w:p>
        </w:tc>
        <w:tc>
          <w:tcPr>
            <w:tcW w:type="dxa" w:w="1218"/>
            <w:vAlign w:val="center"/>
          </w:tcPr>
          <w:p>
            <w:r>
              <w:rPr>
                <w:sz w:val="16"/>
              </w:rPr>
              <w:t>0.741</w:t>
            </w:r>
          </w:p>
        </w:tc>
        <w:tc>
          <w:tcPr>
            <w:tcW w:type="dxa" w:w="1218"/>
            <w:vAlign w:val="center"/>
          </w:tcPr>
          <w:p>
            <w:r>
              <w:rPr>
                <w:sz w:val="16"/>
              </w:rPr>
            </w:r>
          </w:p>
        </w:tc>
      </w:tr>
      <w:tr>
        <w:trPr>
          <w:cantSplit/>
        </w:trPr>
        <w:tc>
          <w:tcPr>
            <w:tcW w:type="dxa" w:w="1218"/>
            <w:vAlign w:val="center"/>
          </w:tcPr>
          <w:p>
            <w:r>
              <w:rPr>
                <w:sz w:val="16"/>
              </w:rPr>
              <w:t>READ</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5</w:t>
            </w:r>
          </w:p>
        </w:tc>
        <w:tc>
          <w:tcPr>
            <w:tcW w:type="dxa" w:w="1218"/>
            <w:vAlign w:val="center"/>
          </w:tcPr>
          <w:p>
            <w:r>
              <w:rPr>
                <w:sz w:val="16"/>
              </w:rPr>
              <w:t>0.862 (0.030)</w:t>
            </w:r>
          </w:p>
        </w:tc>
        <w:tc>
          <w:tcPr>
            <w:tcW w:type="dxa" w:w="1218"/>
            <w:vAlign w:val="center"/>
          </w:tcPr>
          <w:p>
            <w:r>
              <w:rPr>
                <w:sz w:val="16"/>
              </w:rPr>
              <w:t>0.200</w:t>
            </w:r>
          </w:p>
        </w:tc>
        <w:tc>
          <w:tcPr>
            <w:tcW w:type="dxa" w:w="1218"/>
            <w:vAlign w:val="center"/>
          </w:tcPr>
          <w:p>
            <w:r>
              <w:rPr>
                <w:sz w:val="16"/>
              </w:rPr>
              <w:t>0.828</w:t>
            </w:r>
          </w:p>
        </w:tc>
        <w:tc>
          <w:tcPr>
            <w:tcW w:type="dxa" w:w="1218"/>
            <w:vAlign w:val="center"/>
          </w:tcPr>
          <w:p>
            <w:r>
              <w:rPr>
                <w:sz w:val="16"/>
              </w:rPr>
            </w:r>
          </w:p>
        </w:tc>
      </w:tr>
      <w:tr>
        <w:trPr>
          <w:cantSplit/>
        </w:trPr>
        <w:tc>
          <w:tcPr>
            <w:tcW w:type="dxa" w:w="1218"/>
            <w:vAlign w:val="center"/>
          </w:tcPr>
          <w:p>
            <w:r>
              <w:rPr>
                <w:sz w:val="16"/>
              </w:rPr>
              <w:t>SARC</w:t>
            </w:r>
          </w:p>
        </w:tc>
        <w:tc>
          <w:tcPr>
            <w:tcW w:type="dxa" w:w="1218"/>
            <w:vAlign w:val="center"/>
          </w:tcPr>
          <w:p>
            <w:r>
              <w:rPr>
                <w:sz w:val="16"/>
              </w:rPr>
              <w:t>TRUE</w:t>
            </w:r>
          </w:p>
        </w:tc>
        <w:tc>
          <w:tcPr>
            <w:tcW w:type="dxa" w:w="1218"/>
            <w:vAlign w:val="center"/>
          </w:tcPr>
          <w:p>
            <w:r>
              <w:rPr>
                <w:sz w:val="16"/>
              </w:rPr>
              <w:t>158</w:t>
            </w:r>
          </w:p>
        </w:tc>
        <w:tc>
          <w:tcPr>
            <w:tcW w:type="dxa" w:w="1218"/>
            <w:vAlign w:val="center"/>
          </w:tcPr>
          <w:p>
            <w:r>
              <w:rPr>
                <w:sz w:val="16"/>
              </w:rPr>
              <w:t>4</w:t>
            </w:r>
          </w:p>
        </w:tc>
        <w:tc>
          <w:tcPr>
            <w:tcW w:type="dxa" w:w="1218"/>
            <w:vAlign w:val="center"/>
          </w:tcPr>
          <w:p>
            <w:r>
              <w:rPr>
                <w:sz w:val="16"/>
              </w:rPr>
              <w:t>0.628 (0.034)</w:t>
            </w:r>
          </w:p>
        </w:tc>
        <w:tc>
          <w:tcPr>
            <w:tcW w:type="dxa" w:w="1218"/>
            <w:vAlign w:val="center"/>
          </w:tcPr>
          <w:p>
            <w:r>
              <w:rPr>
                <w:sz w:val="16"/>
              </w:rPr>
              <w:t>0.250</w:t>
            </w:r>
          </w:p>
        </w:tc>
        <w:tc>
          <w:tcPr>
            <w:tcW w:type="dxa" w:w="1218"/>
            <w:vAlign w:val="center"/>
          </w:tcPr>
          <w:p>
            <w:r>
              <w:rPr>
                <w:sz w:val="16"/>
              </w:rPr>
              <w:t>0.504</w:t>
            </w:r>
          </w:p>
        </w:tc>
        <w:tc>
          <w:tcPr>
            <w:tcW w:type="dxa" w:w="1218"/>
            <w:vAlign w:val="center"/>
          </w:tcPr>
          <w:p>
            <w:r>
              <w:rPr>
                <w:sz w:val="16"/>
              </w:rPr>
            </w:r>
          </w:p>
        </w:tc>
      </w:tr>
      <w:tr>
        <w:trPr>
          <w:cantSplit/>
        </w:trPr>
        <w:tc>
          <w:tcPr>
            <w:tcW w:type="dxa" w:w="1218"/>
            <w:vAlign w:val="center"/>
          </w:tcPr>
          <w:p>
            <w:r>
              <w:rPr>
                <w:sz w:val="16"/>
              </w:rPr>
              <w:t>SKCM</w:t>
            </w:r>
          </w:p>
        </w:tc>
        <w:tc>
          <w:tcPr>
            <w:tcW w:type="dxa" w:w="1218"/>
            <w:vAlign w:val="center"/>
          </w:tcPr>
          <w:p>
            <w:r>
              <w:rPr>
                <w:sz w:val="16"/>
              </w:rPr>
              <w:t>TRUE</w:t>
            </w:r>
          </w:p>
        </w:tc>
        <w:tc>
          <w:tcPr>
            <w:tcW w:type="dxa" w:w="1218"/>
            <w:vAlign w:val="center"/>
          </w:tcPr>
          <w:p>
            <w:r>
              <w:rPr>
                <w:sz w:val="16"/>
              </w:rPr>
              <w:t>245</w:t>
            </w:r>
          </w:p>
        </w:tc>
        <w:tc>
          <w:tcPr>
            <w:tcW w:type="dxa" w:w="1218"/>
            <w:vAlign w:val="center"/>
          </w:tcPr>
          <w:p>
            <w:r>
              <w:rPr>
                <w:sz w:val="16"/>
              </w:rPr>
              <w:t>8</w:t>
            </w:r>
          </w:p>
        </w:tc>
        <w:tc>
          <w:tcPr>
            <w:tcW w:type="dxa" w:w="1218"/>
            <w:vAlign w:val="center"/>
          </w:tcPr>
          <w:p>
            <w:r>
              <w:rPr>
                <w:sz w:val="16"/>
              </w:rPr>
              <w:t>0.555 (0.040)</w:t>
            </w:r>
          </w:p>
        </w:tc>
        <w:tc>
          <w:tcPr>
            <w:tcW w:type="dxa" w:w="1218"/>
            <w:vAlign w:val="center"/>
          </w:tcPr>
          <w:p>
            <w:r>
              <w:rPr>
                <w:sz w:val="16"/>
              </w:rPr>
              <w:t>0.125</w:t>
            </w:r>
          </w:p>
        </w:tc>
        <w:tc>
          <w:tcPr>
            <w:tcW w:type="dxa" w:w="1218"/>
            <w:vAlign w:val="center"/>
          </w:tcPr>
          <w:p>
            <w:r>
              <w:rPr>
                <w:sz w:val="16"/>
              </w:rPr>
              <w:t>0.491</w:t>
            </w:r>
          </w:p>
        </w:tc>
        <w:tc>
          <w:tcPr>
            <w:tcW w:type="dxa" w:w="1218"/>
            <w:vAlign w:val="center"/>
          </w:tcPr>
          <w:p>
            <w:r>
              <w:rPr>
                <w:sz w:val="16"/>
              </w:rPr>
            </w:r>
          </w:p>
        </w:tc>
      </w:tr>
      <w:tr>
        <w:trPr>
          <w:cantSplit/>
        </w:trPr>
        <w:tc>
          <w:tcPr>
            <w:tcW w:type="dxa" w:w="1218"/>
            <w:vAlign w:val="center"/>
          </w:tcPr>
          <w:p>
            <w:r>
              <w:rPr>
                <w:sz w:val="16"/>
              </w:rPr>
              <w:t>STAD</w:t>
            </w:r>
          </w:p>
        </w:tc>
        <w:tc>
          <w:tcPr>
            <w:tcW w:type="dxa" w:w="1218"/>
            <w:vAlign w:val="center"/>
          </w:tcPr>
          <w:p>
            <w:r>
              <w:rPr>
                <w:sz w:val="16"/>
              </w:rPr>
              <w:t>TRUE</w:t>
            </w:r>
          </w:p>
        </w:tc>
        <w:tc>
          <w:tcPr>
            <w:tcW w:type="dxa" w:w="1218"/>
            <w:vAlign w:val="center"/>
          </w:tcPr>
          <w:p>
            <w:r>
              <w:rPr>
                <w:sz w:val="16"/>
              </w:rPr>
              <w:t>334</w:t>
            </w:r>
          </w:p>
        </w:tc>
        <w:tc>
          <w:tcPr>
            <w:tcW w:type="dxa" w:w="1218"/>
            <w:vAlign w:val="center"/>
          </w:tcPr>
          <w:p>
            <w:r>
              <w:rPr>
                <w:sz w:val="16"/>
              </w:rPr>
              <w:t>8</w:t>
            </w:r>
          </w:p>
        </w:tc>
        <w:tc>
          <w:tcPr>
            <w:tcW w:type="dxa" w:w="1218"/>
            <w:vAlign w:val="center"/>
          </w:tcPr>
          <w:p>
            <w:r>
              <w:rPr>
                <w:sz w:val="16"/>
              </w:rPr>
              <w:t>0.712 (0.016)</w:t>
            </w:r>
          </w:p>
        </w:tc>
        <w:tc>
          <w:tcPr>
            <w:tcW w:type="dxa" w:w="1218"/>
            <w:vAlign w:val="center"/>
          </w:tcPr>
          <w:p>
            <w:r>
              <w:rPr>
                <w:sz w:val="16"/>
              </w:rPr>
              <w:t>0.125</w:t>
            </w:r>
          </w:p>
        </w:tc>
        <w:tc>
          <w:tcPr>
            <w:tcW w:type="dxa" w:w="1218"/>
            <w:vAlign w:val="center"/>
          </w:tcPr>
          <w:p>
            <w:r>
              <w:rPr>
                <w:sz w:val="16"/>
              </w:rPr>
              <w:t>0.671</w:t>
            </w:r>
          </w:p>
        </w:tc>
        <w:tc>
          <w:tcPr>
            <w:tcW w:type="dxa" w:w="1218"/>
            <w:vAlign w:val="center"/>
          </w:tcPr>
          <w:p>
            <w:r>
              <w:rPr>
                <w:sz w:val="16"/>
              </w:rPr>
            </w:r>
          </w:p>
        </w:tc>
      </w:tr>
      <w:tr>
        <w:trPr>
          <w:cantSplit/>
        </w:trPr>
        <w:tc>
          <w:tcPr>
            <w:tcW w:type="dxa" w:w="1218"/>
            <w:vAlign w:val="center"/>
          </w:tcPr>
          <w:p>
            <w:r>
              <w:rPr>
                <w:sz w:val="16"/>
              </w:rPr>
              <w:t>TGCT</w:t>
            </w:r>
          </w:p>
        </w:tc>
        <w:tc>
          <w:tcPr>
            <w:tcW w:type="dxa" w:w="1218"/>
            <w:vAlign w:val="center"/>
          </w:tcPr>
          <w:p>
            <w:r>
              <w:rPr>
                <w:sz w:val="16"/>
              </w:rPr>
              <w:t>TRUE</w:t>
            </w:r>
          </w:p>
        </w:tc>
        <w:tc>
          <w:tcPr>
            <w:tcW w:type="dxa" w:w="1218"/>
            <w:vAlign w:val="center"/>
          </w:tcPr>
          <w:p>
            <w:r>
              <w:rPr>
                <w:sz w:val="16"/>
              </w:rPr>
              <w:t>106</w:t>
            </w:r>
          </w:p>
        </w:tc>
        <w:tc>
          <w:tcPr>
            <w:tcW w:type="dxa" w:w="1218"/>
            <w:vAlign w:val="center"/>
          </w:tcPr>
          <w:p>
            <w:r>
              <w:rPr>
                <w:sz w:val="16"/>
              </w:rPr>
              <w:t>3</w:t>
            </w:r>
          </w:p>
        </w:tc>
        <w:tc>
          <w:tcPr>
            <w:tcW w:type="dxa" w:w="1218"/>
            <w:vAlign w:val="center"/>
          </w:tcPr>
          <w:p>
            <w:r>
              <w:rPr>
                <w:sz w:val="16"/>
              </w:rPr>
              <w:t>0.795 (0.055)</w:t>
            </w:r>
          </w:p>
        </w:tc>
        <w:tc>
          <w:tcPr>
            <w:tcW w:type="dxa" w:w="1218"/>
            <w:vAlign w:val="center"/>
          </w:tcPr>
          <w:p>
            <w:r>
              <w:rPr>
                <w:sz w:val="16"/>
              </w:rPr>
              <w:t>0.333</w:t>
            </w:r>
          </w:p>
        </w:tc>
        <w:tc>
          <w:tcPr>
            <w:tcW w:type="dxa" w:w="1218"/>
            <w:vAlign w:val="center"/>
          </w:tcPr>
          <w:p>
            <w:r>
              <w:rPr>
                <w:sz w:val="16"/>
              </w:rPr>
              <w:t>0.693</w:t>
            </w:r>
          </w:p>
        </w:tc>
        <w:tc>
          <w:tcPr>
            <w:tcW w:type="dxa" w:w="1218"/>
            <w:vAlign w:val="center"/>
          </w:tcPr>
          <w:p>
            <w:r>
              <w:rPr>
                <w:sz w:val="16"/>
              </w:rPr>
            </w:r>
          </w:p>
        </w:tc>
      </w:tr>
      <w:tr>
        <w:trPr>
          <w:cantSplit/>
        </w:trPr>
        <w:tc>
          <w:tcPr>
            <w:tcW w:type="dxa" w:w="1218"/>
            <w:vAlign w:val="center"/>
          </w:tcPr>
          <w:p>
            <w:r>
              <w:rPr>
                <w:sz w:val="16"/>
              </w:rPr>
              <w:t>THCA</w:t>
            </w:r>
          </w:p>
        </w:tc>
        <w:tc>
          <w:tcPr>
            <w:tcW w:type="dxa" w:w="1218"/>
            <w:vAlign w:val="center"/>
          </w:tcPr>
          <w:p>
            <w:r>
              <w:rPr>
                <w:sz w:val="16"/>
              </w:rPr>
              <w:t>TRUE</w:t>
            </w:r>
          </w:p>
        </w:tc>
        <w:tc>
          <w:tcPr>
            <w:tcW w:type="dxa" w:w="1218"/>
            <w:vAlign w:val="center"/>
          </w:tcPr>
          <w:p>
            <w:r>
              <w:rPr>
                <w:sz w:val="16"/>
              </w:rPr>
              <w:t>455</w:t>
            </w:r>
          </w:p>
        </w:tc>
        <w:tc>
          <w:tcPr>
            <w:tcW w:type="dxa" w:w="1218"/>
            <w:vAlign w:val="center"/>
          </w:tcPr>
          <w:p>
            <w:r>
              <w:rPr>
                <w:sz w:val="16"/>
              </w:rPr>
              <w:t>11</w:t>
            </w:r>
          </w:p>
        </w:tc>
        <w:tc>
          <w:tcPr>
            <w:tcW w:type="dxa" w:w="1218"/>
            <w:vAlign w:val="center"/>
          </w:tcPr>
          <w:p>
            <w:r>
              <w:rPr>
                <w:sz w:val="16"/>
              </w:rPr>
              <w:t>0.489 (0.016)</w:t>
            </w:r>
          </w:p>
        </w:tc>
        <w:tc>
          <w:tcPr>
            <w:tcW w:type="dxa" w:w="1218"/>
            <w:vAlign w:val="center"/>
          </w:tcPr>
          <w:p>
            <w:r>
              <w:rPr>
                <w:sz w:val="16"/>
              </w:rPr>
              <w:t>0.091</w:t>
            </w:r>
          </w:p>
        </w:tc>
        <w:tc>
          <w:tcPr>
            <w:tcW w:type="dxa" w:w="1218"/>
            <w:vAlign w:val="center"/>
          </w:tcPr>
          <w:p>
            <w:r>
              <w:rPr>
                <w:sz w:val="16"/>
              </w:rPr>
              <w:t>0.438</w:t>
            </w:r>
          </w:p>
        </w:tc>
        <w:tc>
          <w:tcPr>
            <w:tcW w:type="dxa" w:w="1218"/>
            <w:vAlign w:val="center"/>
          </w:tcPr>
          <w:p>
            <w:r>
              <w:rPr>
                <w:sz w:val="16"/>
              </w:rPr>
            </w:r>
          </w:p>
        </w:tc>
      </w:tr>
      <w:tr>
        <w:trPr>
          <w:cantSplit/>
        </w:trPr>
        <w:tc>
          <w:tcPr>
            <w:tcW w:type="dxa" w:w="1218"/>
            <w:vAlign w:val="center"/>
          </w:tcPr>
          <w:p>
            <w:r>
              <w:rPr>
                <w:sz w:val="16"/>
              </w:rPr>
              <w:t>THYM</w:t>
            </w:r>
          </w:p>
        </w:tc>
        <w:tc>
          <w:tcPr>
            <w:tcW w:type="dxa" w:w="1218"/>
            <w:vAlign w:val="center"/>
          </w:tcPr>
          <w:p>
            <w:r>
              <w:rPr>
                <w:sz w:val="16"/>
              </w:rPr>
              <w:t>TRUE</w:t>
            </w:r>
          </w:p>
        </w:tc>
        <w:tc>
          <w:tcPr>
            <w:tcW w:type="dxa" w:w="1218"/>
            <w:vAlign w:val="center"/>
          </w:tcPr>
          <w:p>
            <w:r>
              <w:rPr>
                <w:sz w:val="16"/>
              </w:rPr>
              <w:t>91</w:t>
            </w:r>
          </w:p>
        </w:tc>
        <w:tc>
          <w:tcPr>
            <w:tcW w:type="dxa" w:w="1218"/>
            <w:vAlign w:val="center"/>
          </w:tcPr>
          <w:p>
            <w:r>
              <w:rPr>
                <w:sz w:val="16"/>
              </w:rPr>
              <w:t>5</w:t>
            </w:r>
          </w:p>
        </w:tc>
        <w:tc>
          <w:tcPr>
            <w:tcW w:type="dxa" w:w="1218"/>
            <w:vAlign w:val="center"/>
          </w:tcPr>
          <w:p>
            <w:r>
              <w:rPr>
                <w:sz w:val="16"/>
              </w:rPr>
              <w:t>0.786 (0.031)</w:t>
            </w:r>
          </w:p>
        </w:tc>
        <w:tc>
          <w:tcPr>
            <w:tcW w:type="dxa" w:w="1218"/>
            <w:vAlign w:val="center"/>
          </w:tcPr>
          <w:p>
            <w:r>
              <w:rPr>
                <w:sz w:val="16"/>
              </w:rPr>
              <w:t>0.200</w:t>
            </w:r>
          </w:p>
        </w:tc>
        <w:tc>
          <w:tcPr>
            <w:tcW w:type="dxa" w:w="1218"/>
            <w:vAlign w:val="center"/>
          </w:tcPr>
          <w:p>
            <w:r>
              <w:rPr>
                <w:sz w:val="16"/>
              </w:rPr>
              <w:t>0.732</w:t>
            </w:r>
          </w:p>
        </w:tc>
        <w:tc>
          <w:tcPr>
            <w:tcW w:type="dxa" w:w="1218"/>
            <w:vAlign w:val="center"/>
          </w:tcPr>
          <w:p>
            <w:r>
              <w:rPr>
                <w:sz w:val="16"/>
              </w:rPr>
            </w:r>
          </w:p>
        </w:tc>
      </w:tr>
      <w:tr>
        <w:trPr>
          <w:cantSplit/>
        </w:trPr>
        <w:tc>
          <w:tcPr>
            <w:tcW w:type="dxa" w:w="1218"/>
            <w:vAlign w:val="center"/>
          </w:tcPr>
          <w:p>
            <w:r>
              <w:rPr>
                <w:sz w:val="16"/>
              </w:rPr>
              <w:t>UCEC</w:t>
            </w:r>
          </w:p>
        </w:tc>
        <w:tc>
          <w:tcPr>
            <w:tcW w:type="dxa" w:w="1218"/>
            <w:vAlign w:val="center"/>
          </w:tcPr>
          <w:p>
            <w:r>
              <w:rPr>
                <w:sz w:val="16"/>
              </w:rPr>
              <w:t>TRUE</w:t>
            </w:r>
          </w:p>
        </w:tc>
        <w:tc>
          <w:tcPr>
            <w:tcW w:type="dxa" w:w="1218"/>
            <w:vAlign w:val="center"/>
          </w:tcPr>
          <w:p>
            <w:r>
              <w:rPr>
                <w:sz w:val="16"/>
              </w:rPr>
              <w:t>456</w:t>
            </w:r>
          </w:p>
        </w:tc>
        <w:tc>
          <w:tcPr>
            <w:tcW w:type="dxa" w:w="1218"/>
            <w:vAlign w:val="center"/>
          </w:tcPr>
          <w:p>
            <w:r>
              <w:rPr>
                <w:sz w:val="16"/>
              </w:rPr>
              <w:t>12</w:t>
            </w:r>
          </w:p>
        </w:tc>
        <w:tc>
          <w:tcPr>
            <w:tcW w:type="dxa" w:w="1218"/>
            <w:vAlign w:val="center"/>
          </w:tcPr>
          <w:p>
            <w:r>
              <w:rPr>
                <w:sz w:val="16"/>
              </w:rPr>
              <w:t>0.586 (0.007)</w:t>
            </w:r>
          </w:p>
        </w:tc>
        <w:tc>
          <w:tcPr>
            <w:tcW w:type="dxa" w:w="1218"/>
            <w:vAlign w:val="center"/>
          </w:tcPr>
          <w:p>
            <w:r>
              <w:rPr>
                <w:sz w:val="16"/>
              </w:rPr>
              <w:t>0.083</w:t>
            </w:r>
          </w:p>
        </w:tc>
        <w:tc>
          <w:tcPr>
            <w:tcW w:type="dxa" w:w="1218"/>
            <w:vAlign w:val="center"/>
          </w:tcPr>
          <w:p>
            <w:r>
              <w:rPr>
                <w:sz w:val="16"/>
              </w:rPr>
              <w:t>0.548</w:t>
            </w:r>
          </w:p>
        </w:tc>
        <w:tc>
          <w:tcPr>
            <w:tcW w:type="dxa" w:w="1218"/>
            <w:vAlign w:val="center"/>
          </w:tcPr>
          <w:p>
            <w:r>
              <w:rPr>
                <w:sz w:val="16"/>
              </w:rPr>
            </w:r>
          </w:p>
        </w:tc>
      </w:tr>
      <w:tr>
        <w:trPr>
          <w:cantSplit/>
        </w:trPr>
        <w:tc>
          <w:tcPr>
            <w:tcW w:type="dxa" w:w="1218"/>
            <w:vAlign w:val="center"/>
          </w:tcPr>
          <w:p>
            <w:r>
              <w:rPr>
                <w:sz w:val="16"/>
              </w:rPr>
              <w:t>UCS</w:t>
            </w:r>
          </w:p>
        </w:tc>
        <w:tc>
          <w:tcPr>
            <w:tcW w:type="dxa" w:w="1218"/>
            <w:vAlign w:val="center"/>
          </w:tcPr>
          <w:p>
            <w:r>
              <w:rPr>
                <w:sz w:val="16"/>
              </w:rPr>
              <w:t>FALSE</w:t>
            </w:r>
          </w:p>
        </w:tc>
        <w:tc>
          <w:tcPr>
            <w:tcW w:type="dxa" w:w="1218"/>
            <w:vAlign w:val="center"/>
          </w:tcPr>
          <w:p>
            <w:r>
              <w:rPr>
                <w:sz w:val="16"/>
              </w:rPr>
              <w:t>14</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UVM</w:t>
            </w:r>
          </w:p>
        </w:tc>
        <w:tc>
          <w:tcPr>
            <w:tcW w:type="dxa" w:w="1218"/>
            <w:vAlign w:val="center"/>
          </w:tcPr>
          <w:p>
            <w:r>
              <w:rPr>
                <w:sz w:val="16"/>
              </w:rPr>
              <w:t>TRUE</w:t>
            </w:r>
          </w:p>
        </w:tc>
        <w:tc>
          <w:tcPr>
            <w:tcW w:type="dxa" w:w="1218"/>
            <w:vAlign w:val="center"/>
          </w:tcPr>
          <w:p>
            <w:r>
              <w:rPr>
                <w:sz w:val="16"/>
              </w:rPr>
              <w:t>72</w:t>
            </w:r>
          </w:p>
        </w:tc>
        <w:tc>
          <w:tcPr>
            <w:tcW w:type="dxa" w:w="1218"/>
            <w:vAlign w:val="center"/>
          </w:tcPr>
          <w:p>
            <w:r>
              <w:rPr>
                <w:sz w:val="16"/>
              </w:rPr>
              <w:t>3</w:t>
            </w:r>
          </w:p>
        </w:tc>
        <w:tc>
          <w:tcPr>
            <w:tcW w:type="dxa" w:w="1218"/>
            <w:vAlign w:val="center"/>
          </w:tcPr>
          <w:p>
            <w:r>
              <w:rPr>
                <w:sz w:val="16"/>
              </w:rPr>
              <w:t>0.966 (0.010)</w:t>
            </w:r>
          </w:p>
        </w:tc>
        <w:tc>
          <w:tcPr>
            <w:tcW w:type="dxa" w:w="1218"/>
            <w:vAlign w:val="center"/>
          </w:tcPr>
          <w:p>
            <w:r>
              <w:rPr>
                <w:sz w:val="16"/>
              </w:rPr>
              <w:t>0.333</w:t>
            </w:r>
          </w:p>
        </w:tc>
        <w:tc>
          <w:tcPr>
            <w:tcW w:type="dxa" w:w="1218"/>
            <w:vAlign w:val="center"/>
          </w:tcPr>
          <w:p>
            <w:r>
              <w:rPr>
                <w:sz w:val="16"/>
              </w:rPr>
              <w:t>0.949</w:t>
            </w:r>
          </w:p>
        </w:tc>
        <w:tc>
          <w:tcPr>
            <w:tcW w:type="dxa" w:w="1218"/>
            <w:vAlign w:val="center"/>
          </w:tcPr>
          <w:p>
            <w:r>
              <w:rPr>
                <w:sz w:val="16"/>
              </w:rPr>
            </w:r>
          </w:p>
        </w:tc>
      </w:tr>
    </w:tbl>
    <w:p/>
    <w:p>
      <w:pPr>
        <w:pStyle w:val="Heading1"/>
      </w:pPr>
      <w:r>
        <w:t>Table S10e. PLS versus exportable ridge benchmark for highlighted models</w:t>
      </w:r>
    </w:p>
    <w:p>
      <w:r>
        <w:t>The benchmark is conditional on selection of PLS screen-positive highlighted models. Binary models used identical outer folds, identical inner folds and the same inner out-of-fold balanced-accuracy threshold-selection rule for PLS–LDA and ridge. Panel A reports the primary comparison (threshold-independent AUROC for binary models; Q² for continuous models). Panel B reports symmetrically thresholded balanced accuracy for binary models and Spearman correlation for continuous models. Positive differences favour ridge; intervals quantify five paired repeats and should be interpreted by magnitude rather than winner counts.</w:t>
      </w:r>
    </w:p>
    <w:p>
      <w:pPr>
        <w:pStyle w:val="Caption"/>
      </w:pPr>
      <w:r>
        <w:t>Panel A. Primary algorithm-comparison metric.</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tblHeader w:val="true"/>
          <w:cantSplit/>
        </w:trPr>
        <w:tc>
          <w:tcPr>
            <w:tcW w:type="dxa" w:w="975"/>
          </w:tcPr>
          <w:p>
            <w:r>
              <w:rPr>
                <w:b/>
                <w:sz w:val="17"/>
              </w:rPr>
              <w:t>Type</w:t>
            </w:r>
          </w:p>
        </w:tc>
        <w:tc>
          <w:tcPr>
            <w:tcW w:type="dxa" w:w="975"/>
          </w:tcPr>
          <w:p>
            <w:r>
              <w:rPr>
                <w:b/>
                <w:sz w:val="17"/>
              </w:rPr>
              <w:t>Family</w:t>
            </w:r>
          </w:p>
        </w:tc>
        <w:tc>
          <w:tcPr>
            <w:tcW w:type="dxa" w:w="975"/>
          </w:tcPr>
          <w:p>
            <w:r>
              <w:rPr>
                <w:b/>
                <w:sz w:val="17"/>
              </w:rPr>
              <w:t>Cancer</w:t>
            </w:r>
          </w:p>
        </w:tc>
        <w:tc>
          <w:tcPr>
            <w:tcW w:type="dxa" w:w="975"/>
          </w:tcPr>
          <w:p>
            <w:r>
              <w:rPr>
                <w:b/>
                <w:sz w:val="17"/>
              </w:rPr>
              <w:t>Endpoint</w:t>
            </w:r>
          </w:p>
        </w:tc>
        <w:tc>
          <w:tcPr>
            <w:tcW w:type="dxa" w:w="975"/>
          </w:tcPr>
          <w:p>
            <w:r>
              <w:rPr>
                <w:b/>
                <w:sz w:val="17"/>
              </w:rPr>
              <w:t>Metric</w:t>
            </w:r>
          </w:p>
        </w:tc>
        <w:tc>
          <w:tcPr>
            <w:tcW w:type="dxa" w:w="975"/>
          </w:tcPr>
          <w:p>
            <w:r>
              <w:rPr>
                <w:b/>
                <w:sz w:val="17"/>
              </w:rPr>
              <w:t>PLS</w:t>
            </w:r>
          </w:p>
        </w:tc>
        <w:tc>
          <w:tcPr>
            <w:tcW w:type="dxa" w:w="975"/>
          </w:tcPr>
          <w:p>
            <w:r>
              <w:rPr>
                <w:b/>
                <w:sz w:val="17"/>
              </w:rPr>
              <w:t>Ridge</w:t>
            </w:r>
          </w:p>
        </w:tc>
        <w:tc>
          <w:tcPr>
            <w:tcW w:type="dxa" w:w="975"/>
          </w:tcPr>
          <w:p>
            <w:r>
              <w:rPr>
                <w:b/>
                <w:sz w:val="17"/>
              </w:rPr>
              <w:t>Δ Ridge−PLS</w:t>
            </w:r>
          </w:p>
        </w:tc>
        <w:tc>
          <w:tcPr>
            <w:tcW w:type="dxa" w:w="975"/>
          </w:tcPr>
          <w:p>
            <w:r>
              <w:rPr>
                <w:b/>
                <w:sz w:val="17"/>
              </w:rPr>
              <w:t>95% CI</w:t>
            </w:r>
          </w:p>
        </w:tc>
        <w:tc>
          <w:tcPr>
            <w:tcW w:type="dxa" w:w="975"/>
          </w:tcPr>
          <w:p>
            <w:r>
              <w:rPr>
                <w:b/>
                <w:sz w:val="17"/>
              </w:rPr>
              <w:t>Result</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THYM</w:t>
            </w:r>
          </w:p>
        </w:tc>
        <w:tc>
          <w:tcPr>
            <w:tcW w:type="dxa" w:w="975"/>
            <w:vAlign w:val="center"/>
          </w:tcPr>
          <w:p>
            <w:r>
              <w:rPr>
                <w:sz w:val="16"/>
              </w:rPr>
              <w:t>GTF2I</w:t>
            </w:r>
          </w:p>
        </w:tc>
        <w:tc>
          <w:tcPr>
            <w:tcW w:type="dxa" w:w="975"/>
            <w:vAlign w:val="center"/>
          </w:tcPr>
          <w:p>
            <w:r>
              <w:rPr>
                <w:sz w:val="16"/>
              </w:rPr>
              <w:t>AUROC</w:t>
            </w:r>
          </w:p>
        </w:tc>
        <w:tc>
          <w:tcPr>
            <w:tcW w:type="dxa" w:w="975"/>
            <w:vAlign w:val="center"/>
          </w:tcPr>
          <w:p>
            <w:r>
              <w:rPr>
                <w:sz w:val="16"/>
              </w:rPr>
              <w:t>0.911</w:t>
            </w:r>
          </w:p>
        </w:tc>
        <w:tc>
          <w:tcPr>
            <w:tcW w:type="dxa" w:w="975"/>
            <w:vAlign w:val="center"/>
          </w:tcPr>
          <w:p>
            <w:r>
              <w:rPr>
                <w:sz w:val="16"/>
              </w:rPr>
              <w:t>0.937</w:t>
            </w:r>
          </w:p>
        </w:tc>
        <w:tc>
          <w:tcPr>
            <w:tcW w:type="dxa" w:w="975"/>
            <w:vAlign w:val="center"/>
          </w:tcPr>
          <w:p>
            <w:r>
              <w:rPr>
                <w:sz w:val="16"/>
              </w:rPr>
              <w:t>0.026</w:t>
            </w:r>
          </w:p>
        </w:tc>
        <w:tc>
          <w:tcPr>
            <w:tcW w:type="dxa" w:w="975"/>
            <w:vAlign w:val="center"/>
          </w:tcPr>
          <w:p>
            <w:r>
              <w:rPr>
                <w:sz w:val="16"/>
              </w:rPr>
              <w:t>0.007 to 0.044</w:t>
            </w:r>
          </w:p>
        </w:tc>
        <w:tc>
          <w:tcPr>
            <w:tcW w:type="dxa" w:w="975"/>
            <w:vAlign w:val="center"/>
          </w:tcPr>
          <w:p>
            <w:r>
              <w:rPr>
                <w:sz w:val="16"/>
              </w:rPr>
              <w:t>ridge</w:t>
            </w:r>
          </w:p>
        </w:tc>
      </w:tr>
      <w:tr>
        <w:trPr>
          <w:cantSplit/>
        </w:trPr>
        <w:tc>
          <w:tcPr>
            <w:tcW w:type="dxa" w:w="975"/>
            <w:vAlign w:val="center"/>
          </w:tcPr>
          <w:p>
            <w:r>
              <w:rPr>
                <w:sz w:val="16"/>
              </w:rPr>
              <w:t>bin.</w:t>
            </w:r>
          </w:p>
        </w:tc>
        <w:tc>
          <w:tcPr>
            <w:tcW w:type="dxa" w:w="975"/>
            <w:vAlign w:val="center"/>
          </w:tcPr>
          <w:p>
            <w:r>
              <w:rPr>
                <w:sz w:val="16"/>
              </w:rPr>
              <w:t>MSI</w:t>
            </w:r>
          </w:p>
        </w:tc>
        <w:tc>
          <w:tcPr>
            <w:tcW w:type="dxa" w:w="975"/>
            <w:vAlign w:val="center"/>
          </w:tcPr>
          <w:p>
            <w:r>
              <w:rPr>
                <w:sz w:val="16"/>
              </w:rPr>
              <w:t>COAD</w:t>
            </w:r>
          </w:p>
        </w:tc>
        <w:tc>
          <w:tcPr>
            <w:tcW w:type="dxa" w:w="975"/>
            <w:vAlign w:val="center"/>
          </w:tcPr>
          <w:p>
            <w:r>
              <w:rPr>
                <w:sz w:val="16"/>
              </w:rPr>
              <w:t>MSI-H strict (MANTIS &gt;0.6)</w:t>
            </w:r>
          </w:p>
        </w:tc>
        <w:tc>
          <w:tcPr>
            <w:tcW w:type="dxa" w:w="975"/>
            <w:vAlign w:val="center"/>
          </w:tcPr>
          <w:p>
            <w:r>
              <w:rPr>
                <w:sz w:val="16"/>
              </w:rPr>
              <w:t>AUROC</w:t>
            </w:r>
          </w:p>
        </w:tc>
        <w:tc>
          <w:tcPr>
            <w:tcW w:type="dxa" w:w="975"/>
            <w:vAlign w:val="center"/>
          </w:tcPr>
          <w:p>
            <w:r>
              <w:rPr>
                <w:sz w:val="16"/>
              </w:rPr>
              <w:t>0.911</w:t>
            </w:r>
          </w:p>
        </w:tc>
        <w:tc>
          <w:tcPr>
            <w:tcW w:type="dxa" w:w="975"/>
            <w:vAlign w:val="center"/>
          </w:tcPr>
          <w:p>
            <w:r>
              <w:rPr>
                <w:sz w:val="16"/>
              </w:rPr>
              <w:t>0.911</w:t>
            </w:r>
          </w:p>
        </w:tc>
        <w:tc>
          <w:tcPr>
            <w:tcW w:type="dxa" w:w="975"/>
            <w:vAlign w:val="center"/>
          </w:tcPr>
          <w:p>
            <w:r>
              <w:rPr>
                <w:sz w:val="16"/>
              </w:rPr>
              <w:t>0.000</w:t>
            </w:r>
          </w:p>
        </w:tc>
        <w:tc>
          <w:tcPr>
            <w:tcW w:type="dxa" w:w="975"/>
            <w:vAlign w:val="center"/>
          </w:tcPr>
          <w:p>
            <w:r>
              <w:rPr>
                <w:sz w:val="16"/>
              </w:rPr>
              <w:t>-0.017 to 0.018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0.905</w:t>
            </w:r>
          </w:p>
        </w:tc>
        <w:tc>
          <w:tcPr>
            <w:tcW w:type="dxa" w:w="975"/>
            <w:vAlign w:val="center"/>
          </w:tcPr>
          <w:p>
            <w:r>
              <w:rPr>
                <w:sz w:val="16"/>
              </w:rPr>
              <w:t>0.907</w:t>
            </w:r>
          </w:p>
        </w:tc>
        <w:tc>
          <w:tcPr>
            <w:tcW w:type="dxa" w:w="975"/>
            <w:vAlign w:val="center"/>
          </w:tcPr>
          <w:p>
            <w:r>
              <w:rPr>
                <w:sz w:val="16"/>
              </w:rPr>
              <w:t>0.002</w:t>
            </w:r>
          </w:p>
        </w:tc>
        <w:tc>
          <w:tcPr>
            <w:tcW w:type="dxa" w:w="975"/>
            <w:vAlign w:val="center"/>
          </w:tcPr>
          <w:p>
            <w:r>
              <w:rPr>
                <w:sz w:val="16"/>
              </w:rPr>
              <w:t>-0.003 to 0.006</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0.899</w:t>
            </w:r>
          </w:p>
        </w:tc>
        <w:tc>
          <w:tcPr>
            <w:tcW w:type="dxa" w:w="975"/>
            <w:vAlign w:val="center"/>
          </w:tcPr>
          <w:p>
            <w:r>
              <w:rPr>
                <w:sz w:val="16"/>
              </w:rPr>
              <w:t>0.918</w:t>
            </w:r>
          </w:p>
        </w:tc>
        <w:tc>
          <w:tcPr>
            <w:tcW w:type="dxa" w:w="975"/>
            <w:vAlign w:val="center"/>
          </w:tcPr>
          <w:p>
            <w:r>
              <w:rPr>
                <w:sz w:val="16"/>
              </w:rPr>
              <w:t>0.018</w:t>
            </w:r>
          </w:p>
        </w:tc>
        <w:tc>
          <w:tcPr>
            <w:tcW w:type="dxa" w:w="975"/>
            <w:vAlign w:val="center"/>
          </w:tcPr>
          <w:p>
            <w:r>
              <w:rPr>
                <w:sz w:val="16"/>
              </w:rPr>
              <w:t>-0.041 to 0.078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THCA</w:t>
            </w:r>
          </w:p>
        </w:tc>
        <w:tc>
          <w:tcPr>
            <w:tcW w:type="dxa" w:w="975"/>
            <w:vAlign w:val="center"/>
          </w:tcPr>
          <w:p>
            <w:r>
              <w:rPr>
                <w:sz w:val="16"/>
              </w:rPr>
              <w:t>BRAF</w:t>
            </w:r>
          </w:p>
        </w:tc>
        <w:tc>
          <w:tcPr>
            <w:tcW w:type="dxa" w:w="975"/>
            <w:vAlign w:val="center"/>
          </w:tcPr>
          <w:p>
            <w:r>
              <w:rPr>
                <w:sz w:val="16"/>
              </w:rPr>
              <w:t>AUROC</w:t>
            </w:r>
          </w:p>
        </w:tc>
        <w:tc>
          <w:tcPr>
            <w:tcW w:type="dxa" w:w="975"/>
            <w:vAlign w:val="center"/>
          </w:tcPr>
          <w:p>
            <w:r>
              <w:rPr>
                <w:sz w:val="16"/>
              </w:rPr>
              <w:t>0.893</w:t>
            </w:r>
          </w:p>
        </w:tc>
        <w:tc>
          <w:tcPr>
            <w:tcW w:type="dxa" w:w="975"/>
            <w:vAlign w:val="center"/>
          </w:tcPr>
          <w:p>
            <w:r>
              <w:rPr>
                <w:sz w:val="16"/>
              </w:rPr>
              <w:t>0.892</w:t>
            </w:r>
          </w:p>
        </w:tc>
        <w:tc>
          <w:tcPr>
            <w:tcW w:type="dxa" w:w="975"/>
            <w:vAlign w:val="center"/>
          </w:tcPr>
          <w:p>
            <w:r>
              <w:rPr>
                <w:sz w:val="16"/>
              </w:rPr>
              <w:t>-0.001</w:t>
            </w:r>
          </w:p>
        </w:tc>
        <w:tc>
          <w:tcPr>
            <w:tcW w:type="dxa" w:w="975"/>
            <w:vAlign w:val="center"/>
          </w:tcPr>
          <w:p>
            <w:r>
              <w:rPr>
                <w:sz w:val="16"/>
              </w:rPr>
              <w:t>-0.008 to 0.006</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HIPPO</w:t>
            </w:r>
          </w:p>
        </w:tc>
        <w:tc>
          <w:tcPr>
            <w:tcW w:type="dxa" w:w="975"/>
            <w:vAlign w:val="center"/>
          </w:tcPr>
          <w:p>
            <w:r>
              <w:rPr>
                <w:sz w:val="16"/>
              </w:rPr>
              <w:t>AUROC</w:t>
            </w:r>
          </w:p>
        </w:tc>
        <w:tc>
          <w:tcPr>
            <w:tcW w:type="dxa" w:w="975"/>
            <w:vAlign w:val="center"/>
          </w:tcPr>
          <w:p>
            <w:r>
              <w:rPr>
                <w:sz w:val="16"/>
              </w:rPr>
              <w:t>0.892</w:t>
            </w:r>
          </w:p>
        </w:tc>
        <w:tc>
          <w:tcPr>
            <w:tcW w:type="dxa" w:w="975"/>
            <w:vAlign w:val="center"/>
          </w:tcPr>
          <w:p>
            <w:r>
              <w:rPr>
                <w:sz w:val="16"/>
              </w:rPr>
              <w:t>0.899</w:t>
            </w:r>
          </w:p>
        </w:tc>
        <w:tc>
          <w:tcPr>
            <w:tcW w:type="dxa" w:w="975"/>
            <w:vAlign w:val="center"/>
          </w:tcPr>
          <w:p>
            <w:r>
              <w:rPr>
                <w:sz w:val="16"/>
              </w:rPr>
              <w:t>0.007</w:t>
            </w:r>
          </w:p>
        </w:tc>
        <w:tc>
          <w:tcPr>
            <w:tcW w:type="dxa" w:w="975"/>
            <w:vAlign w:val="center"/>
          </w:tcPr>
          <w:p>
            <w:r>
              <w:rPr>
                <w:sz w:val="16"/>
              </w:rPr>
              <w:t>-0.008 to 0.022</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0.883</w:t>
            </w:r>
          </w:p>
        </w:tc>
        <w:tc>
          <w:tcPr>
            <w:tcW w:type="dxa" w:w="975"/>
            <w:vAlign w:val="center"/>
          </w:tcPr>
          <w:p>
            <w:r>
              <w:rPr>
                <w:sz w:val="16"/>
              </w:rPr>
              <w:t>0.890</w:t>
            </w:r>
          </w:p>
        </w:tc>
        <w:tc>
          <w:tcPr>
            <w:tcW w:type="dxa" w:w="975"/>
            <w:vAlign w:val="center"/>
          </w:tcPr>
          <w:p>
            <w:r>
              <w:rPr>
                <w:sz w:val="16"/>
              </w:rPr>
              <w:t>0.007</w:t>
            </w:r>
          </w:p>
        </w:tc>
        <w:tc>
          <w:tcPr>
            <w:tcW w:type="dxa" w:w="975"/>
            <w:vAlign w:val="center"/>
          </w:tcPr>
          <w:p>
            <w:r>
              <w:rPr>
                <w:sz w:val="16"/>
              </w:rPr>
              <w:t>-0.000 to 0.014</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APC</w:t>
            </w:r>
          </w:p>
        </w:tc>
        <w:tc>
          <w:tcPr>
            <w:tcW w:type="dxa" w:w="975"/>
            <w:vAlign w:val="center"/>
          </w:tcPr>
          <w:p>
            <w:r>
              <w:rPr>
                <w:sz w:val="16"/>
              </w:rPr>
              <w:t>AUROC</w:t>
            </w:r>
          </w:p>
        </w:tc>
        <w:tc>
          <w:tcPr>
            <w:tcW w:type="dxa" w:w="975"/>
            <w:vAlign w:val="center"/>
          </w:tcPr>
          <w:p>
            <w:r>
              <w:rPr>
                <w:sz w:val="16"/>
              </w:rPr>
              <w:t>0.881</w:t>
            </w:r>
          </w:p>
        </w:tc>
        <w:tc>
          <w:tcPr>
            <w:tcW w:type="dxa" w:w="975"/>
            <w:vAlign w:val="center"/>
          </w:tcPr>
          <w:p>
            <w:r>
              <w:rPr>
                <w:sz w:val="16"/>
              </w:rPr>
              <w:t>0.894</w:t>
            </w:r>
          </w:p>
        </w:tc>
        <w:tc>
          <w:tcPr>
            <w:tcW w:type="dxa" w:w="975"/>
            <w:vAlign w:val="center"/>
          </w:tcPr>
          <w:p>
            <w:r>
              <w:rPr>
                <w:sz w:val="16"/>
              </w:rPr>
              <w:t>0.013</w:t>
            </w:r>
          </w:p>
        </w:tc>
        <w:tc>
          <w:tcPr>
            <w:tcW w:type="dxa" w:w="975"/>
            <w:vAlign w:val="center"/>
          </w:tcPr>
          <w:p>
            <w:r>
              <w:rPr>
                <w:sz w:val="16"/>
              </w:rPr>
              <w:t>-0.023 to 0.049</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0.854</w:t>
            </w:r>
          </w:p>
        </w:tc>
        <w:tc>
          <w:tcPr>
            <w:tcW w:type="dxa" w:w="975"/>
            <w:vAlign w:val="center"/>
          </w:tcPr>
          <w:p>
            <w:r>
              <w:rPr>
                <w:sz w:val="16"/>
              </w:rPr>
              <w:t>0.863</w:t>
            </w:r>
          </w:p>
        </w:tc>
        <w:tc>
          <w:tcPr>
            <w:tcW w:type="dxa" w:w="975"/>
            <w:vAlign w:val="center"/>
          </w:tcPr>
          <w:p>
            <w:r>
              <w:rPr>
                <w:sz w:val="16"/>
              </w:rPr>
              <w:t>0.008</w:t>
            </w:r>
          </w:p>
        </w:tc>
        <w:tc>
          <w:tcPr>
            <w:tcW w:type="dxa" w:w="975"/>
            <w:vAlign w:val="center"/>
          </w:tcPr>
          <w:p>
            <w:r>
              <w:rPr>
                <w:sz w:val="16"/>
              </w:rPr>
              <w:t>-0.004 to 0.021</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APC</w:t>
            </w:r>
          </w:p>
        </w:tc>
        <w:tc>
          <w:tcPr>
            <w:tcW w:type="dxa" w:w="975"/>
            <w:vAlign w:val="center"/>
          </w:tcPr>
          <w:p>
            <w:r>
              <w:rPr>
                <w:sz w:val="16"/>
              </w:rPr>
              <w:t>AUROC</w:t>
            </w:r>
          </w:p>
        </w:tc>
        <w:tc>
          <w:tcPr>
            <w:tcW w:type="dxa" w:w="975"/>
            <w:vAlign w:val="center"/>
          </w:tcPr>
          <w:p>
            <w:r>
              <w:rPr>
                <w:sz w:val="16"/>
              </w:rPr>
              <w:t>0.852</w:t>
            </w:r>
          </w:p>
        </w:tc>
        <w:tc>
          <w:tcPr>
            <w:tcW w:type="dxa" w:w="975"/>
            <w:vAlign w:val="center"/>
          </w:tcPr>
          <w:p>
            <w:r>
              <w:rPr>
                <w:sz w:val="16"/>
              </w:rPr>
              <w:t>0.849</w:t>
            </w:r>
          </w:p>
        </w:tc>
        <w:tc>
          <w:tcPr>
            <w:tcW w:type="dxa" w:w="975"/>
            <w:vAlign w:val="center"/>
          </w:tcPr>
          <w:p>
            <w:r>
              <w:rPr>
                <w:sz w:val="16"/>
              </w:rPr>
              <w:t>-0.003</w:t>
            </w:r>
          </w:p>
        </w:tc>
        <w:tc>
          <w:tcPr>
            <w:tcW w:type="dxa" w:w="975"/>
            <w:vAlign w:val="center"/>
          </w:tcPr>
          <w:p>
            <w:r>
              <w:rPr>
                <w:sz w:val="16"/>
              </w:rPr>
              <w:t>-0.014 to 0.008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fusion</w:t>
            </w:r>
          </w:p>
        </w:tc>
        <w:tc>
          <w:tcPr>
            <w:tcW w:type="dxa" w:w="975"/>
            <w:vAlign w:val="center"/>
          </w:tcPr>
          <w:p>
            <w:r>
              <w:rPr>
                <w:sz w:val="16"/>
              </w:rPr>
              <w:t>UCEC</w:t>
            </w:r>
          </w:p>
        </w:tc>
        <w:tc>
          <w:tcPr>
            <w:tcW w:type="dxa" w:w="975"/>
            <w:vAlign w:val="center"/>
          </w:tcPr>
          <w:p>
            <w:r>
              <w:rPr>
                <w:sz w:val="16"/>
              </w:rPr>
              <w:t>Any called fusion</w:t>
            </w:r>
          </w:p>
        </w:tc>
        <w:tc>
          <w:tcPr>
            <w:tcW w:type="dxa" w:w="975"/>
            <w:vAlign w:val="center"/>
          </w:tcPr>
          <w:p>
            <w:r>
              <w:rPr>
                <w:sz w:val="16"/>
              </w:rPr>
              <w:t>AUROC</w:t>
            </w:r>
          </w:p>
        </w:tc>
        <w:tc>
          <w:tcPr>
            <w:tcW w:type="dxa" w:w="975"/>
            <w:vAlign w:val="center"/>
          </w:tcPr>
          <w:p>
            <w:r>
              <w:rPr>
                <w:sz w:val="16"/>
              </w:rPr>
              <w:t>0.848</w:t>
            </w:r>
          </w:p>
        </w:tc>
        <w:tc>
          <w:tcPr>
            <w:tcW w:type="dxa" w:w="975"/>
            <w:vAlign w:val="center"/>
          </w:tcPr>
          <w:p>
            <w:r>
              <w:rPr>
                <w:sz w:val="16"/>
              </w:rPr>
              <w:t>0.841</w:t>
            </w:r>
          </w:p>
        </w:tc>
        <w:tc>
          <w:tcPr>
            <w:tcW w:type="dxa" w:w="975"/>
            <w:vAlign w:val="center"/>
          </w:tcPr>
          <w:p>
            <w:r>
              <w:rPr>
                <w:sz w:val="16"/>
              </w:rPr>
              <w:t>-0.007</w:t>
            </w:r>
          </w:p>
        </w:tc>
        <w:tc>
          <w:tcPr>
            <w:tcW w:type="dxa" w:w="975"/>
            <w:vAlign w:val="center"/>
          </w:tcPr>
          <w:p>
            <w:r>
              <w:rPr>
                <w:sz w:val="16"/>
              </w:rPr>
              <w:t>-0.033 to 0.019</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IDH1</w:t>
            </w:r>
          </w:p>
        </w:tc>
        <w:tc>
          <w:tcPr>
            <w:tcW w:type="dxa" w:w="975"/>
            <w:vAlign w:val="center"/>
          </w:tcPr>
          <w:p>
            <w:r>
              <w:rPr>
                <w:sz w:val="16"/>
              </w:rPr>
              <w:t>AUROC</w:t>
            </w:r>
          </w:p>
        </w:tc>
        <w:tc>
          <w:tcPr>
            <w:tcW w:type="dxa" w:w="975"/>
            <w:vAlign w:val="center"/>
          </w:tcPr>
          <w:p>
            <w:r>
              <w:rPr>
                <w:sz w:val="16"/>
              </w:rPr>
              <w:t>0.846</w:t>
            </w:r>
          </w:p>
        </w:tc>
        <w:tc>
          <w:tcPr>
            <w:tcW w:type="dxa" w:w="975"/>
            <w:vAlign w:val="center"/>
          </w:tcPr>
          <w:p>
            <w:r>
              <w:rPr>
                <w:sz w:val="16"/>
              </w:rPr>
              <w:t>0.844</w:t>
            </w:r>
          </w:p>
        </w:tc>
        <w:tc>
          <w:tcPr>
            <w:tcW w:type="dxa" w:w="975"/>
            <w:vAlign w:val="center"/>
          </w:tcPr>
          <w:p>
            <w:r>
              <w:rPr>
                <w:sz w:val="16"/>
              </w:rPr>
              <w:t>-0.002</w:t>
            </w:r>
          </w:p>
        </w:tc>
        <w:tc>
          <w:tcPr>
            <w:tcW w:type="dxa" w:w="975"/>
            <w:vAlign w:val="center"/>
          </w:tcPr>
          <w:p>
            <w:r>
              <w:rPr>
                <w:sz w:val="16"/>
              </w:rPr>
              <w:t>-0.015 to 0.011</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TGF-beta Response</w:t>
            </w:r>
          </w:p>
        </w:tc>
        <w:tc>
          <w:tcPr>
            <w:tcW w:type="dxa" w:w="975"/>
            <w:vAlign w:val="center"/>
          </w:tcPr>
          <w:p>
            <w:r>
              <w:rPr>
                <w:sz w:val="16"/>
              </w:rPr>
              <w:t>Q²</w:t>
            </w:r>
          </w:p>
        </w:tc>
        <w:tc>
          <w:tcPr>
            <w:tcW w:type="dxa" w:w="975"/>
            <w:vAlign w:val="center"/>
          </w:tcPr>
          <w:p>
            <w:r>
              <w:rPr>
                <w:sz w:val="16"/>
              </w:rPr>
              <w:t>0.670</w:t>
            </w:r>
          </w:p>
        </w:tc>
        <w:tc>
          <w:tcPr>
            <w:tcW w:type="dxa" w:w="975"/>
            <w:vAlign w:val="center"/>
          </w:tcPr>
          <w:p>
            <w:r>
              <w:rPr>
                <w:sz w:val="16"/>
              </w:rPr>
              <w:t>0.683</w:t>
            </w:r>
          </w:p>
        </w:tc>
        <w:tc>
          <w:tcPr>
            <w:tcW w:type="dxa" w:w="975"/>
            <w:vAlign w:val="center"/>
          </w:tcPr>
          <w:p>
            <w:r>
              <w:rPr>
                <w:sz w:val="16"/>
              </w:rPr>
              <w:t>0.013</w:t>
            </w:r>
          </w:p>
        </w:tc>
        <w:tc>
          <w:tcPr>
            <w:tcW w:type="dxa" w:w="975"/>
            <w:vAlign w:val="center"/>
          </w:tcPr>
          <w:p>
            <w:r>
              <w:rPr>
                <w:sz w:val="16"/>
              </w:rPr>
              <w:t>-0.001 to 0.028</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THYM</w:t>
            </w:r>
          </w:p>
        </w:tc>
        <w:tc>
          <w:tcPr>
            <w:tcW w:type="dxa" w:w="975"/>
            <w:vAlign w:val="center"/>
          </w:tcPr>
          <w:p>
            <w:r>
              <w:rPr>
                <w:sz w:val="16"/>
              </w:rPr>
              <w:t>Th17 Cells</w:t>
            </w:r>
          </w:p>
        </w:tc>
        <w:tc>
          <w:tcPr>
            <w:tcW w:type="dxa" w:w="975"/>
            <w:vAlign w:val="center"/>
          </w:tcPr>
          <w:p>
            <w:r>
              <w:rPr>
                <w:sz w:val="16"/>
              </w:rPr>
              <w:t>Q²</w:t>
            </w:r>
          </w:p>
        </w:tc>
        <w:tc>
          <w:tcPr>
            <w:tcW w:type="dxa" w:w="975"/>
            <w:vAlign w:val="center"/>
          </w:tcPr>
          <w:p>
            <w:r>
              <w:rPr>
                <w:sz w:val="16"/>
              </w:rPr>
              <w:t>0.594</w:t>
            </w:r>
          </w:p>
        </w:tc>
        <w:tc>
          <w:tcPr>
            <w:tcW w:type="dxa" w:w="975"/>
            <w:vAlign w:val="center"/>
          </w:tcPr>
          <w:p>
            <w:r>
              <w:rPr>
                <w:sz w:val="16"/>
              </w:rPr>
              <w:t>0.638</w:t>
            </w:r>
          </w:p>
        </w:tc>
        <w:tc>
          <w:tcPr>
            <w:tcW w:type="dxa" w:w="975"/>
            <w:vAlign w:val="center"/>
          </w:tcPr>
          <w:p>
            <w:r>
              <w:rPr>
                <w:sz w:val="16"/>
              </w:rPr>
              <w:t>0.044</w:t>
            </w:r>
          </w:p>
        </w:tc>
        <w:tc>
          <w:tcPr>
            <w:tcW w:type="dxa" w:w="975"/>
            <w:vAlign w:val="center"/>
          </w:tcPr>
          <w:p>
            <w:r>
              <w:rPr>
                <w:sz w:val="16"/>
              </w:rPr>
              <w:t>0.031 to 0.056</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Lymphocyte Infiltration Signature Score</w:t>
            </w:r>
          </w:p>
        </w:tc>
        <w:tc>
          <w:tcPr>
            <w:tcW w:type="dxa" w:w="975"/>
            <w:vAlign w:val="center"/>
          </w:tcPr>
          <w:p>
            <w:r>
              <w:rPr>
                <w:sz w:val="16"/>
              </w:rPr>
              <w:t>Q²</w:t>
            </w:r>
          </w:p>
        </w:tc>
        <w:tc>
          <w:tcPr>
            <w:tcW w:type="dxa" w:w="975"/>
            <w:vAlign w:val="center"/>
          </w:tcPr>
          <w:p>
            <w:r>
              <w:rPr>
                <w:sz w:val="16"/>
              </w:rPr>
              <w:t>0.577</w:t>
            </w:r>
          </w:p>
        </w:tc>
        <w:tc>
          <w:tcPr>
            <w:tcW w:type="dxa" w:w="975"/>
            <w:vAlign w:val="center"/>
          </w:tcPr>
          <w:p>
            <w:r>
              <w:rPr>
                <w:sz w:val="16"/>
              </w:rPr>
              <w:t>0.574</w:t>
            </w:r>
          </w:p>
        </w:tc>
        <w:tc>
          <w:tcPr>
            <w:tcW w:type="dxa" w:w="975"/>
            <w:vAlign w:val="center"/>
          </w:tcPr>
          <w:p>
            <w:r>
              <w:rPr>
                <w:sz w:val="16"/>
              </w:rPr>
              <w:t>-0.003</w:t>
            </w:r>
          </w:p>
        </w:tc>
        <w:tc>
          <w:tcPr>
            <w:tcW w:type="dxa" w:w="975"/>
            <w:vAlign w:val="center"/>
          </w:tcPr>
          <w:p>
            <w:r>
              <w:rPr>
                <w:sz w:val="16"/>
              </w:rPr>
              <w:t>-0.005 to -0.001</w:t>
            </w:r>
          </w:p>
        </w:tc>
        <w:tc>
          <w:tcPr>
            <w:tcW w:type="dxa" w:w="975"/>
            <w:vAlign w:val="center"/>
          </w:tcPr>
          <w:p>
            <w:r>
              <w:rPr>
                <w:sz w:val="16"/>
              </w:rPr>
              <w:t>PLS</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Wound Healing</w:t>
            </w:r>
          </w:p>
        </w:tc>
        <w:tc>
          <w:tcPr>
            <w:tcW w:type="dxa" w:w="975"/>
            <w:vAlign w:val="center"/>
          </w:tcPr>
          <w:p>
            <w:r>
              <w:rPr>
                <w:sz w:val="16"/>
              </w:rPr>
              <w:t>Q²</w:t>
            </w:r>
          </w:p>
        </w:tc>
        <w:tc>
          <w:tcPr>
            <w:tcW w:type="dxa" w:w="975"/>
            <w:vAlign w:val="center"/>
          </w:tcPr>
          <w:p>
            <w:r>
              <w:rPr>
                <w:sz w:val="16"/>
              </w:rPr>
              <w:t>0.528</w:t>
            </w:r>
          </w:p>
        </w:tc>
        <w:tc>
          <w:tcPr>
            <w:tcW w:type="dxa" w:w="975"/>
            <w:vAlign w:val="center"/>
          </w:tcPr>
          <w:p>
            <w:r>
              <w:rPr>
                <w:sz w:val="16"/>
              </w:rPr>
              <w:t>0.542</w:t>
            </w:r>
          </w:p>
        </w:tc>
        <w:tc>
          <w:tcPr>
            <w:tcW w:type="dxa" w:w="975"/>
            <w:vAlign w:val="center"/>
          </w:tcPr>
          <w:p>
            <w:r>
              <w:rPr>
                <w:sz w:val="16"/>
              </w:rPr>
              <w:t>0.014</w:t>
            </w:r>
          </w:p>
        </w:tc>
        <w:tc>
          <w:tcPr>
            <w:tcW w:type="dxa" w:w="975"/>
            <w:vAlign w:val="center"/>
          </w:tcPr>
          <w:p>
            <w:r>
              <w:rPr>
                <w:sz w:val="16"/>
              </w:rPr>
              <w:t>0.002 to 0.026</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TGF-beta Response</w:t>
            </w:r>
          </w:p>
        </w:tc>
        <w:tc>
          <w:tcPr>
            <w:tcW w:type="dxa" w:w="975"/>
            <w:vAlign w:val="center"/>
          </w:tcPr>
          <w:p>
            <w:r>
              <w:rPr>
                <w:sz w:val="16"/>
              </w:rPr>
              <w:t>Q²</w:t>
            </w:r>
          </w:p>
        </w:tc>
        <w:tc>
          <w:tcPr>
            <w:tcW w:type="dxa" w:w="975"/>
            <w:vAlign w:val="center"/>
          </w:tcPr>
          <w:p>
            <w:r>
              <w:rPr>
                <w:sz w:val="16"/>
              </w:rPr>
              <w:t>0.524</w:t>
            </w:r>
          </w:p>
        </w:tc>
        <w:tc>
          <w:tcPr>
            <w:tcW w:type="dxa" w:w="975"/>
            <w:vAlign w:val="center"/>
          </w:tcPr>
          <w:p>
            <w:r>
              <w:rPr>
                <w:sz w:val="16"/>
              </w:rPr>
              <w:t>0.533</w:t>
            </w:r>
          </w:p>
        </w:tc>
        <w:tc>
          <w:tcPr>
            <w:tcW w:type="dxa" w:w="975"/>
            <w:vAlign w:val="center"/>
          </w:tcPr>
          <w:p>
            <w:r>
              <w:rPr>
                <w:sz w:val="16"/>
              </w:rPr>
              <w:t>0.008</w:t>
            </w:r>
          </w:p>
        </w:tc>
        <w:tc>
          <w:tcPr>
            <w:tcW w:type="dxa" w:w="975"/>
            <w:vAlign w:val="center"/>
          </w:tcPr>
          <w:p>
            <w:r>
              <w:rPr>
                <w:sz w:val="16"/>
              </w:rPr>
              <w:t>-0.000 to 0.017</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LUAD</w:t>
            </w:r>
          </w:p>
        </w:tc>
        <w:tc>
          <w:tcPr>
            <w:tcW w:type="dxa" w:w="975"/>
            <w:vAlign w:val="center"/>
          </w:tcPr>
          <w:p>
            <w:r>
              <w:rPr>
                <w:sz w:val="16"/>
              </w:rPr>
              <w:t>Proliferation</w:t>
            </w:r>
          </w:p>
        </w:tc>
        <w:tc>
          <w:tcPr>
            <w:tcW w:type="dxa" w:w="975"/>
            <w:vAlign w:val="center"/>
          </w:tcPr>
          <w:p>
            <w:r>
              <w:rPr>
                <w:sz w:val="16"/>
              </w:rPr>
              <w:t>Q²</w:t>
            </w:r>
          </w:p>
        </w:tc>
        <w:tc>
          <w:tcPr>
            <w:tcW w:type="dxa" w:w="975"/>
            <w:vAlign w:val="center"/>
          </w:tcPr>
          <w:p>
            <w:r>
              <w:rPr>
                <w:sz w:val="16"/>
              </w:rPr>
              <w:t>0.524</w:t>
            </w:r>
          </w:p>
        </w:tc>
        <w:tc>
          <w:tcPr>
            <w:tcW w:type="dxa" w:w="975"/>
            <w:vAlign w:val="center"/>
          </w:tcPr>
          <w:p>
            <w:r>
              <w:rPr>
                <w:sz w:val="16"/>
              </w:rPr>
              <w:t>0.537</w:t>
            </w:r>
          </w:p>
        </w:tc>
        <w:tc>
          <w:tcPr>
            <w:tcW w:type="dxa" w:w="975"/>
            <w:vAlign w:val="center"/>
          </w:tcPr>
          <w:p>
            <w:r>
              <w:rPr>
                <w:sz w:val="16"/>
              </w:rPr>
              <w:t>0.013</w:t>
            </w:r>
          </w:p>
        </w:tc>
        <w:tc>
          <w:tcPr>
            <w:tcW w:type="dxa" w:w="975"/>
            <w:vAlign w:val="center"/>
          </w:tcPr>
          <w:p>
            <w:r>
              <w:rPr>
                <w:sz w:val="16"/>
              </w:rPr>
              <w:t>0.005 to 0.020</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Proliferation</w:t>
            </w:r>
          </w:p>
        </w:tc>
        <w:tc>
          <w:tcPr>
            <w:tcW w:type="dxa" w:w="975"/>
            <w:vAlign w:val="center"/>
          </w:tcPr>
          <w:p>
            <w:r>
              <w:rPr>
                <w:sz w:val="16"/>
              </w:rPr>
              <w:t>Q²</w:t>
            </w:r>
          </w:p>
        </w:tc>
        <w:tc>
          <w:tcPr>
            <w:tcW w:type="dxa" w:w="975"/>
            <w:vAlign w:val="center"/>
          </w:tcPr>
          <w:p>
            <w:r>
              <w:rPr>
                <w:sz w:val="16"/>
              </w:rPr>
              <w:t>0.515</w:t>
            </w:r>
          </w:p>
        </w:tc>
        <w:tc>
          <w:tcPr>
            <w:tcW w:type="dxa" w:w="975"/>
            <w:vAlign w:val="center"/>
          </w:tcPr>
          <w:p>
            <w:r>
              <w:rPr>
                <w:sz w:val="16"/>
              </w:rPr>
              <w:t>0.531</w:t>
            </w:r>
          </w:p>
        </w:tc>
        <w:tc>
          <w:tcPr>
            <w:tcW w:type="dxa" w:w="975"/>
            <w:vAlign w:val="center"/>
          </w:tcPr>
          <w:p>
            <w:r>
              <w:rPr>
                <w:sz w:val="16"/>
              </w:rPr>
              <w:t>0.016</w:t>
            </w:r>
          </w:p>
        </w:tc>
        <w:tc>
          <w:tcPr>
            <w:tcW w:type="dxa" w:w="975"/>
            <w:vAlign w:val="center"/>
          </w:tcPr>
          <w:p>
            <w:r>
              <w:rPr>
                <w:sz w:val="16"/>
              </w:rPr>
              <w:t>0.003 to 0.029</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Th1 Cells</w:t>
            </w:r>
          </w:p>
        </w:tc>
        <w:tc>
          <w:tcPr>
            <w:tcW w:type="dxa" w:w="975"/>
            <w:vAlign w:val="center"/>
          </w:tcPr>
          <w:p>
            <w:r>
              <w:rPr>
                <w:sz w:val="16"/>
              </w:rPr>
              <w:t>Q²</w:t>
            </w:r>
          </w:p>
        </w:tc>
        <w:tc>
          <w:tcPr>
            <w:tcW w:type="dxa" w:w="975"/>
            <w:vAlign w:val="center"/>
          </w:tcPr>
          <w:p>
            <w:r>
              <w:rPr>
                <w:sz w:val="16"/>
              </w:rPr>
              <w:t>0.514</w:t>
            </w:r>
          </w:p>
        </w:tc>
        <w:tc>
          <w:tcPr>
            <w:tcW w:type="dxa" w:w="975"/>
            <w:vAlign w:val="center"/>
          </w:tcPr>
          <w:p>
            <w:r>
              <w:rPr>
                <w:sz w:val="16"/>
              </w:rPr>
              <w:t>0.530</w:t>
            </w:r>
          </w:p>
        </w:tc>
        <w:tc>
          <w:tcPr>
            <w:tcW w:type="dxa" w:w="975"/>
            <w:vAlign w:val="center"/>
          </w:tcPr>
          <w:p>
            <w:r>
              <w:rPr>
                <w:sz w:val="16"/>
              </w:rPr>
              <w:t>0.016</w:t>
            </w:r>
          </w:p>
        </w:tc>
        <w:tc>
          <w:tcPr>
            <w:tcW w:type="dxa" w:w="975"/>
            <w:vAlign w:val="center"/>
          </w:tcPr>
          <w:p>
            <w:r>
              <w:rPr>
                <w:sz w:val="16"/>
              </w:rPr>
              <w:t>0.012 to 0.020</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Wound Healing</w:t>
            </w:r>
          </w:p>
        </w:tc>
        <w:tc>
          <w:tcPr>
            <w:tcW w:type="dxa" w:w="975"/>
            <w:vAlign w:val="center"/>
          </w:tcPr>
          <w:p>
            <w:r>
              <w:rPr>
                <w:sz w:val="16"/>
              </w:rPr>
              <w:t>Q²</w:t>
            </w:r>
          </w:p>
        </w:tc>
        <w:tc>
          <w:tcPr>
            <w:tcW w:type="dxa" w:w="975"/>
            <w:vAlign w:val="center"/>
          </w:tcPr>
          <w:p>
            <w:r>
              <w:rPr>
                <w:sz w:val="16"/>
              </w:rPr>
              <w:t>0.511</w:t>
            </w:r>
          </w:p>
        </w:tc>
        <w:tc>
          <w:tcPr>
            <w:tcW w:type="dxa" w:w="975"/>
            <w:vAlign w:val="center"/>
          </w:tcPr>
          <w:p>
            <w:r>
              <w:rPr>
                <w:sz w:val="16"/>
              </w:rPr>
              <w:t>0.486</w:t>
            </w:r>
          </w:p>
        </w:tc>
        <w:tc>
          <w:tcPr>
            <w:tcW w:type="dxa" w:w="975"/>
            <w:vAlign w:val="center"/>
          </w:tcPr>
          <w:p>
            <w:r>
              <w:rPr>
                <w:sz w:val="16"/>
              </w:rPr>
              <w:t>-0.025</w:t>
            </w:r>
          </w:p>
        </w:tc>
        <w:tc>
          <w:tcPr>
            <w:tcW w:type="dxa" w:w="975"/>
            <w:vAlign w:val="center"/>
          </w:tcPr>
          <w:p>
            <w:r>
              <w:rPr>
                <w:sz w:val="16"/>
              </w:rPr>
              <w:t>-0.040 to -0.009</w:t>
            </w:r>
          </w:p>
        </w:tc>
        <w:tc>
          <w:tcPr>
            <w:tcW w:type="dxa" w:w="975"/>
            <w:vAlign w:val="center"/>
          </w:tcPr>
          <w:p>
            <w:r>
              <w:rPr>
                <w:sz w:val="16"/>
              </w:rPr>
              <w:t>PLS</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Macrophage Regulation</w:t>
            </w:r>
          </w:p>
        </w:tc>
        <w:tc>
          <w:tcPr>
            <w:tcW w:type="dxa" w:w="975"/>
            <w:vAlign w:val="center"/>
          </w:tcPr>
          <w:p>
            <w:r>
              <w:rPr>
                <w:sz w:val="16"/>
              </w:rPr>
              <w:t>Q²</w:t>
            </w:r>
          </w:p>
        </w:tc>
        <w:tc>
          <w:tcPr>
            <w:tcW w:type="dxa" w:w="975"/>
            <w:vAlign w:val="center"/>
          </w:tcPr>
          <w:p>
            <w:r>
              <w:rPr>
                <w:sz w:val="16"/>
              </w:rPr>
              <w:t>0.509</w:t>
            </w:r>
          </w:p>
        </w:tc>
        <w:tc>
          <w:tcPr>
            <w:tcW w:type="dxa" w:w="975"/>
            <w:vAlign w:val="center"/>
          </w:tcPr>
          <w:p>
            <w:r>
              <w:rPr>
                <w:sz w:val="16"/>
              </w:rPr>
              <w:t>0.513</w:t>
            </w:r>
          </w:p>
        </w:tc>
        <w:tc>
          <w:tcPr>
            <w:tcW w:type="dxa" w:w="975"/>
            <w:vAlign w:val="center"/>
          </w:tcPr>
          <w:p>
            <w:r>
              <w:rPr>
                <w:sz w:val="16"/>
              </w:rPr>
              <w:t>0.004</w:t>
            </w:r>
          </w:p>
        </w:tc>
        <w:tc>
          <w:tcPr>
            <w:tcW w:type="dxa" w:w="975"/>
            <w:vAlign w:val="center"/>
          </w:tcPr>
          <w:p>
            <w:r>
              <w:rPr>
                <w:sz w:val="16"/>
              </w:rPr>
              <w:t>-0.000 to 0.008</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SARC</w:t>
            </w:r>
          </w:p>
        </w:tc>
        <w:tc>
          <w:tcPr>
            <w:tcW w:type="dxa" w:w="975"/>
            <w:vAlign w:val="center"/>
          </w:tcPr>
          <w:p>
            <w:r>
              <w:rPr>
                <w:sz w:val="16"/>
              </w:rPr>
              <w:t>Macrophage Regulation</w:t>
            </w:r>
          </w:p>
        </w:tc>
        <w:tc>
          <w:tcPr>
            <w:tcW w:type="dxa" w:w="975"/>
            <w:vAlign w:val="center"/>
          </w:tcPr>
          <w:p>
            <w:r>
              <w:rPr>
                <w:sz w:val="16"/>
              </w:rPr>
              <w:t>Q²</w:t>
            </w:r>
          </w:p>
        </w:tc>
        <w:tc>
          <w:tcPr>
            <w:tcW w:type="dxa" w:w="975"/>
            <w:vAlign w:val="center"/>
          </w:tcPr>
          <w:p>
            <w:r>
              <w:rPr>
                <w:sz w:val="16"/>
              </w:rPr>
              <w:t>0.502</w:t>
            </w:r>
          </w:p>
        </w:tc>
        <w:tc>
          <w:tcPr>
            <w:tcW w:type="dxa" w:w="975"/>
            <w:vAlign w:val="center"/>
          </w:tcPr>
          <w:p>
            <w:r>
              <w:rPr>
                <w:sz w:val="16"/>
              </w:rPr>
              <w:t>0.527</w:t>
            </w:r>
          </w:p>
        </w:tc>
        <w:tc>
          <w:tcPr>
            <w:tcW w:type="dxa" w:w="975"/>
            <w:vAlign w:val="center"/>
          </w:tcPr>
          <w:p>
            <w:r>
              <w:rPr>
                <w:sz w:val="16"/>
              </w:rPr>
              <w:t>0.026</w:t>
            </w:r>
          </w:p>
        </w:tc>
        <w:tc>
          <w:tcPr>
            <w:tcW w:type="dxa" w:w="975"/>
            <w:vAlign w:val="center"/>
          </w:tcPr>
          <w:p>
            <w:r>
              <w:rPr>
                <w:sz w:val="16"/>
              </w:rPr>
              <w:t>0.018 to 0.034</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KIRP</w:t>
            </w:r>
          </w:p>
        </w:tc>
        <w:tc>
          <w:tcPr>
            <w:tcW w:type="dxa" w:w="975"/>
            <w:vAlign w:val="center"/>
          </w:tcPr>
          <w:p>
            <w:r>
              <w:rPr>
                <w:sz w:val="16"/>
              </w:rPr>
              <w:t>Proliferation</w:t>
            </w:r>
          </w:p>
        </w:tc>
        <w:tc>
          <w:tcPr>
            <w:tcW w:type="dxa" w:w="975"/>
            <w:vAlign w:val="center"/>
          </w:tcPr>
          <w:p>
            <w:r>
              <w:rPr>
                <w:sz w:val="16"/>
              </w:rPr>
              <w:t>Q²</w:t>
            </w:r>
          </w:p>
        </w:tc>
        <w:tc>
          <w:tcPr>
            <w:tcW w:type="dxa" w:w="975"/>
            <w:vAlign w:val="center"/>
          </w:tcPr>
          <w:p>
            <w:r>
              <w:rPr>
                <w:sz w:val="16"/>
              </w:rPr>
              <w:t>0.499</w:t>
            </w:r>
          </w:p>
        </w:tc>
        <w:tc>
          <w:tcPr>
            <w:tcW w:type="dxa" w:w="975"/>
            <w:vAlign w:val="center"/>
          </w:tcPr>
          <w:p>
            <w:r>
              <w:rPr>
                <w:sz w:val="16"/>
              </w:rPr>
              <w:t>0.519</w:t>
            </w:r>
          </w:p>
        </w:tc>
        <w:tc>
          <w:tcPr>
            <w:tcW w:type="dxa" w:w="975"/>
            <w:vAlign w:val="center"/>
          </w:tcPr>
          <w:p>
            <w:r>
              <w:rPr>
                <w:sz w:val="16"/>
              </w:rPr>
              <w:t>0.020</w:t>
            </w:r>
          </w:p>
        </w:tc>
        <w:tc>
          <w:tcPr>
            <w:tcW w:type="dxa" w:w="975"/>
            <w:vAlign w:val="center"/>
          </w:tcPr>
          <w:p>
            <w:r>
              <w:rPr>
                <w:sz w:val="16"/>
              </w:rPr>
              <w:t>0.010 to 0.030</w:t>
            </w:r>
          </w:p>
        </w:tc>
        <w:tc>
          <w:tcPr>
            <w:tcW w:type="dxa" w:w="975"/>
            <w:vAlign w:val="center"/>
          </w:tcPr>
          <w:p>
            <w:r>
              <w:rPr>
                <w:sz w:val="16"/>
              </w:rPr>
              <w:t>ridge</w:t>
            </w:r>
          </w:p>
        </w:tc>
      </w:tr>
    </w:tbl>
    <w:p/>
    <w:p>
      <w:pPr>
        <w:pStyle w:val="Caption"/>
      </w:pPr>
      <w:r>
        <w:t>Panel B. Secondary metric; binary balanced accuracy uses inner-CV operating thresholds selected identically for both methods.</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tblHeader w:val="true"/>
          <w:cantSplit/>
        </w:trPr>
        <w:tc>
          <w:tcPr>
            <w:tcW w:type="dxa" w:w="975"/>
          </w:tcPr>
          <w:p>
            <w:r>
              <w:rPr>
                <w:b/>
                <w:sz w:val="17"/>
              </w:rPr>
              <w:t>Type</w:t>
            </w:r>
          </w:p>
        </w:tc>
        <w:tc>
          <w:tcPr>
            <w:tcW w:type="dxa" w:w="975"/>
          </w:tcPr>
          <w:p>
            <w:r>
              <w:rPr>
                <w:b/>
                <w:sz w:val="17"/>
              </w:rPr>
              <w:t>Family</w:t>
            </w:r>
          </w:p>
        </w:tc>
        <w:tc>
          <w:tcPr>
            <w:tcW w:type="dxa" w:w="975"/>
          </w:tcPr>
          <w:p>
            <w:r>
              <w:rPr>
                <w:b/>
                <w:sz w:val="17"/>
              </w:rPr>
              <w:t>Cancer</w:t>
            </w:r>
          </w:p>
        </w:tc>
        <w:tc>
          <w:tcPr>
            <w:tcW w:type="dxa" w:w="975"/>
          </w:tcPr>
          <w:p>
            <w:r>
              <w:rPr>
                <w:b/>
                <w:sz w:val="17"/>
              </w:rPr>
              <w:t>Endpoint</w:t>
            </w:r>
          </w:p>
        </w:tc>
        <w:tc>
          <w:tcPr>
            <w:tcW w:type="dxa" w:w="975"/>
          </w:tcPr>
          <w:p>
            <w:r>
              <w:rPr>
                <w:b/>
                <w:sz w:val="17"/>
              </w:rPr>
              <w:t>Metric</w:t>
            </w:r>
          </w:p>
        </w:tc>
        <w:tc>
          <w:tcPr>
            <w:tcW w:type="dxa" w:w="975"/>
          </w:tcPr>
          <w:p>
            <w:r>
              <w:rPr>
                <w:b/>
                <w:sz w:val="17"/>
              </w:rPr>
              <w:t>PLS</w:t>
            </w:r>
          </w:p>
        </w:tc>
        <w:tc>
          <w:tcPr>
            <w:tcW w:type="dxa" w:w="975"/>
          </w:tcPr>
          <w:p>
            <w:r>
              <w:rPr>
                <w:b/>
                <w:sz w:val="17"/>
              </w:rPr>
              <w:t>Ridge</w:t>
            </w:r>
          </w:p>
        </w:tc>
        <w:tc>
          <w:tcPr>
            <w:tcW w:type="dxa" w:w="975"/>
          </w:tcPr>
          <w:p>
            <w:r>
              <w:rPr>
                <w:b/>
                <w:sz w:val="17"/>
              </w:rPr>
              <w:t>Δ Ridge−PLS</w:t>
            </w:r>
          </w:p>
        </w:tc>
        <w:tc>
          <w:tcPr>
            <w:tcW w:type="dxa" w:w="975"/>
          </w:tcPr>
          <w:p>
            <w:r>
              <w:rPr>
                <w:b/>
                <w:sz w:val="17"/>
              </w:rPr>
              <w:t>95% CI</w:t>
            </w:r>
          </w:p>
        </w:tc>
        <w:tc>
          <w:tcPr>
            <w:tcW w:type="dxa" w:w="975"/>
          </w:tcPr>
          <w:p>
            <w:r>
              <w:rPr>
                <w:b/>
                <w:sz w:val="17"/>
              </w:rPr>
              <w:t>Result</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THYM</w:t>
            </w:r>
          </w:p>
        </w:tc>
        <w:tc>
          <w:tcPr>
            <w:tcW w:type="dxa" w:w="975"/>
            <w:vAlign w:val="center"/>
          </w:tcPr>
          <w:p>
            <w:r>
              <w:rPr>
                <w:sz w:val="16"/>
              </w:rPr>
              <w:t>GTF2I</w:t>
            </w:r>
          </w:p>
        </w:tc>
        <w:tc>
          <w:tcPr>
            <w:tcW w:type="dxa" w:w="975"/>
            <w:vAlign w:val="center"/>
          </w:tcPr>
          <w:p>
            <w:r>
              <w:rPr>
                <w:sz w:val="16"/>
              </w:rPr>
              <w:t>BA</w:t>
            </w:r>
          </w:p>
        </w:tc>
        <w:tc>
          <w:tcPr>
            <w:tcW w:type="dxa" w:w="975"/>
            <w:vAlign w:val="center"/>
          </w:tcPr>
          <w:p>
            <w:r>
              <w:rPr>
                <w:sz w:val="16"/>
              </w:rPr>
              <w:t>0.855</w:t>
            </w:r>
          </w:p>
        </w:tc>
        <w:tc>
          <w:tcPr>
            <w:tcW w:type="dxa" w:w="975"/>
            <w:vAlign w:val="center"/>
          </w:tcPr>
          <w:p>
            <w:r>
              <w:rPr>
                <w:sz w:val="16"/>
              </w:rPr>
              <w:t>0.871</w:t>
            </w:r>
          </w:p>
        </w:tc>
        <w:tc>
          <w:tcPr>
            <w:tcW w:type="dxa" w:w="975"/>
            <w:vAlign w:val="center"/>
          </w:tcPr>
          <w:p>
            <w:r>
              <w:rPr>
                <w:sz w:val="16"/>
              </w:rPr>
              <w:t>0.016</w:t>
            </w:r>
          </w:p>
        </w:tc>
        <w:tc>
          <w:tcPr>
            <w:tcW w:type="dxa" w:w="975"/>
            <w:vAlign w:val="center"/>
          </w:tcPr>
          <w:p>
            <w:r>
              <w:rPr>
                <w:sz w:val="16"/>
              </w:rPr>
              <w:t>-0.000 to 0.033</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MSI</w:t>
            </w:r>
          </w:p>
        </w:tc>
        <w:tc>
          <w:tcPr>
            <w:tcW w:type="dxa" w:w="975"/>
            <w:vAlign w:val="center"/>
          </w:tcPr>
          <w:p>
            <w:r>
              <w:rPr>
                <w:sz w:val="16"/>
              </w:rPr>
              <w:t>COAD</w:t>
            </w:r>
          </w:p>
        </w:tc>
        <w:tc>
          <w:tcPr>
            <w:tcW w:type="dxa" w:w="975"/>
            <w:vAlign w:val="center"/>
          </w:tcPr>
          <w:p>
            <w:r>
              <w:rPr>
                <w:sz w:val="16"/>
              </w:rPr>
              <w:t>MSI-H strict (MANTIS &gt;0.6)</w:t>
            </w:r>
          </w:p>
        </w:tc>
        <w:tc>
          <w:tcPr>
            <w:tcW w:type="dxa" w:w="975"/>
            <w:vAlign w:val="center"/>
          </w:tcPr>
          <w:p>
            <w:r>
              <w:rPr>
                <w:sz w:val="16"/>
              </w:rPr>
              <w:t>BA</w:t>
            </w:r>
          </w:p>
        </w:tc>
        <w:tc>
          <w:tcPr>
            <w:tcW w:type="dxa" w:w="975"/>
            <w:vAlign w:val="center"/>
          </w:tcPr>
          <w:p>
            <w:r>
              <w:rPr>
                <w:sz w:val="16"/>
              </w:rPr>
              <w:t>0.813</w:t>
            </w:r>
          </w:p>
        </w:tc>
        <w:tc>
          <w:tcPr>
            <w:tcW w:type="dxa" w:w="975"/>
            <w:vAlign w:val="center"/>
          </w:tcPr>
          <w:p>
            <w:r>
              <w:rPr>
                <w:sz w:val="16"/>
              </w:rPr>
              <w:t>0.830</w:t>
            </w:r>
          </w:p>
        </w:tc>
        <w:tc>
          <w:tcPr>
            <w:tcW w:type="dxa" w:w="975"/>
            <w:vAlign w:val="center"/>
          </w:tcPr>
          <w:p>
            <w:r>
              <w:rPr>
                <w:sz w:val="16"/>
              </w:rPr>
              <w:t>0.017</w:t>
            </w:r>
          </w:p>
        </w:tc>
        <w:tc>
          <w:tcPr>
            <w:tcW w:type="dxa" w:w="975"/>
            <w:vAlign w:val="center"/>
          </w:tcPr>
          <w:p>
            <w:r>
              <w:rPr>
                <w:sz w:val="16"/>
              </w:rPr>
              <w:t>-0.006 to 0.039</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0.856</w:t>
            </w:r>
          </w:p>
        </w:tc>
        <w:tc>
          <w:tcPr>
            <w:tcW w:type="dxa" w:w="975"/>
            <w:vAlign w:val="center"/>
          </w:tcPr>
          <w:p>
            <w:r>
              <w:rPr>
                <w:sz w:val="16"/>
              </w:rPr>
              <w:t>0.855</w:t>
            </w:r>
          </w:p>
        </w:tc>
        <w:tc>
          <w:tcPr>
            <w:tcW w:type="dxa" w:w="975"/>
            <w:vAlign w:val="center"/>
          </w:tcPr>
          <w:p>
            <w:r>
              <w:rPr>
                <w:sz w:val="16"/>
              </w:rPr>
              <w:t>-0.001</w:t>
            </w:r>
          </w:p>
        </w:tc>
        <w:tc>
          <w:tcPr>
            <w:tcW w:type="dxa" w:w="975"/>
            <w:vAlign w:val="center"/>
          </w:tcPr>
          <w:p>
            <w:r>
              <w:rPr>
                <w:sz w:val="16"/>
              </w:rPr>
              <w:t>-0.019 to 0.018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0.858</w:t>
            </w:r>
          </w:p>
        </w:tc>
        <w:tc>
          <w:tcPr>
            <w:tcW w:type="dxa" w:w="975"/>
            <w:vAlign w:val="center"/>
          </w:tcPr>
          <w:p>
            <w:r>
              <w:rPr>
                <w:sz w:val="16"/>
              </w:rPr>
              <w:t>0.861</w:t>
            </w:r>
          </w:p>
        </w:tc>
        <w:tc>
          <w:tcPr>
            <w:tcW w:type="dxa" w:w="975"/>
            <w:vAlign w:val="center"/>
          </w:tcPr>
          <w:p>
            <w:r>
              <w:rPr>
                <w:sz w:val="16"/>
              </w:rPr>
              <w:t>0.003</w:t>
            </w:r>
          </w:p>
        </w:tc>
        <w:tc>
          <w:tcPr>
            <w:tcW w:type="dxa" w:w="975"/>
            <w:vAlign w:val="center"/>
          </w:tcPr>
          <w:p>
            <w:r>
              <w:rPr>
                <w:sz w:val="16"/>
              </w:rPr>
              <w:t>-0.031 to 0.037</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THCA</w:t>
            </w:r>
          </w:p>
        </w:tc>
        <w:tc>
          <w:tcPr>
            <w:tcW w:type="dxa" w:w="975"/>
            <w:vAlign w:val="center"/>
          </w:tcPr>
          <w:p>
            <w:r>
              <w:rPr>
                <w:sz w:val="16"/>
              </w:rPr>
              <w:t>BRAF</w:t>
            </w:r>
          </w:p>
        </w:tc>
        <w:tc>
          <w:tcPr>
            <w:tcW w:type="dxa" w:w="975"/>
            <w:vAlign w:val="center"/>
          </w:tcPr>
          <w:p>
            <w:r>
              <w:rPr>
                <w:sz w:val="16"/>
              </w:rPr>
              <w:t>BA</w:t>
            </w:r>
          </w:p>
        </w:tc>
        <w:tc>
          <w:tcPr>
            <w:tcW w:type="dxa" w:w="975"/>
            <w:vAlign w:val="center"/>
          </w:tcPr>
          <w:p>
            <w:r>
              <w:rPr>
                <w:sz w:val="16"/>
              </w:rPr>
              <w:t>0.843</w:t>
            </w:r>
          </w:p>
        </w:tc>
        <w:tc>
          <w:tcPr>
            <w:tcW w:type="dxa" w:w="975"/>
            <w:vAlign w:val="center"/>
          </w:tcPr>
          <w:p>
            <w:r>
              <w:rPr>
                <w:sz w:val="16"/>
              </w:rPr>
              <w:t>0.827</w:t>
            </w:r>
          </w:p>
        </w:tc>
        <w:tc>
          <w:tcPr>
            <w:tcW w:type="dxa" w:w="975"/>
            <w:vAlign w:val="center"/>
          </w:tcPr>
          <w:p>
            <w:r>
              <w:rPr>
                <w:sz w:val="16"/>
              </w:rPr>
              <w:t>-0.017</w:t>
            </w:r>
          </w:p>
        </w:tc>
        <w:tc>
          <w:tcPr>
            <w:tcW w:type="dxa" w:w="975"/>
            <w:vAlign w:val="center"/>
          </w:tcPr>
          <w:p>
            <w:r>
              <w:rPr>
                <w:sz w:val="16"/>
              </w:rPr>
              <w:t>-0.034 to 0.001</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HIPPO</w:t>
            </w:r>
          </w:p>
        </w:tc>
        <w:tc>
          <w:tcPr>
            <w:tcW w:type="dxa" w:w="975"/>
            <w:vAlign w:val="center"/>
          </w:tcPr>
          <w:p>
            <w:r>
              <w:rPr>
                <w:sz w:val="16"/>
              </w:rPr>
              <w:t>BA</w:t>
            </w:r>
          </w:p>
        </w:tc>
        <w:tc>
          <w:tcPr>
            <w:tcW w:type="dxa" w:w="975"/>
            <w:vAlign w:val="center"/>
          </w:tcPr>
          <w:p>
            <w:r>
              <w:rPr>
                <w:sz w:val="16"/>
              </w:rPr>
              <w:t>0.829</w:t>
            </w:r>
          </w:p>
        </w:tc>
        <w:tc>
          <w:tcPr>
            <w:tcW w:type="dxa" w:w="975"/>
            <w:vAlign w:val="center"/>
          </w:tcPr>
          <w:p>
            <w:r>
              <w:rPr>
                <w:sz w:val="16"/>
              </w:rPr>
              <w:t>0.829</w:t>
            </w:r>
          </w:p>
        </w:tc>
        <w:tc>
          <w:tcPr>
            <w:tcW w:type="dxa" w:w="975"/>
            <w:vAlign w:val="center"/>
          </w:tcPr>
          <w:p>
            <w:r>
              <w:rPr>
                <w:sz w:val="16"/>
              </w:rPr>
              <w:t>0.001</w:t>
            </w:r>
          </w:p>
        </w:tc>
        <w:tc>
          <w:tcPr>
            <w:tcW w:type="dxa" w:w="975"/>
            <w:vAlign w:val="center"/>
          </w:tcPr>
          <w:p>
            <w:r>
              <w:rPr>
                <w:sz w:val="16"/>
              </w:rPr>
              <w:t>-0.014 to 0.015</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0.826</w:t>
            </w:r>
          </w:p>
        </w:tc>
        <w:tc>
          <w:tcPr>
            <w:tcW w:type="dxa" w:w="975"/>
            <w:vAlign w:val="center"/>
          </w:tcPr>
          <w:p>
            <w:r>
              <w:rPr>
                <w:sz w:val="16"/>
              </w:rPr>
              <w:t>0.835</w:t>
            </w:r>
          </w:p>
        </w:tc>
        <w:tc>
          <w:tcPr>
            <w:tcW w:type="dxa" w:w="975"/>
            <w:vAlign w:val="center"/>
          </w:tcPr>
          <w:p>
            <w:r>
              <w:rPr>
                <w:sz w:val="16"/>
              </w:rPr>
              <w:t>0.010</w:t>
            </w:r>
          </w:p>
        </w:tc>
        <w:tc>
          <w:tcPr>
            <w:tcW w:type="dxa" w:w="975"/>
            <w:vAlign w:val="center"/>
          </w:tcPr>
          <w:p>
            <w:r>
              <w:rPr>
                <w:sz w:val="16"/>
              </w:rPr>
              <w:t>-0.004 to 0.023</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APC</w:t>
            </w:r>
          </w:p>
        </w:tc>
        <w:tc>
          <w:tcPr>
            <w:tcW w:type="dxa" w:w="975"/>
            <w:vAlign w:val="center"/>
          </w:tcPr>
          <w:p>
            <w:r>
              <w:rPr>
                <w:sz w:val="16"/>
              </w:rPr>
              <w:t>BA</w:t>
            </w:r>
          </w:p>
        </w:tc>
        <w:tc>
          <w:tcPr>
            <w:tcW w:type="dxa" w:w="975"/>
            <w:vAlign w:val="center"/>
          </w:tcPr>
          <w:p>
            <w:r>
              <w:rPr>
                <w:sz w:val="16"/>
              </w:rPr>
              <w:t>0.846</w:t>
            </w:r>
          </w:p>
        </w:tc>
        <w:tc>
          <w:tcPr>
            <w:tcW w:type="dxa" w:w="975"/>
            <w:vAlign w:val="center"/>
          </w:tcPr>
          <w:p>
            <w:r>
              <w:rPr>
                <w:sz w:val="16"/>
              </w:rPr>
              <w:t>0.862</w:t>
            </w:r>
          </w:p>
        </w:tc>
        <w:tc>
          <w:tcPr>
            <w:tcW w:type="dxa" w:w="975"/>
            <w:vAlign w:val="center"/>
          </w:tcPr>
          <w:p>
            <w:r>
              <w:rPr>
                <w:sz w:val="16"/>
              </w:rPr>
              <w:t>0.016</w:t>
            </w:r>
          </w:p>
        </w:tc>
        <w:tc>
          <w:tcPr>
            <w:tcW w:type="dxa" w:w="975"/>
            <w:vAlign w:val="center"/>
          </w:tcPr>
          <w:p>
            <w:r>
              <w:rPr>
                <w:sz w:val="16"/>
              </w:rPr>
              <w:t>0.005 to 0.027</w:t>
            </w:r>
          </w:p>
        </w:tc>
        <w:tc>
          <w:tcPr>
            <w:tcW w:type="dxa" w:w="975"/>
            <w:vAlign w:val="center"/>
          </w:tcPr>
          <w:p>
            <w:r>
              <w:rPr>
                <w:sz w:val="16"/>
              </w:rPr>
              <w:t>ridge</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0.777</w:t>
            </w:r>
          </w:p>
        </w:tc>
        <w:tc>
          <w:tcPr>
            <w:tcW w:type="dxa" w:w="975"/>
            <w:vAlign w:val="center"/>
          </w:tcPr>
          <w:p>
            <w:r>
              <w:rPr>
                <w:sz w:val="16"/>
              </w:rPr>
              <w:t>0.779</w:t>
            </w:r>
          </w:p>
        </w:tc>
        <w:tc>
          <w:tcPr>
            <w:tcW w:type="dxa" w:w="975"/>
            <w:vAlign w:val="center"/>
          </w:tcPr>
          <w:p>
            <w:r>
              <w:rPr>
                <w:sz w:val="16"/>
              </w:rPr>
              <w:t>0.003</w:t>
            </w:r>
          </w:p>
        </w:tc>
        <w:tc>
          <w:tcPr>
            <w:tcW w:type="dxa" w:w="975"/>
            <w:vAlign w:val="center"/>
          </w:tcPr>
          <w:p>
            <w:r>
              <w:rPr>
                <w:sz w:val="16"/>
              </w:rPr>
              <w:t>-0.013 to 0.018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APC</w:t>
            </w:r>
          </w:p>
        </w:tc>
        <w:tc>
          <w:tcPr>
            <w:tcW w:type="dxa" w:w="975"/>
            <w:vAlign w:val="center"/>
          </w:tcPr>
          <w:p>
            <w:r>
              <w:rPr>
                <w:sz w:val="16"/>
              </w:rPr>
              <w:t>BA</w:t>
            </w:r>
          </w:p>
        </w:tc>
        <w:tc>
          <w:tcPr>
            <w:tcW w:type="dxa" w:w="975"/>
            <w:vAlign w:val="center"/>
          </w:tcPr>
          <w:p>
            <w:r>
              <w:rPr>
                <w:sz w:val="16"/>
              </w:rPr>
              <w:t>0.789</w:t>
            </w:r>
          </w:p>
        </w:tc>
        <w:tc>
          <w:tcPr>
            <w:tcW w:type="dxa" w:w="975"/>
            <w:vAlign w:val="center"/>
          </w:tcPr>
          <w:p>
            <w:r>
              <w:rPr>
                <w:sz w:val="16"/>
              </w:rPr>
              <w:t>0.789</w:t>
            </w:r>
          </w:p>
        </w:tc>
        <w:tc>
          <w:tcPr>
            <w:tcW w:type="dxa" w:w="975"/>
            <w:vAlign w:val="center"/>
          </w:tcPr>
          <w:p>
            <w:r>
              <w:rPr>
                <w:sz w:val="16"/>
              </w:rPr>
              <w:t>0.000</w:t>
            </w:r>
          </w:p>
        </w:tc>
        <w:tc>
          <w:tcPr>
            <w:tcW w:type="dxa" w:w="975"/>
            <w:vAlign w:val="center"/>
          </w:tcPr>
          <w:p>
            <w:r>
              <w:rPr>
                <w:sz w:val="16"/>
              </w:rPr>
              <w:t>-0.004 to 0.005</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fusion</w:t>
            </w:r>
          </w:p>
        </w:tc>
        <w:tc>
          <w:tcPr>
            <w:tcW w:type="dxa" w:w="975"/>
            <w:vAlign w:val="center"/>
          </w:tcPr>
          <w:p>
            <w:r>
              <w:rPr>
                <w:sz w:val="16"/>
              </w:rPr>
              <w:t>UCEC</w:t>
            </w:r>
          </w:p>
        </w:tc>
        <w:tc>
          <w:tcPr>
            <w:tcW w:type="dxa" w:w="975"/>
            <w:vAlign w:val="center"/>
          </w:tcPr>
          <w:p>
            <w:r>
              <w:rPr>
                <w:sz w:val="16"/>
              </w:rPr>
              <w:t>Any called fusion</w:t>
            </w:r>
          </w:p>
        </w:tc>
        <w:tc>
          <w:tcPr>
            <w:tcW w:type="dxa" w:w="975"/>
            <w:vAlign w:val="center"/>
          </w:tcPr>
          <w:p>
            <w:r>
              <w:rPr>
                <w:sz w:val="16"/>
              </w:rPr>
              <w:t>BA</w:t>
            </w:r>
          </w:p>
        </w:tc>
        <w:tc>
          <w:tcPr>
            <w:tcW w:type="dxa" w:w="975"/>
            <w:vAlign w:val="center"/>
          </w:tcPr>
          <w:p>
            <w:r>
              <w:rPr>
                <w:sz w:val="16"/>
              </w:rPr>
              <w:t>0.779</w:t>
            </w:r>
          </w:p>
        </w:tc>
        <w:tc>
          <w:tcPr>
            <w:tcW w:type="dxa" w:w="975"/>
            <w:vAlign w:val="center"/>
          </w:tcPr>
          <w:p>
            <w:r>
              <w:rPr>
                <w:sz w:val="16"/>
              </w:rPr>
              <w:t>0.789</w:t>
            </w:r>
          </w:p>
        </w:tc>
        <w:tc>
          <w:tcPr>
            <w:tcW w:type="dxa" w:w="975"/>
            <w:vAlign w:val="center"/>
          </w:tcPr>
          <w:p>
            <w:r>
              <w:rPr>
                <w:sz w:val="16"/>
              </w:rPr>
              <w:t>0.010</w:t>
            </w:r>
          </w:p>
        </w:tc>
        <w:tc>
          <w:tcPr>
            <w:tcW w:type="dxa" w:w="975"/>
            <w:vAlign w:val="center"/>
          </w:tcPr>
          <w:p>
            <w:r>
              <w:rPr>
                <w:sz w:val="16"/>
              </w:rPr>
              <w:t>-0.019 to 0.039</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IDH1</w:t>
            </w:r>
          </w:p>
        </w:tc>
        <w:tc>
          <w:tcPr>
            <w:tcW w:type="dxa" w:w="975"/>
            <w:vAlign w:val="center"/>
          </w:tcPr>
          <w:p>
            <w:r>
              <w:rPr>
                <w:sz w:val="16"/>
              </w:rPr>
              <w:t>BA</w:t>
            </w:r>
          </w:p>
        </w:tc>
        <w:tc>
          <w:tcPr>
            <w:tcW w:type="dxa" w:w="975"/>
            <w:vAlign w:val="center"/>
          </w:tcPr>
          <w:p>
            <w:r>
              <w:rPr>
                <w:sz w:val="16"/>
              </w:rPr>
              <w:t>0.777</w:t>
            </w:r>
          </w:p>
        </w:tc>
        <w:tc>
          <w:tcPr>
            <w:tcW w:type="dxa" w:w="975"/>
            <w:vAlign w:val="center"/>
          </w:tcPr>
          <w:p>
            <w:r>
              <w:rPr>
                <w:sz w:val="16"/>
              </w:rPr>
              <w:t>0.785</w:t>
            </w:r>
          </w:p>
        </w:tc>
        <w:tc>
          <w:tcPr>
            <w:tcW w:type="dxa" w:w="975"/>
            <w:vAlign w:val="center"/>
          </w:tcPr>
          <w:p>
            <w:r>
              <w:rPr>
                <w:sz w:val="16"/>
              </w:rPr>
              <w:t>0.008</w:t>
            </w:r>
          </w:p>
        </w:tc>
        <w:tc>
          <w:tcPr>
            <w:tcW w:type="dxa" w:w="975"/>
            <w:vAlign w:val="center"/>
          </w:tcPr>
          <w:p>
            <w:r>
              <w:rPr>
                <w:sz w:val="16"/>
              </w:rPr>
              <w:t>-0.008 to 0.024</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TGF-beta Response</w:t>
            </w:r>
          </w:p>
        </w:tc>
        <w:tc>
          <w:tcPr>
            <w:tcW w:type="dxa" w:w="975"/>
            <w:vAlign w:val="center"/>
          </w:tcPr>
          <w:p>
            <w:r>
              <w:rPr>
                <w:sz w:val="16"/>
              </w:rPr>
              <w:t>Spearman</w:t>
            </w:r>
          </w:p>
        </w:tc>
        <w:tc>
          <w:tcPr>
            <w:tcW w:type="dxa" w:w="975"/>
            <w:vAlign w:val="center"/>
          </w:tcPr>
          <w:p>
            <w:r>
              <w:rPr>
                <w:sz w:val="16"/>
              </w:rPr>
              <w:t>0.791</w:t>
            </w:r>
          </w:p>
        </w:tc>
        <w:tc>
          <w:tcPr>
            <w:tcW w:type="dxa" w:w="975"/>
            <w:vAlign w:val="center"/>
          </w:tcPr>
          <w:p>
            <w:r>
              <w:rPr>
                <w:sz w:val="16"/>
              </w:rPr>
              <w:t>0.807</w:t>
            </w:r>
          </w:p>
        </w:tc>
        <w:tc>
          <w:tcPr>
            <w:tcW w:type="dxa" w:w="975"/>
            <w:vAlign w:val="center"/>
          </w:tcPr>
          <w:p>
            <w:r>
              <w:rPr>
                <w:sz w:val="16"/>
              </w:rPr>
              <w:t>0.016</w:t>
            </w:r>
          </w:p>
        </w:tc>
        <w:tc>
          <w:tcPr>
            <w:tcW w:type="dxa" w:w="975"/>
            <w:vAlign w:val="center"/>
          </w:tcPr>
          <w:p>
            <w:r>
              <w:rPr>
                <w:sz w:val="16"/>
              </w:rPr>
              <w:t>0.007 to 0.024</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THYM</w:t>
            </w:r>
          </w:p>
        </w:tc>
        <w:tc>
          <w:tcPr>
            <w:tcW w:type="dxa" w:w="975"/>
            <w:vAlign w:val="center"/>
          </w:tcPr>
          <w:p>
            <w:r>
              <w:rPr>
                <w:sz w:val="16"/>
              </w:rPr>
              <w:t>Th17 Cells</w:t>
            </w:r>
          </w:p>
        </w:tc>
        <w:tc>
          <w:tcPr>
            <w:tcW w:type="dxa" w:w="975"/>
            <w:vAlign w:val="center"/>
          </w:tcPr>
          <w:p>
            <w:r>
              <w:rPr>
                <w:sz w:val="16"/>
              </w:rPr>
              <w:t>Spearman</w:t>
            </w:r>
          </w:p>
        </w:tc>
        <w:tc>
          <w:tcPr>
            <w:tcW w:type="dxa" w:w="975"/>
            <w:vAlign w:val="center"/>
          </w:tcPr>
          <w:p>
            <w:r>
              <w:rPr>
                <w:sz w:val="16"/>
              </w:rPr>
              <w:t>0.738</w:t>
            </w:r>
          </w:p>
        </w:tc>
        <w:tc>
          <w:tcPr>
            <w:tcW w:type="dxa" w:w="975"/>
            <w:vAlign w:val="center"/>
          </w:tcPr>
          <w:p>
            <w:r>
              <w:rPr>
                <w:sz w:val="16"/>
              </w:rPr>
              <w:t>0.767</w:t>
            </w:r>
          </w:p>
        </w:tc>
        <w:tc>
          <w:tcPr>
            <w:tcW w:type="dxa" w:w="975"/>
            <w:vAlign w:val="center"/>
          </w:tcPr>
          <w:p>
            <w:r>
              <w:rPr>
                <w:sz w:val="16"/>
              </w:rPr>
              <w:t>0.029</w:t>
            </w:r>
          </w:p>
        </w:tc>
        <w:tc>
          <w:tcPr>
            <w:tcW w:type="dxa" w:w="975"/>
            <w:vAlign w:val="center"/>
          </w:tcPr>
          <w:p>
            <w:r>
              <w:rPr>
                <w:sz w:val="16"/>
              </w:rPr>
              <w:t>0.022 to 0.037</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Lymphocyte Infiltration Signature Score</w:t>
            </w:r>
          </w:p>
        </w:tc>
        <w:tc>
          <w:tcPr>
            <w:tcW w:type="dxa" w:w="975"/>
            <w:vAlign w:val="center"/>
          </w:tcPr>
          <w:p>
            <w:r>
              <w:rPr>
                <w:sz w:val="16"/>
              </w:rPr>
              <w:t>Spearman</w:t>
            </w:r>
          </w:p>
        </w:tc>
        <w:tc>
          <w:tcPr>
            <w:tcW w:type="dxa" w:w="975"/>
            <w:vAlign w:val="center"/>
          </w:tcPr>
          <w:p>
            <w:r>
              <w:rPr>
                <w:sz w:val="16"/>
              </w:rPr>
              <w:t>0.742</w:t>
            </w:r>
          </w:p>
        </w:tc>
        <w:tc>
          <w:tcPr>
            <w:tcW w:type="dxa" w:w="975"/>
            <w:vAlign w:val="center"/>
          </w:tcPr>
          <w:p>
            <w:r>
              <w:rPr>
                <w:sz w:val="16"/>
              </w:rPr>
              <w:t>0.743</w:t>
            </w:r>
          </w:p>
        </w:tc>
        <w:tc>
          <w:tcPr>
            <w:tcW w:type="dxa" w:w="975"/>
            <w:vAlign w:val="center"/>
          </w:tcPr>
          <w:p>
            <w:r>
              <w:rPr>
                <w:sz w:val="16"/>
              </w:rPr>
              <w:t>0.002</w:t>
            </w:r>
          </w:p>
        </w:tc>
        <w:tc>
          <w:tcPr>
            <w:tcW w:type="dxa" w:w="975"/>
            <w:vAlign w:val="center"/>
          </w:tcPr>
          <w:p>
            <w:r>
              <w:rPr>
                <w:sz w:val="16"/>
              </w:rPr>
              <w:t>-0.000 to 0.003</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Wound Healing</w:t>
            </w:r>
          </w:p>
        </w:tc>
        <w:tc>
          <w:tcPr>
            <w:tcW w:type="dxa" w:w="975"/>
            <w:vAlign w:val="center"/>
          </w:tcPr>
          <w:p>
            <w:r>
              <w:rPr>
                <w:sz w:val="16"/>
              </w:rPr>
              <w:t>Spearman</w:t>
            </w:r>
          </w:p>
        </w:tc>
        <w:tc>
          <w:tcPr>
            <w:tcW w:type="dxa" w:w="975"/>
            <w:vAlign w:val="center"/>
          </w:tcPr>
          <w:p>
            <w:r>
              <w:rPr>
                <w:sz w:val="16"/>
              </w:rPr>
              <w:t>0.724</w:t>
            </w:r>
          </w:p>
        </w:tc>
        <w:tc>
          <w:tcPr>
            <w:tcW w:type="dxa" w:w="975"/>
            <w:vAlign w:val="center"/>
          </w:tcPr>
          <w:p>
            <w:r>
              <w:rPr>
                <w:sz w:val="16"/>
              </w:rPr>
              <w:t>0.733</w:t>
            </w:r>
          </w:p>
        </w:tc>
        <w:tc>
          <w:tcPr>
            <w:tcW w:type="dxa" w:w="975"/>
            <w:vAlign w:val="center"/>
          </w:tcPr>
          <w:p>
            <w:r>
              <w:rPr>
                <w:sz w:val="16"/>
              </w:rPr>
              <w:t>0.009</w:t>
            </w:r>
          </w:p>
        </w:tc>
        <w:tc>
          <w:tcPr>
            <w:tcW w:type="dxa" w:w="975"/>
            <w:vAlign w:val="center"/>
          </w:tcPr>
          <w:p>
            <w:r>
              <w:rPr>
                <w:sz w:val="16"/>
              </w:rPr>
              <w:t>0.003 to 0.015</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TGF-beta Response</w:t>
            </w:r>
          </w:p>
        </w:tc>
        <w:tc>
          <w:tcPr>
            <w:tcW w:type="dxa" w:w="975"/>
            <w:vAlign w:val="center"/>
          </w:tcPr>
          <w:p>
            <w:r>
              <w:rPr>
                <w:sz w:val="16"/>
              </w:rPr>
              <w:t>Spearman</w:t>
            </w:r>
          </w:p>
        </w:tc>
        <w:tc>
          <w:tcPr>
            <w:tcW w:type="dxa" w:w="975"/>
            <w:vAlign w:val="center"/>
          </w:tcPr>
          <w:p>
            <w:r>
              <w:rPr>
                <w:sz w:val="16"/>
              </w:rPr>
              <w:t>0.707</w:t>
            </w:r>
          </w:p>
        </w:tc>
        <w:tc>
          <w:tcPr>
            <w:tcW w:type="dxa" w:w="975"/>
            <w:vAlign w:val="center"/>
          </w:tcPr>
          <w:p>
            <w:r>
              <w:rPr>
                <w:sz w:val="16"/>
              </w:rPr>
              <w:t>0.708</w:t>
            </w:r>
          </w:p>
        </w:tc>
        <w:tc>
          <w:tcPr>
            <w:tcW w:type="dxa" w:w="975"/>
            <w:vAlign w:val="center"/>
          </w:tcPr>
          <w:p>
            <w:r>
              <w:rPr>
                <w:sz w:val="16"/>
              </w:rPr>
              <w:t>0.001</w:t>
            </w:r>
          </w:p>
        </w:tc>
        <w:tc>
          <w:tcPr>
            <w:tcW w:type="dxa" w:w="975"/>
            <w:vAlign w:val="center"/>
          </w:tcPr>
          <w:p>
            <w:r>
              <w:rPr>
                <w:sz w:val="16"/>
              </w:rPr>
              <w:t>-0.008 to 0.009</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LUAD</w:t>
            </w:r>
          </w:p>
        </w:tc>
        <w:tc>
          <w:tcPr>
            <w:tcW w:type="dxa" w:w="975"/>
            <w:vAlign w:val="center"/>
          </w:tcPr>
          <w:p>
            <w:r>
              <w:rPr>
                <w:sz w:val="16"/>
              </w:rPr>
              <w:t>Proliferation</w:t>
            </w:r>
          </w:p>
        </w:tc>
        <w:tc>
          <w:tcPr>
            <w:tcW w:type="dxa" w:w="975"/>
            <w:vAlign w:val="center"/>
          </w:tcPr>
          <w:p>
            <w:r>
              <w:rPr>
                <w:sz w:val="16"/>
              </w:rPr>
              <w:t>Spearman</w:t>
            </w:r>
          </w:p>
        </w:tc>
        <w:tc>
          <w:tcPr>
            <w:tcW w:type="dxa" w:w="975"/>
            <w:vAlign w:val="center"/>
          </w:tcPr>
          <w:p>
            <w:r>
              <w:rPr>
                <w:sz w:val="16"/>
              </w:rPr>
              <w:t>0.729</w:t>
            </w:r>
          </w:p>
        </w:tc>
        <w:tc>
          <w:tcPr>
            <w:tcW w:type="dxa" w:w="975"/>
            <w:vAlign w:val="center"/>
          </w:tcPr>
          <w:p>
            <w:r>
              <w:rPr>
                <w:sz w:val="16"/>
              </w:rPr>
              <w:t>0.738</w:t>
            </w:r>
          </w:p>
        </w:tc>
        <w:tc>
          <w:tcPr>
            <w:tcW w:type="dxa" w:w="975"/>
            <w:vAlign w:val="center"/>
          </w:tcPr>
          <w:p>
            <w:r>
              <w:rPr>
                <w:sz w:val="16"/>
              </w:rPr>
              <w:t>0.009</w:t>
            </w:r>
          </w:p>
        </w:tc>
        <w:tc>
          <w:tcPr>
            <w:tcW w:type="dxa" w:w="975"/>
            <w:vAlign w:val="center"/>
          </w:tcPr>
          <w:p>
            <w:r>
              <w:rPr>
                <w:sz w:val="16"/>
              </w:rPr>
              <w:t>0.007 to 0.012</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Proliferation</w:t>
            </w:r>
          </w:p>
        </w:tc>
        <w:tc>
          <w:tcPr>
            <w:tcW w:type="dxa" w:w="975"/>
            <w:vAlign w:val="center"/>
          </w:tcPr>
          <w:p>
            <w:r>
              <w:rPr>
                <w:sz w:val="16"/>
              </w:rPr>
              <w:t>Spearman</w:t>
            </w:r>
          </w:p>
        </w:tc>
        <w:tc>
          <w:tcPr>
            <w:tcW w:type="dxa" w:w="975"/>
            <w:vAlign w:val="center"/>
          </w:tcPr>
          <w:p>
            <w:r>
              <w:rPr>
                <w:sz w:val="16"/>
              </w:rPr>
              <w:t>0.740</w:t>
            </w:r>
          </w:p>
        </w:tc>
        <w:tc>
          <w:tcPr>
            <w:tcW w:type="dxa" w:w="975"/>
            <w:vAlign w:val="center"/>
          </w:tcPr>
          <w:p>
            <w:r>
              <w:rPr>
                <w:sz w:val="16"/>
              </w:rPr>
              <w:t>0.749</w:t>
            </w:r>
          </w:p>
        </w:tc>
        <w:tc>
          <w:tcPr>
            <w:tcW w:type="dxa" w:w="975"/>
            <w:vAlign w:val="center"/>
          </w:tcPr>
          <w:p>
            <w:r>
              <w:rPr>
                <w:sz w:val="16"/>
              </w:rPr>
              <w:t>0.009</w:t>
            </w:r>
          </w:p>
        </w:tc>
        <w:tc>
          <w:tcPr>
            <w:tcW w:type="dxa" w:w="975"/>
            <w:vAlign w:val="center"/>
          </w:tcPr>
          <w:p>
            <w:r>
              <w:rPr>
                <w:sz w:val="16"/>
              </w:rPr>
              <w:t>0.003 to 0.014</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Th1 Cells</w:t>
            </w:r>
          </w:p>
        </w:tc>
        <w:tc>
          <w:tcPr>
            <w:tcW w:type="dxa" w:w="975"/>
            <w:vAlign w:val="center"/>
          </w:tcPr>
          <w:p>
            <w:r>
              <w:rPr>
                <w:sz w:val="16"/>
              </w:rPr>
              <w:t>Spearman</w:t>
            </w:r>
          </w:p>
        </w:tc>
        <w:tc>
          <w:tcPr>
            <w:tcW w:type="dxa" w:w="975"/>
            <w:vAlign w:val="center"/>
          </w:tcPr>
          <w:p>
            <w:r>
              <w:rPr>
                <w:sz w:val="16"/>
              </w:rPr>
              <w:t>0.704</w:t>
            </w:r>
          </w:p>
        </w:tc>
        <w:tc>
          <w:tcPr>
            <w:tcW w:type="dxa" w:w="975"/>
            <w:vAlign w:val="center"/>
          </w:tcPr>
          <w:p>
            <w:r>
              <w:rPr>
                <w:sz w:val="16"/>
              </w:rPr>
              <w:t>0.717</w:t>
            </w:r>
          </w:p>
        </w:tc>
        <w:tc>
          <w:tcPr>
            <w:tcW w:type="dxa" w:w="975"/>
            <w:vAlign w:val="center"/>
          </w:tcPr>
          <w:p>
            <w:r>
              <w:rPr>
                <w:sz w:val="16"/>
              </w:rPr>
              <w:t>0.012</w:t>
            </w:r>
          </w:p>
        </w:tc>
        <w:tc>
          <w:tcPr>
            <w:tcW w:type="dxa" w:w="975"/>
            <w:vAlign w:val="center"/>
          </w:tcPr>
          <w:p>
            <w:r>
              <w:rPr>
                <w:sz w:val="16"/>
              </w:rPr>
              <w:t>0.007 to 0.018</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Wound Healing</w:t>
            </w:r>
          </w:p>
        </w:tc>
        <w:tc>
          <w:tcPr>
            <w:tcW w:type="dxa" w:w="975"/>
            <w:vAlign w:val="center"/>
          </w:tcPr>
          <w:p>
            <w:r>
              <w:rPr>
                <w:sz w:val="16"/>
              </w:rPr>
              <w:t>Spearman</w:t>
            </w:r>
          </w:p>
        </w:tc>
        <w:tc>
          <w:tcPr>
            <w:tcW w:type="dxa" w:w="975"/>
            <w:vAlign w:val="center"/>
          </w:tcPr>
          <w:p>
            <w:r>
              <w:rPr>
                <w:sz w:val="16"/>
              </w:rPr>
              <w:t>0.668</w:t>
            </w:r>
          </w:p>
        </w:tc>
        <w:tc>
          <w:tcPr>
            <w:tcW w:type="dxa" w:w="975"/>
            <w:vAlign w:val="center"/>
          </w:tcPr>
          <w:p>
            <w:r>
              <w:rPr>
                <w:sz w:val="16"/>
              </w:rPr>
              <w:t>0.661</w:t>
            </w:r>
          </w:p>
        </w:tc>
        <w:tc>
          <w:tcPr>
            <w:tcW w:type="dxa" w:w="975"/>
            <w:vAlign w:val="center"/>
          </w:tcPr>
          <w:p>
            <w:r>
              <w:rPr>
                <w:sz w:val="16"/>
              </w:rPr>
              <w:t>-0.007</w:t>
            </w:r>
          </w:p>
        </w:tc>
        <w:tc>
          <w:tcPr>
            <w:tcW w:type="dxa" w:w="975"/>
            <w:vAlign w:val="center"/>
          </w:tcPr>
          <w:p>
            <w:r>
              <w:rPr>
                <w:sz w:val="16"/>
              </w:rPr>
              <w:t>-0.020 to 0.005</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Macrophage Regulation</w:t>
            </w:r>
          </w:p>
        </w:tc>
        <w:tc>
          <w:tcPr>
            <w:tcW w:type="dxa" w:w="975"/>
            <w:vAlign w:val="center"/>
          </w:tcPr>
          <w:p>
            <w:r>
              <w:rPr>
                <w:sz w:val="16"/>
              </w:rPr>
              <w:t>Spearman</w:t>
            </w:r>
          </w:p>
        </w:tc>
        <w:tc>
          <w:tcPr>
            <w:tcW w:type="dxa" w:w="975"/>
            <w:vAlign w:val="center"/>
          </w:tcPr>
          <w:p>
            <w:r>
              <w:rPr>
                <w:sz w:val="16"/>
              </w:rPr>
              <w:t>0.704</w:t>
            </w:r>
          </w:p>
        </w:tc>
        <w:tc>
          <w:tcPr>
            <w:tcW w:type="dxa" w:w="975"/>
            <w:vAlign w:val="center"/>
          </w:tcPr>
          <w:p>
            <w:r>
              <w:rPr>
                <w:sz w:val="16"/>
              </w:rPr>
              <w:t>0.709</w:t>
            </w:r>
          </w:p>
        </w:tc>
        <w:tc>
          <w:tcPr>
            <w:tcW w:type="dxa" w:w="975"/>
            <w:vAlign w:val="center"/>
          </w:tcPr>
          <w:p>
            <w:r>
              <w:rPr>
                <w:sz w:val="16"/>
              </w:rPr>
              <w:t>0.005</w:t>
            </w:r>
          </w:p>
        </w:tc>
        <w:tc>
          <w:tcPr>
            <w:tcW w:type="dxa" w:w="975"/>
            <w:vAlign w:val="center"/>
          </w:tcPr>
          <w:p>
            <w:r>
              <w:rPr>
                <w:sz w:val="16"/>
              </w:rPr>
              <w:t>0.003 to 0.007</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SARC</w:t>
            </w:r>
          </w:p>
        </w:tc>
        <w:tc>
          <w:tcPr>
            <w:tcW w:type="dxa" w:w="975"/>
            <w:vAlign w:val="center"/>
          </w:tcPr>
          <w:p>
            <w:r>
              <w:rPr>
                <w:sz w:val="16"/>
              </w:rPr>
              <w:t>Macrophage Regulation</w:t>
            </w:r>
          </w:p>
        </w:tc>
        <w:tc>
          <w:tcPr>
            <w:tcW w:type="dxa" w:w="975"/>
            <w:vAlign w:val="center"/>
          </w:tcPr>
          <w:p>
            <w:r>
              <w:rPr>
                <w:sz w:val="16"/>
              </w:rPr>
              <w:t>Spearman</w:t>
            </w:r>
          </w:p>
        </w:tc>
        <w:tc>
          <w:tcPr>
            <w:tcW w:type="dxa" w:w="975"/>
            <w:vAlign w:val="center"/>
          </w:tcPr>
          <w:p>
            <w:r>
              <w:rPr>
                <w:sz w:val="16"/>
              </w:rPr>
              <w:t>0.697</w:t>
            </w:r>
          </w:p>
        </w:tc>
        <w:tc>
          <w:tcPr>
            <w:tcW w:type="dxa" w:w="975"/>
            <w:vAlign w:val="center"/>
          </w:tcPr>
          <w:p>
            <w:r>
              <w:rPr>
                <w:sz w:val="16"/>
              </w:rPr>
              <w:t>0.717</w:t>
            </w:r>
          </w:p>
        </w:tc>
        <w:tc>
          <w:tcPr>
            <w:tcW w:type="dxa" w:w="975"/>
            <w:vAlign w:val="center"/>
          </w:tcPr>
          <w:p>
            <w:r>
              <w:rPr>
                <w:sz w:val="16"/>
              </w:rPr>
              <w:t>0.020</w:t>
            </w:r>
          </w:p>
        </w:tc>
        <w:tc>
          <w:tcPr>
            <w:tcW w:type="dxa" w:w="975"/>
            <w:vAlign w:val="center"/>
          </w:tcPr>
          <w:p>
            <w:r>
              <w:rPr>
                <w:sz w:val="16"/>
              </w:rPr>
              <w:t>0.017 to 0.023</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KIRP</w:t>
            </w:r>
          </w:p>
        </w:tc>
        <w:tc>
          <w:tcPr>
            <w:tcW w:type="dxa" w:w="975"/>
            <w:vAlign w:val="center"/>
          </w:tcPr>
          <w:p>
            <w:r>
              <w:rPr>
                <w:sz w:val="16"/>
              </w:rPr>
              <w:t>Proliferation</w:t>
            </w:r>
          </w:p>
        </w:tc>
        <w:tc>
          <w:tcPr>
            <w:tcW w:type="dxa" w:w="975"/>
            <w:vAlign w:val="center"/>
          </w:tcPr>
          <w:p>
            <w:r>
              <w:rPr>
                <w:sz w:val="16"/>
              </w:rPr>
              <w:t>Spearman</w:t>
            </w:r>
          </w:p>
        </w:tc>
        <w:tc>
          <w:tcPr>
            <w:tcW w:type="dxa" w:w="975"/>
            <w:vAlign w:val="center"/>
          </w:tcPr>
          <w:p>
            <w:r>
              <w:rPr>
                <w:sz w:val="16"/>
              </w:rPr>
              <w:t>0.605</w:t>
            </w:r>
          </w:p>
        </w:tc>
        <w:tc>
          <w:tcPr>
            <w:tcW w:type="dxa" w:w="975"/>
            <w:vAlign w:val="center"/>
          </w:tcPr>
          <w:p>
            <w:r>
              <w:rPr>
                <w:sz w:val="16"/>
              </w:rPr>
              <w:t>0.617</w:t>
            </w:r>
          </w:p>
        </w:tc>
        <w:tc>
          <w:tcPr>
            <w:tcW w:type="dxa" w:w="975"/>
            <w:vAlign w:val="center"/>
          </w:tcPr>
          <w:p>
            <w:r>
              <w:rPr>
                <w:sz w:val="16"/>
              </w:rPr>
              <w:t>0.012</w:t>
            </w:r>
          </w:p>
        </w:tc>
        <w:tc>
          <w:tcPr>
            <w:tcW w:type="dxa" w:w="975"/>
            <w:vAlign w:val="center"/>
          </w:tcPr>
          <w:p>
            <w:r>
              <w:rPr>
                <w:sz w:val="16"/>
              </w:rPr>
              <w:t>-0.002 to 0.025</w:t>
            </w:r>
          </w:p>
        </w:tc>
        <w:tc>
          <w:tcPr>
            <w:tcW w:type="dxa" w:w="975"/>
            <w:vAlign w:val="center"/>
          </w:tcPr>
          <w:p>
            <w:r>
              <w:rPr>
                <w:sz w:val="16"/>
              </w:rPr>
              <w:t>uncertain</w:t>
            </w:r>
          </w:p>
        </w:tc>
      </w:tr>
    </w:tbl>
    <w:p/>
    <w:p>
      <w:pPr>
        <w:pStyle w:val="Heading1"/>
      </w:pPr>
      <w:r>
        <w:t>Table S10f. Permutation precision and atlas-wide multiplicity sensitivity</w:t>
      </w:r>
    </w:p>
    <w:p>
      <w:pPr>
        <w:pStyle w:val="Caption"/>
      </w:pPr>
      <w:r>
        <w:t>Panel A. Candidate retention under increasingly broad Benjamini–Hochberg sensitivities. The primary candidate definition is within cancer and endpoint family. The atlas-wide column applies one correction to every eligible continuous and binary cancer–endpoint test; it is a sensitivity analysis rather than a replacement of the prespecified local question.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Outcome</w:t>
            </w:r>
          </w:p>
        </w:tc>
        <w:tc>
          <w:tcPr>
            <w:tcW w:type="dxa" w:w="1392"/>
          </w:tcPr>
          <w:p>
            <w:r>
              <w:rPr>
                <w:b/>
                <w:sz w:val="17"/>
              </w:rPr>
              <w:t>Eligible</w:t>
            </w:r>
          </w:p>
        </w:tc>
        <w:tc>
          <w:tcPr>
            <w:tcW w:type="dxa" w:w="1392"/>
          </w:tcPr>
          <w:p>
            <w:r>
              <w:rPr>
                <w:b/>
                <w:sz w:val="17"/>
              </w:rPr>
              <w:t>Effect-eligible</w:t>
            </w:r>
          </w:p>
        </w:tc>
        <w:tc>
          <w:tcPr>
            <w:tcW w:type="dxa" w:w="1392"/>
          </w:tcPr>
          <w:p>
            <w:r>
              <w:rPr>
                <w:b/>
                <w:sz w:val="17"/>
              </w:rPr>
              <w:t>Local candidates</w:t>
            </w:r>
          </w:p>
        </w:tc>
        <w:tc>
          <w:tcPr>
            <w:tcW w:type="dxa" w:w="1392"/>
          </w:tcPr>
          <w:p>
            <w:r>
              <w:rPr>
                <w:b/>
                <w:sz w:val="17"/>
              </w:rPr>
              <w:t>Across-cancer family</w:t>
            </w:r>
          </w:p>
        </w:tc>
        <w:tc>
          <w:tcPr>
            <w:tcW w:type="dxa" w:w="1392"/>
          </w:tcPr>
          <w:p>
            <w:r>
              <w:rPr>
                <w:b/>
                <w:sz w:val="17"/>
              </w:rPr>
              <w:t>Outcome-wide</w:t>
            </w:r>
          </w:p>
        </w:tc>
        <w:tc>
          <w:tcPr>
            <w:tcW w:type="dxa" w:w="1392"/>
          </w:tcPr>
          <w:p>
            <w:r>
              <w:rPr>
                <w:b/>
                <w:sz w:val="17"/>
              </w:rPr>
              <w:t>Atlas-wide</w:t>
            </w:r>
          </w:p>
        </w:tc>
      </w:tr>
      <w:tr>
        <w:trPr>
          <w:cantSplit/>
        </w:trPr>
        <w:tc>
          <w:tcPr>
            <w:tcW w:type="dxa" w:w="1392"/>
            <w:vAlign w:val="center"/>
          </w:tcPr>
          <w:p>
            <w:r>
              <w:rPr>
                <w:sz w:val="16"/>
              </w:rPr>
              <w:t>continuous</w:t>
            </w:r>
          </w:p>
        </w:tc>
        <w:tc>
          <w:tcPr>
            <w:tcW w:type="dxa" w:w="1392"/>
            <w:vAlign w:val="center"/>
          </w:tcPr>
          <w:p>
            <w:r>
              <w:rPr>
                <w:sz w:val="16"/>
              </w:rPr>
              <w:t>1614</w:t>
            </w:r>
          </w:p>
        </w:tc>
        <w:tc>
          <w:tcPr>
            <w:tcW w:type="dxa" w:w="1392"/>
            <w:vAlign w:val="center"/>
          </w:tcPr>
          <w:p>
            <w:r>
              <w:rPr>
                <w:sz w:val="16"/>
              </w:rPr>
              <w:t>221</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r>
      <w:tr>
        <w:trPr>
          <w:cantSplit/>
        </w:trPr>
        <w:tc>
          <w:tcPr>
            <w:tcW w:type="dxa" w:w="1392"/>
            <w:vAlign w:val="center"/>
          </w:tcPr>
          <w:p>
            <w:r>
              <w:rPr>
                <w:sz w:val="16"/>
              </w:rPr>
              <w:t>binary</w:t>
            </w:r>
          </w:p>
        </w:tc>
        <w:tc>
          <w:tcPr>
            <w:tcW w:type="dxa" w:w="1392"/>
            <w:vAlign w:val="center"/>
          </w:tcPr>
          <w:p>
            <w:r>
              <w:rPr>
                <w:sz w:val="16"/>
              </w:rPr>
              <w:t>459</w:t>
            </w:r>
          </w:p>
        </w:tc>
        <w:tc>
          <w:tcPr>
            <w:tcW w:type="dxa" w:w="1392"/>
            <w:vAlign w:val="center"/>
          </w:tcPr>
          <w:p>
            <w:r>
              <w:rPr>
                <w:sz w:val="16"/>
              </w:rPr>
              <w:t>107</w:t>
            </w:r>
          </w:p>
        </w:tc>
        <w:tc>
          <w:tcPr>
            <w:tcW w:type="dxa" w:w="1392"/>
            <w:vAlign w:val="center"/>
          </w:tcPr>
          <w:p>
            <w:r>
              <w:rPr>
                <w:sz w:val="16"/>
              </w:rPr>
              <w:t>104</w:t>
            </w:r>
          </w:p>
        </w:tc>
        <w:tc>
          <w:tcPr>
            <w:tcW w:type="dxa" w:w="1392"/>
            <w:vAlign w:val="center"/>
          </w:tcPr>
          <w:p>
            <w:r>
              <w:rPr>
                <w:sz w:val="16"/>
              </w:rPr>
              <w:t>102</w:t>
            </w:r>
          </w:p>
        </w:tc>
        <w:tc>
          <w:tcPr>
            <w:tcW w:type="dxa" w:w="1392"/>
            <w:vAlign w:val="center"/>
          </w:tcPr>
          <w:p>
            <w:r>
              <w:rPr>
                <w:sz w:val="16"/>
              </w:rPr>
              <w:t>102</w:t>
            </w:r>
          </w:p>
        </w:tc>
        <w:tc>
          <w:tcPr>
            <w:tcW w:type="dxa" w:w="1392"/>
            <w:vAlign w:val="center"/>
          </w:tcPr>
          <w:p>
            <w:r>
              <w:rPr>
                <w:sz w:val="16"/>
              </w:rPr>
              <w:t>101</w:t>
            </w:r>
          </w:p>
        </w:tc>
      </w:tr>
      <w:tr>
        <w:trPr>
          <w:cantSplit/>
        </w:trPr>
        <w:tc>
          <w:tcPr>
            <w:tcW w:type="dxa" w:w="1392"/>
            <w:vAlign w:val="center"/>
          </w:tcPr>
          <w:p>
            <w:r>
              <w:rPr>
                <w:sz w:val="16"/>
              </w:rPr>
              <w:t>combined</w:t>
            </w:r>
          </w:p>
        </w:tc>
        <w:tc>
          <w:tcPr>
            <w:tcW w:type="dxa" w:w="1392"/>
            <w:vAlign w:val="center"/>
          </w:tcPr>
          <w:p>
            <w:r>
              <w:rPr>
                <w:sz w:val="16"/>
              </w:rPr>
              <w:t>2073</w:t>
            </w:r>
          </w:p>
        </w:tc>
        <w:tc>
          <w:tcPr>
            <w:tcW w:type="dxa" w:w="1392"/>
            <w:vAlign w:val="center"/>
          </w:tcPr>
          <w:p>
            <w:r>
              <w:rPr>
                <w:sz w:val="16"/>
              </w:rPr>
              <w:t>328</w:t>
            </w:r>
          </w:p>
        </w:tc>
        <w:tc>
          <w:tcPr>
            <w:tcW w:type="dxa" w:w="1392"/>
            <w:vAlign w:val="center"/>
          </w:tcPr>
          <w:p>
            <w:r>
              <w:rPr>
                <w:sz w:val="16"/>
              </w:rPr>
              <w:t>323</w:t>
            </w:r>
          </w:p>
        </w:tc>
        <w:tc>
          <w:tcPr>
            <w:tcW w:type="dxa" w:w="1392"/>
            <w:vAlign w:val="center"/>
          </w:tcPr>
          <w:p>
            <w:r>
              <w:rPr>
                <w:sz w:val="16"/>
              </w:rPr>
              <w:t>321</w:t>
            </w:r>
          </w:p>
        </w:tc>
        <w:tc>
          <w:tcPr>
            <w:tcW w:type="dxa" w:w="1392"/>
            <w:vAlign w:val="center"/>
          </w:tcPr>
          <w:p>
            <w:r>
              <w:rPr>
                <w:sz w:val="16"/>
              </w:rPr>
              <w:t>321</w:t>
            </w:r>
          </w:p>
        </w:tc>
        <w:tc>
          <w:tcPr>
            <w:tcW w:type="dxa" w:w="1392"/>
            <w:vAlign w:val="center"/>
          </w:tcPr>
          <w:p>
            <w:r>
              <w:rPr>
                <w:sz w:val="16"/>
              </w:rPr>
              <w:t>320</w:t>
            </w:r>
          </w:p>
        </w:tc>
      </w:tr>
    </w:tbl>
    <w:p/>
    <w:p>
      <w:pPr>
        <w:pStyle w:val="Caption"/>
      </w:pPr>
      <w:r>
        <w:t>Panel B. Targeted high-resolution refinement. All models reuse the saved first 999 permutations and continue the same deterministic permutation-index sequence to 9,999. Every permutation repeats training-fold centering, inner component selection, outer refitting and held-out prediction. Refined p-values and exact Monte Carlo intervals are precision sensitivities and were not substituted into the primary FDR screen.</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Type</w:t>
            </w:r>
          </w:p>
        </w:tc>
        <w:tc>
          <w:tcPr>
            <w:tcW w:type="dxa" w:w="1218"/>
          </w:tcPr>
          <w:p>
            <w:r>
              <w:rPr>
                <w:b/>
                <w:sz w:val="17"/>
              </w:rPr>
              <w:t>Cancer</w:t>
            </w:r>
          </w:p>
        </w:tc>
        <w:tc>
          <w:tcPr>
            <w:tcW w:type="dxa" w:w="1218"/>
          </w:tcPr>
          <w:p>
            <w:r>
              <w:rPr>
                <w:b/>
                <w:sz w:val="17"/>
              </w:rPr>
              <w:t>Endpoint</w:t>
            </w:r>
          </w:p>
        </w:tc>
        <w:tc>
          <w:tcPr>
            <w:tcW w:type="dxa" w:w="1218"/>
          </w:tcPr>
          <w:p>
            <w:r>
              <w:rPr>
                <w:b/>
                <w:sz w:val="17"/>
              </w:rPr>
              <w:t>b/999</w:t>
            </w:r>
          </w:p>
        </w:tc>
        <w:tc>
          <w:tcPr>
            <w:tcW w:type="dxa" w:w="1218"/>
          </w:tcPr>
          <w:p>
            <w:r>
              <w:rPr>
                <w:b/>
                <w:sz w:val="17"/>
              </w:rPr>
              <w:t>p (999)</w:t>
            </w:r>
          </w:p>
        </w:tc>
        <w:tc>
          <w:tcPr>
            <w:tcW w:type="dxa" w:w="1218"/>
          </w:tcPr>
          <w:p>
            <w:r>
              <w:rPr>
                <w:b/>
                <w:sz w:val="17"/>
              </w:rPr>
              <w:t>b/9,999</w:t>
            </w:r>
          </w:p>
        </w:tc>
        <w:tc>
          <w:tcPr>
            <w:tcW w:type="dxa" w:w="1218"/>
          </w:tcPr>
          <w:p>
            <w:r>
              <w:rPr>
                <w:b/>
                <w:sz w:val="17"/>
              </w:rPr>
              <w:t>p (9,999)</w:t>
            </w:r>
          </w:p>
        </w:tc>
        <w:tc>
          <w:tcPr>
            <w:tcW w:type="dxa" w:w="1218"/>
          </w:tcPr>
          <w:p>
            <w:r>
              <w:rPr>
                <w:b/>
                <w:sz w:val="17"/>
              </w:rPr>
              <w:t>95% MC interval</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BRCA</w:t>
            </w:r>
          </w:p>
        </w:tc>
        <w:tc>
          <w:tcPr>
            <w:tcW w:type="dxa" w:w="1218"/>
            <w:vAlign w:val="center"/>
          </w:tcPr>
          <w:p>
            <w:r>
              <w:rPr>
                <w:sz w:val="16"/>
              </w:rPr>
              <w:t>Wound Healing</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TGCT</w:t>
            </w:r>
          </w:p>
        </w:tc>
        <w:tc>
          <w:tcPr>
            <w:tcW w:type="dxa" w:w="1218"/>
            <w:vAlign w:val="center"/>
          </w:tcPr>
          <w:p>
            <w:r>
              <w:rPr>
                <w:sz w:val="16"/>
              </w:rPr>
              <w:t>TGF-beta Response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THCA</w:t>
            </w:r>
          </w:p>
        </w:tc>
        <w:tc>
          <w:tcPr>
            <w:tcW w:type="dxa" w:w="1218"/>
            <w:vAlign w:val="center"/>
          </w:tcPr>
          <w:p>
            <w:r>
              <w:rPr>
                <w:sz w:val="16"/>
              </w:rPr>
              <w:t>Lymphocyte Infiltration Signature Score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THYM</w:t>
            </w:r>
          </w:p>
        </w:tc>
        <w:tc>
          <w:tcPr>
            <w:tcW w:type="dxa" w:w="1218"/>
            <w:vAlign w:val="center"/>
          </w:tcPr>
          <w:p>
            <w:r>
              <w:rPr>
                <w:sz w:val="16"/>
              </w:rPr>
              <w:t>Th17 Cells</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bl>
    <w:p/>
    <w:p>
      <w:pPr>
        <w:pStyle w:val="Heading1"/>
      </w:pPr>
      <w:r>
        <w:t>Table S11. Prior histology-based molecular and immune prediction landscape</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Study</w:t>
            </w:r>
          </w:p>
        </w:tc>
        <w:tc>
          <w:tcPr>
            <w:tcW w:type="dxa" w:w="1218"/>
          </w:tcPr>
          <w:p>
            <w:r>
              <w:rPr>
                <w:b/>
                <w:sz w:val="17"/>
              </w:rPr>
              <w:t>Year</w:t>
            </w:r>
          </w:p>
        </w:tc>
        <w:tc>
          <w:tcPr>
            <w:tcW w:type="dxa" w:w="1218"/>
          </w:tcPr>
          <w:p>
            <w:r>
              <w:rPr>
                <w:b/>
                <w:sz w:val="17"/>
              </w:rPr>
              <w:t>Scope</w:t>
            </w:r>
          </w:p>
        </w:tc>
        <w:tc>
          <w:tcPr>
            <w:tcW w:type="dxa" w:w="1218"/>
          </w:tcPr>
          <w:p>
            <w:r>
              <w:rPr>
                <w:b/>
                <w:sz w:val="17"/>
              </w:rPr>
              <w:t>Endpoints</w:t>
            </w:r>
          </w:p>
        </w:tc>
        <w:tc>
          <w:tcPr>
            <w:tcW w:type="dxa" w:w="1218"/>
          </w:tcPr>
          <w:p>
            <w:r>
              <w:rPr>
                <w:b/>
                <w:sz w:val="17"/>
              </w:rPr>
              <w:t>Development cohort</w:t>
            </w:r>
          </w:p>
        </w:tc>
        <w:tc>
          <w:tcPr>
            <w:tcW w:type="dxa" w:w="1218"/>
          </w:tcPr>
          <w:p>
            <w:r>
              <w:rPr>
                <w:b/>
                <w:sz w:val="17"/>
              </w:rPr>
              <w:t>External validation</w:t>
            </w:r>
          </w:p>
        </w:tc>
        <w:tc>
          <w:tcPr>
            <w:tcW w:type="dxa" w:w="1218"/>
          </w:tcPr>
          <w:p>
            <w:r>
              <w:rPr>
                <w:b/>
                <w:sz w:val="17"/>
              </w:rPr>
              <w:t>Reported performance</w:t>
            </w:r>
          </w:p>
        </w:tc>
        <w:tc>
          <w:tcPr>
            <w:tcW w:type="dxa" w:w="1218"/>
          </w:tcPr>
          <w:p>
            <w:r>
              <w:rPr>
                <w:b/>
                <w:sz w:val="17"/>
              </w:rPr>
              <w:t>DOI</w:t>
            </w:r>
          </w:p>
        </w:tc>
      </w:tr>
      <w:tr>
        <w:trPr>
          <w:cantSplit/>
        </w:trPr>
        <w:tc>
          <w:tcPr>
            <w:tcW w:type="dxa" w:w="1218"/>
            <w:vAlign w:val="center"/>
          </w:tcPr>
          <w:p>
            <w:r>
              <w:rPr>
                <w:sz w:val="16"/>
              </w:rPr>
              <w:t>Coudray et al.</w:t>
            </w:r>
          </w:p>
        </w:tc>
        <w:tc>
          <w:tcPr>
            <w:tcW w:type="dxa" w:w="1218"/>
            <w:vAlign w:val="center"/>
          </w:tcPr>
          <w:p>
            <w:r>
              <w:rPr>
                <w:sz w:val="16"/>
              </w:rPr>
              <w:t>2018</w:t>
            </w:r>
          </w:p>
        </w:tc>
        <w:tc>
          <w:tcPr>
            <w:tcW w:type="dxa" w:w="1218"/>
            <w:vAlign w:val="center"/>
          </w:tcPr>
          <w:p>
            <w:r>
              <w:rPr>
                <w:sz w:val="16"/>
              </w:rPr>
              <w:t>NSCLC and LUAD</w:t>
            </w:r>
          </w:p>
        </w:tc>
        <w:tc>
          <w:tcPr>
            <w:tcW w:type="dxa" w:w="1218"/>
            <w:vAlign w:val="center"/>
          </w:tcPr>
          <w:p>
            <w:r>
              <w:rPr>
                <w:sz w:val="16"/>
              </w:rPr>
              <w:t>Histological class and recurrent LUAD mutations</w:t>
            </w:r>
          </w:p>
        </w:tc>
        <w:tc>
          <w:tcPr>
            <w:tcW w:type="dxa" w:w="1218"/>
            <w:vAlign w:val="center"/>
          </w:tcPr>
          <w:p>
            <w:r>
              <w:rPr>
                <w:sz w:val="16"/>
              </w:rPr>
              <w:t>TCGA</w:t>
            </w:r>
          </w:p>
        </w:tc>
        <w:tc>
          <w:tcPr>
            <w:tcW w:type="dxa" w:w="1218"/>
            <w:vAlign w:val="center"/>
          </w:tcPr>
          <w:p>
            <w:r>
              <w:rPr>
                <w:sz w:val="16"/>
              </w:rPr>
              <w:t>Independent NYU cohort for histological classification; mutation models primarily TCGA held-out</w:t>
            </w:r>
          </w:p>
        </w:tc>
        <w:tc>
          <w:tcPr>
            <w:tcW w:type="dxa" w:w="1218"/>
            <w:vAlign w:val="center"/>
          </w:tcPr>
          <w:p>
            <w:r>
              <w:rPr>
                <w:sz w:val="16"/>
              </w:rPr>
              <w:t>Mutation AUROCs varied by gene; six recurrent genes were reported as discriminable</w:t>
            </w:r>
          </w:p>
        </w:tc>
        <w:tc>
          <w:tcPr>
            <w:tcW w:type="dxa" w:w="1218"/>
            <w:vAlign w:val="center"/>
          </w:tcPr>
          <w:p>
            <w:r>
              <w:rPr>
                <w:sz w:val="16"/>
              </w:rPr>
              <w:t>10.1038/s41591-018-0177-5</w:t>
            </w:r>
          </w:p>
        </w:tc>
      </w:tr>
      <w:tr>
        <w:trPr>
          <w:cantSplit/>
        </w:trPr>
        <w:tc>
          <w:tcPr>
            <w:tcW w:type="dxa" w:w="1218"/>
            <w:vAlign w:val="center"/>
          </w:tcPr>
          <w:p>
            <w:r>
              <w:rPr>
                <w:sz w:val="16"/>
              </w:rPr>
              <w:t>Kather et al.</w:t>
            </w:r>
          </w:p>
        </w:tc>
        <w:tc>
          <w:tcPr>
            <w:tcW w:type="dxa" w:w="1218"/>
            <w:vAlign w:val="center"/>
          </w:tcPr>
          <w:p>
            <w:r>
              <w:rPr>
                <w:sz w:val="16"/>
              </w:rPr>
              <w:t>2019</w:t>
            </w:r>
          </w:p>
        </w:tc>
        <w:tc>
          <w:tcPr>
            <w:tcW w:type="dxa" w:w="1218"/>
            <w:vAlign w:val="center"/>
          </w:tcPr>
          <w:p>
            <w:r>
              <w:rPr>
                <w:sz w:val="16"/>
              </w:rPr>
              <w:t>Gastrointestinal cancers and UCEC</w:t>
            </w:r>
          </w:p>
        </w:tc>
        <w:tc>
          <w:tcPr>
            <w:tcW w:type="dxa" w:w="1218"/>
            <w:vAlign w:val="center"/>
          </w:tcPr>
          <w:p>
            <w:r>
              <w:rPr>
                <w:sz w:val="16"/>
              </w:rPr>
              <w:t>MSI status</w:t>
            </w:r>
          </w:p>
        </w:tc>
        <w:tc>
          <w:tcPr>
            <w:tcW w:type="dxa" w:w="1218"/>
            <w:vAlign w:val="center"/>
          </w:tcPr>
          <w:p>
            <w:r>
              <w:rPr>
                <w:sz w:val="16"/>
              </w:rPr>
              <w:t>TCGA CRC and STAD</w:t>
            </w:r>
          </w:p>
        </w:tc>
        <w:tc>
          <w:tcPr>
            <w:tcW w:type="dxa" w:w="1218"/>
            <w:vAlign w:val="center"/>
          </w:tcPr>
          <w:p>
            <w:r>
              <w:rPr>
                <w:sz w:val="16"/>
              </w:rPr>
              <w:t>DACHS CRC (n=378) and KCCH gastric (n=185)</w:t>
            </w:r>
          </w:p>
        </w:tc>
        <w:tc>
          <w:tcPr>
            <w:tcW w:type="dxa" w:w="1218"/>
            <w:vAlign w:val="center"/>
          </w:tcPr>
          <w:p>
            <w:r>
              <w:rPr>
                <w:sz w:val="16"/>
              </w:rPr>
              <w:t>DACHS CRC AUROC 0.84 (95% CI 0.72-0.92); KCCH gastric AUROC 0.69 (0.52-0.82); held-out UCEC AUROC 0.75 (0.63-0.83)</w:t>
            </w:r>
          </w:p>
        </w:tc>
        <w:tc>
          <w:tcPr>
            <w:tcW w:type="dxa" w:w="1218"/>
            <w:vAlign w:val="center"/>
          </w:tcPr>
          <w:p>
            <w:r>
              <w:rPr>
                <w:sz w:val="16"/>
              </w:rPr>
              <w:t>10.1038/s41591-019-0462-y</w:t>
            </w:r>
          </w:p>
        </w:tc>
      </w:tr>
      <w:tr>
        <w:trPr>
          <w:cantSplit/>
        </w:trPr>
        <w:tc>
          <w:tcPr>
            <w:tcW w:type="dxa" w:w="1218"/>
            <w:vAlign w:val="center"/>
          </w:tcPr>
          <w:p>
            <w:r>
              <w:rPr>
                <w:sz w:val="16"/>
              </w:rPr>
              <w:t>Echle et al.</w:t>
            </w:r>
          </w:p>
        </w:tc>
        <w:tc>
          <w:tcPr>
            <w:tcW w:type="dxa" w:w="1218"/>
            <w:vAlign w:val="center"/>
          </w:tcPr>
          <w:p>
            <w:r>
              <w:rPr>
                <w:sz w:val="16"/>
              </w:rPr>
              <w:t>2020</w:t>
            </w:r>
          </w:p>
        </w:tc>
        <w:tc>
          <w:tcPr>
            <w:tcW w:type="dxa" w:w="1218"/>
            <w:vAlign w:val="center"/>
          </w:tcPr>
          <w:p>
            <w:r>
              <w:rPr>
                <w:sz w:val="16"/>
              </w:rPr>
              <w:t>Colorectal cancer</w:t>
            </w:r>
          </w:p>
        </w:tc>
        <w:tc>
          <w:tcPr>
            <w:tcW w:type="dxa" w:w="1218"/>
            <w:vAlign w:val="center"/>
          </w:tcPr>
          <w:p>
            <w:r>
              <w:rPr>
                <w:sz w:val="16"/>
              </w:rPr>
              <w:t>MSI/dMMR</w:t>
            </w:r>
          </w:p>
        </w:tc>
        <w:tc>
          <w:tcPr>
            <w:tcW w:type="dxa" w:w="1218"/>
            <w:vAlign w:val="center"/>
          </w:tcPr>
          <w:p>
            <w:r>
              <w:rPr>
                <w:sz w:val="16"/>
              </w:rPr>
              <w:t>International multicentre cohort (n=6406)</w:t>
            </w:r>
          </w:p>
        </w:tc>
        <w:tc>
          <w:tcPr>
            <w:tcW w:type="dxa" w:w="1218"/>
            <w:vAlign w:val="center"/>
          </w:tcPr>
          <w:p>
            <w:r>
              <w:rPr>
                <w:sz w:val="16"/>
              </w:rPr>
              <w:t>Independent YCR-BCIP cohort (n=771)</w:t>
            </w:r>
          </w:p>
        </w:tc>
        <w:tc>
          <w:tcPr>
            <w:tcW w:type="dxa" w:w="1218"/>
            <w:vAlign w:val="center"/>
          </w:tcPr>
          <w:p>
            <w:r>
              <w:rPr>
                <w:sz w:val="16"/>
              </w:rPr>
              <w:t>Cross-validation AUROC about 0.92; external dMMR AUROC 0.96</w:t>
            </w:r>
          </w:p>
        </w:tc>
        <w:tc>
          <w:tcPr>
            <w:tcW w:type="dxa" w:w="1218"/>
            <w:vAlign w:val="center"/>
          </w:tcPr>
          <w:p>
            <w:r>
              <w:rPr>
                <w:sz w:val="16"/>
              </w:rPr>
              <w:t>10.1053/j.gastro.2020.06.021</w:t>
            </w:r>
          </w:p>
        </w:tc>
      </w:tr>
      <w:tr>
        <w:trPr>
          <w:cantSplit/>
        </w:trPr>
        <w:tc>
          <w:tcPr>
            <w:tcW w:type="dxa" w:w="1218"/>
            <w:vAlign w:val="center"/>
          </w:tcPr>
          <w:p>
            <w:r>
              <w:rPr>
                <w:sz w:val="16"/>
              </w:rPr>
              <w:t>Fu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copy-number changes tumor composition and prognosis</w:t>
            </w:r>
          </w:p>
        </w:tc>
        <w:tc>
          <w:tcPr>
            <w:tcW w:type="dxa" w:w="1218"/>
            <w:vAlign w:val="center"/>
          </w:tcPr>
          <w:p>
            <w:r>
              <w:rPr>
                <w:sz w:val="16"/>
              </w:rPr>
              <w:t>TCGA across 28 cancers</w:t>
            </w:r>
          </w:p>
        </w:tc>
        <w:tc>
          <w:tcPr>
            <w:tcW w:type="dxa" w:w="1218"/>
            <w:vAlign w:val="center"/>
          </w:tcPr>
          <w:p>
            <w:r>
              <w:rPr>
                <w:sz w:val="16"/>
              </w:rPr>
              <w:t>None outside TCGA for the pan-cancer atlas</w:t>
            </w:r>
          </w:p>
        </w:tc>
        <w:tc>
          <w:tcPr>
            <w:tcW w:type="dxa" w:w="1218"/>
            <w:vAlign w:val="center"/>
          </w:tcPr>
          <w:p>
            <w:r>
              <w:rPr>
                <w:sz w:val="16"/>
              </w:rPr>
              <w:t>Endpoint-specific AUROCs reported</w:t>
            </w:r>
          </w:p>
        </w:tc>
        <w:tc>
          <w:tcPr>
            <w:tcW w:type="dxa" w:w="1218"/>
            <w:vAlign w:val="center"/>
          </w:tcPr>
          <w:p>
            <w:r>
              <w:rPr>
                <w:sz w:val="16"/>
              </w:rPr>
              <w:t>10.1038/s43018-020-0085-8</w:t>
            </w:r>
          </w:p>
        </w:tc>
      </w:tr>
      <w:tr>
        <w:trPr>
          <w:cantSplit/>
        </w:trPr>
        <w:tc>
          <w:tcPr>
            <w:tcW w:type="dxa" w:w="1218"/>
            <w:vAlign w:val="center"/>
          </w:tcPr>
          <w:p>
            <w:r>
              <w:rPr>
                <w:sz w:val="16"/>
              </w:rPr>
              <w:t>Kather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molecular subtypes expression signatures and standard biomarkers</w:t>
            </w:r>
          </w:p>
        </w:tc>
        <w:tc>
          <w:tcPr>
            <w:tcW w:type="dxa" w:w="1218"/>
            <w:vAlign w:val="center"/>
          </w:tcPr>
          <w:p>
            <w:r>
              <w:rPr>
                <w:sz w:val="16"/>
              </w:rPr>
              <w:t>More than 5000 patients across solid tumours</w:t>
            </w:r>
          </w:p>
        </w:tc>
        <w:tc>
          <w:tcPr>
            <w:tcW w:type="dxa" w:w="1218"/>
            <w:vAlign w:val="center"/>
          </w:tcPr>
          <w:p>
            <w:r>
              <w:rPr>
                <w:sz w:val="16"/>
              </w:rPr>
              <w:t>External cohorts for selected endpoints</w:t>
            </w:r>
          </w:p>
        </w:tc>
        <w:tc>
          <w:tcPr>
            <w:tcW w:type="dxa" w:w="1218"/>
            <w:vAlign w:val="center"/>
          </w:tcPr>
          <w:p>
            <w:r>
              <w:rPr>
                <w:sz w:val="16"/>
              </w:rPr>
              <w:t>Endpoint-specific AUROCs reported across 14 tumour types</w:t>
            </w:r>
          </w:p>
        </w:tc>
        <w:tc>
          <w:tcPr>
            <w:tcW w:type="dxa" w:w="1218"/>
            <w:vAlign w:val="center"/>
          </w:tcPr>
          <w:p>
            <w:r>
              <w:rPr>
                <w:sz w:val="16"/>
              </w:rPr>
              <w:t>10.1038/s43018-020-0087-6</w:t>
            </w:r>
          </w:p>
        </w:tc>
      </w:tr>
      <w:tr>
        <w:trPr>
          <w:cantSplit/>
        </w:trPr>
        <w:tc>
          <w:tcPr>
            <w:tcW w:type="dxa" w:w="1218"/>
            <w:vAlign w:val="center"/>
          </w:tcPr>
          <w:p>
            <w:r>
              <w:rPr>
                <w:sz w:val="16"/>
              </w:rPr>
              <w:t>Schmauch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Transcriptome-wide RNA expression and pathways</w:t>
            </w:r>
          </w:p>
        </w:tc>
        <w:tc>
          <w:tcPr>
            <w:tcW w:type="dxa" w:w="1218"/>
            <w:vAlign w:val="center"/>
          </w:tcPr>
          <w:p>
            <w:r>
              <w:rPr>
                <w:sz w:val="16"/>
              </w:rPr>
              <w:t>TCGA 8725 patients across 28 cancers</w:t>
            </w:r>
          </w:p>
        </w:tc>
        <w:tc>
          <w:tcPr>
            <w:tcW w:type="dxa" w:w="1218"/>
            <w:vAlign w:val="center"/>
          </w:tcPr>
          <w:p>
            <w:r>
              <w:rPr>
                <w:sz w:val="16"/>
              </w:rPr>
              <w:t>External breast and lung cohorts for selected analyses</w:t>
            </w:r>
          </w:p>
        </w:tc>
        <w:tc>
          <w:tcPr>
            <w:tcW w:type="dxa" w:w="1218"/>
            <w:vAlign w:val="center"/>
          </w:tcPr>
          <w:p>
            <w:r>
              <w:rPr>
                <w:sz w:val="16"/>
              </w:rPr>
              <w:t>Endpoint-specific gene-expression correlations</w:t>
            </w:r>
          </w:p>
        </w:tc>
        <w:tc>
          <w:tcPr>
            <w:tcW w:type="dxa" w:w="1218"/>
            <w:vAlign w:val="center"/>
          </w:tcPr>
          <w:p>
            <w:r>
              <w:rPr>
                <w:sz w:val="16"/>
              </w:rPr>
              <w:t>10.1038/s41467-020-17678-4</w:t>
            </w:r>
          </w:p>
        </w:tc>
      </w:tr>
      <w:tr>
        <w:trPr>
          <w:cantSplit/>
        </w:trPr>
        <w:tc>
          <w:tcPr>
            <w:tcW w:type="dxa" w:w="1218"/>
            <w:vAlign w:val="center"/>
          </w:tcPr>
          <w:p>
            <w:r>
              <w:rPr>
                <w:sz w:val="16"/>
              </w:rPr>
              <w:t>Howard et al.</w:t>
            </w:r>
          </w:p>
        </w:tc>
        <w:tc>
          <w:tcPr>
            <w:tcW w:type="dxa" w:w="1218"/>
            <w:vAlign w:val="center"/>
          </w:tcPr>
          <w:p>
            <w:r>
              <w:rPr>
                <w:sz w:val="16"/>
              </w:rPr>
              <w:t>2021</w:t>
            </w:r>
          </w:p>
        </w:tc>
        <w:tc>
          <w:tcPr>
            <w:tcW w:type="dxa" w:w="1218"/>
            <w:vAlign w:val="center"/>
          </w:tcPr>
          <w:p>
            <w:r>
              <w:rPr>
                <w:sz w:val="16"/>
              </w:rPr>
              <w:t>Six TCGA cancers</w:t>
            </w:r>
          </w:p>
        </w:tc>
        <w:tc>
          <w:tcPr>
            <w:tcW w:type="dxa" w:w="1218"/>
            <w:vAlign w:val="center"/>
          </w:tcPr>
          <w:p>
            <w:r>
              <w:rPr>
                <w:sz w:val="16"/>
              </w:rPr>
              <w:t>Submitting-site signatures and bias</w:t>
            </w:r>
          </w:p>
        </w:tc>
        <w:tc>
          <w:tcPr>
            <w:tcW w:type="dxa" w:w="1218"/>
            <w:vAlign w:val="center"/>
          </w:tcPr>
          <w:p>
            <w:r>
              <w:rPr>
                <w:sz w:val="16"/>
              </w:rPr>
              <w:t>TCGA more than 3000 patients</w:t>
            </w:r>
          </w:p>
        </w:tc>
        <w:tc>
          <w:tcPr>
            <w:tcW w:type="dxa" w:w="1218"/>
            <w:vAlign w:val="center"/>
          </w:tcPr>
          <w:p>
            <w:r>
              <w:rPr>
                <w:sz w:val="16"/>
              </w:rPr>
              <w:t>Site-preserved validation within TCGA</w:t>
            </w:r>
          </w:p>
        </w:tc>
        <w:tc>
          <w:tcPr>
            <w:tcW w:type="dxa" w:w="1218"/>
            <w:vAlign w:val="center"/>
          </w:tcPr>
          <w:p>
            <w:r>
              <w:rPr>
                <w:sz w:val="16"/>
              </w:rPr>
              <w:t>Site signatures remained detectable and could inflate mutation stage and survival prediction</w:t>
            </w:r>
          </w:p>
        </w:tc>
        <w:tc>
          <w:tcPr>
            <w:tcW w:type="dxa" w:w="1218"/>
            <w:vAlign w:val="center"/>
          </w:tcPr>
          <w:p>
            <w:r>
              <w:rPr>
                <w:sz w:val="16"/>
              </w:rPr>
              <w:t>10.1038/s41467-021-24698-1</w:t>
            </w:r>
          </w:p>
        </w:tc>
      </w:tr>
      <w:tr>
        <w:trPr>
          <w:cantSplit/>
        </w:trPr>
        <w:tc>
          <w:tcPr>
            <w:tcW w:type="dxa" w:w="1218"/>
            <w:vAlign w:val="center"/>
          </w:tcPr>
          <w:p>
            <w:r>
              <w:rPr>
                <w:sz w:val="16"/>
              </w:rPr>
              <w:t>Loeffler et al.</w:t>
            </w:r>
          </w:p>
        </w:tc>
        <w:tc>
          <w:tcPr>
            <w:tcW w:type="dxa" w:w="1218"/>
            <w:vAlign w:val="center"/>
          </w:tcPr>
          <w:p>
            <w:r>
              <w:rPr>
                <w:sz w:val="16"/>
              </w:rPr>
              <w:t>2022</w:t>
            </w:r>
          </w:p>
        </w:tc>
        <w:tc>
          <w:tcPr>
            <w:tcW w:type="dxa" w:w="1218"/>
            <w:vAlign w:val="center"/>
          </w:tcPr>
          <w:p>
            <w:r>
              <w:rPr>
                <w:sz w:val="16"/>
              </w:rPr>
              <w:t>Pan-cancer</w:t>
            </w:r>
          </w:p>
        </w:tc>
        <w:tc>
          <w:tcPr>
            <w:tcW w:type="dxa" w:w="1218"/>
            <w:vAlign w:val="center"/>
          </w:tcPr>
          <w:p>
            <w:r>
              <w:rPr>
                <w:sz w:val="16"/>
              </w:rPr>
              <w:t>69 genes and 12 pathways</w:t>
            </w:r>
          </w:p>
        </w:tc>
        <w:tc>
          <w:tcPr>
            <w:tcW w:type="dxa" w:w="1218"/>
            <w:vAlign w:val="center"/>
          </w:tcPr>
          <w:p>
            <w:r>
              <w:rPr>
                <w:sz w:val="16"/>
              </w:rPr>
              <w:t>TCGA 7829 patients across 23 cancers</w:t>
            </w:r>
          </w:p>
        </w:tc>
        <w:tc>
          <w:tcPr>
            <w:tcW w:type="dxa" w:w="1218"/>
            <w:vAlign w:val="center"/>
          </w:tcPr>
          <w:p>
            <w:r>
              <w:rPr>
                <w:sz w:val="16"/>
              </w:rPr>
              <w:t>None outside TCGA in primary systematic screen</w:t>
            </w:r>
          </w:p>
        </w:tc>
        <w:tc>
          <w:tcPr>
            <w:tcW w:type="dxa" w:w="1218"/>
            <w:vAlign w:val="center"/>
          </w:tcPr>
          <w:p>
            <w:r>
              <w:rPr>
                <w:sz w:val="16"/>
              </w:rPr>
              <w:t>44 of 69 genes were reported predictable in at least one tumour type</w:t>
            </w:r>
          </w:p>
        </w:tc>
        <w:tc>
          <w:tcPr>
            <w:tcW w:type="dxa" w:w="1218"/>
            <w:vAlign w:val="center"/>
          </w:tcPr>
          <w:p>
            <w:r>
              <w:rPr>
                <w:sz w:val="16"/>
              </w:rPr>
              <w:t>10.3389/fgene.2021.806386</w:t>
            </w:r>
          </w:p>
        </w:tc>
      </w:tr>
      <w:tr>
        <w:trPr>
          <w:cantSplit/>
        </w:trPr>
        <w:tc>
          <w:tcPr>
            <w:tcW w:type="dxa" w:w="1218"/>
            <w:vAlign w:val="center"/>
          </w:tcPr>
          <w:p>
            <w:r>
              <w:rPr>
                <w:sz w:val="16"/>
              </w:rPr>
              <w:t>Dadhania et al.</w:t>
            </w:r>
          </w:p>
        </w:tc>
        <w:tc>
          <w:tcPr>
            <w:tcW w:type="dxa" w:w="1218"/>
            <w:vAlign w:val="center"/>
          </w:tcPr>
          <w:p>
            <w:r>
              <w:rPr>
                <w:sz w:val="16"/>
              </w:rPr>
              <w:t>2022</w:t>
            </w:r>
          </w:p>
        </w:tc>
        <w:tc>
          <w:tcPr>
            <w:tcW w:type="dxa" w:w="1218"/>
            <w:vAlign w:val="center"/>
          </w:tcPr>
          <w:p>
            <w:r>
              <w:rPr>
                <w:sz w:val="16"/>
              </w:rPr>
              <w:t>Prostate cancer</w:t>
            </w:r>
          </w:p>
        </w:tc>
        <w:tc>
          <w:tcPr>
            <w:tcW w:type="dxa" w:w="1218"/>
            <w:vAlign w:val="center"/>
          </w:tcPr>
          <w:p>
            <w:r>
              <w:rPr>
                <w:sz w:val="16"/>
              </w:rPr>
              <w:t>ERG rearrangement status</w:t>
            </w:r>
          </w:p>
        </w:tc>
        <w:tc>
          <w:tcPr>
            <w:tcW w:type="dxa" w:w="1218"/>
            <w:vAlign w:val="center"/>
          </w:tcPr>
          <w:p>
            <w:r>
              <w:rPr>
                <w:sz w:val="16"/>
              </w:rPr>
              <w:t>392 in-house and TCGA cases</w:t>
            </w:r>
          </w:p>
        </w:tc>
        <w:tc>
          <w:tcPr>
            <w:tcW w:type="dxa" w:w="1218"/>
            <w:vAlign w:val="center"/>
          </w:tcPr>
          <w:p>
            <w:r>
              <w:rPr>
                <w:sz w:val="16"/>
              </w:rPr>
              <w:t>Held-out 131-case test set</w:t>
            </w:r>
          </w:p>
        </w:tc>
        <w:tc>
          <w:tcPr>
            <w:tcW w:type="dxa" w:w="1218"/>
            <w:vAlign w:val="center"/>
          </w:tcPr>
          <w:p>
            <w:r>
              <w:rPr>
                <w:sz w:val="16"/>
              </w:rPr>
              <w:t>AUROC 0.82-0.85; sensitivity 75.0% and specificity 83.1% at 20x</w:t>
            </w:r>
          </w:p>
        </w:tc>
        <w:tc>
          <w:tcPr>
            <w:tcW w:type="dxa" w:w="1218"/>
            <w:vAlign w:val="center"/>
          </w:tcPr>
          <w:p>
            <w:r>
              <w:rPr>
                <w:sz w:val="16"/>
              </w:rPr>
              <w:t>10.1186/s12885-022-09559-4</w:t>
            </w:r>
          </w:p>
        </w:tc>
      </w:tr>
      <w:tr>
        <w:trPr>
          <w:cantSplit/>
        </w:trPr>
        <w:tc>
          <w:tcPr>
            <w:tcW w:type="dxa" w:w="1218"/>
            <w:vAlign w:val="center"/>
          </w:tcPr>
          <w:p>
            <w:r>
              <w:rPr>
                <w:sz w:val="16"/>
              </w:rPr>
              <w:t>Mayer et al.</w:t>
            </w:r>
          </w:p>
        </w:tc>
        <w:tc>
          <w:tcPr>
            <w:tcW w:type="dxa" w:w="1218"/>
            <w:vAlign w:val="center"/>
          </w:tcPr>
          <w:p>
            <w:r>
              <w:rPr>
                <w:sz w:val="16"/>
              </w:rPr>
              <w:t>2022</w:t>
            </w:r>
          </w:p>
        </w:tc>
        <w:tc>
          <w:tcPr>
            <w:tcW w:type="dxa" w:w="1218"/>
            <w:vAlign w:val="center"/>
          </w:tcPr>
          <w:p>
            <w:r>
              <w:rPr>
                <w:sz w:val="16"/>
              </w:rPr>
              <w:t>NSCLC</w:t>
            </w:r>
          </w:p>
        </w:tc>
        <w:tc>
          <w:tcPr>
            <w:tcW w:type="dxa" w:w="1218"/>
            <w:vAlign w:val="center"/>
          </w:tcPr>
          <w:p>
            <w:r>
              <w:rPr>
                <w:sz w:val="16"/>
              </w:rPr>
              <w:t>ALK and ROS1 fusions</w:t>
            </w:r>
          </w:p>
        </w:tc>
        <w:tc>
          <w:tcPr>
            <w:tcW w:type="dxa" w:w="1218"/>
            <w:vAlign w:val="center"/>
          </w:tcPr>
          <w:p>
            <w:r>
              <w:rPr>
                <w:sz w:val="16"/>
              </w:rPr>
              <w:t>Pan-cancer pretraining plus NSCLC development</w:t>
            </w:r>
          </w:p>
        </w:tc>
        <w:tc>
          <w:tcPr>
            <w:tcW w:type="dxa" w:w="1218"/>
            <w:vAlign w:val="center"/>
          </w:tcPr>
          <w:p>
            <w:r>
              <w:rPr>
                <w:sz w:val="16"/>
              </w:rPr>
              <w:t>Independent 72-case Sheba cohort</w:t>
            </w:r>
          </w:p>
        </w:tc>
        <w:tc>
          <w:tcPr>
            <w:tcW w:type="dxa" w:w="1218"/>
            <w:vAlign w:val="center"/>
          </w:tcPr>
          <w:p>
            <w:r>
              <w:rPr>
                <w:sz w:val="16"/>
              </w:rPr>
              <w:t>Sensitivity 100% for ALK and ROS1; specificity 100% and 98.6% respectively with very few positives</w:t>
            </w:r>
          </w:p>
        </w:tc>
        <w:tc>
          <w:tcPr>
            <w:tcW w:type="dxa" w:w="1218"/>
            <w:vAlign w:val="center"/>
          </w:tcPr>
          <w:p>
            <w:r>
              <w:rPr>
                <w:sz w:val="16"/>
              </w:rPr>
              <w:t>10.1038/s41379-022-01141-4</w:t>
            </w:r>
          </w:p>
        </w:tc>
      </w:tr>
      <w:tr>
        <w:trPr>
          <w:cantSplit/>
        </w:trPr>
        <w:tc>
          <w:tcPr>
            <w:tcW w:type="dxa" w:w="1218"/>
            <w:vAlign w:val="center"/>
          </w:tcPr>
          <w:p>
            <w:r>
              <w:rPr>
                <w:sz w:val="16"/>
              </w:rPr>
              <w:t>Saldanha et al.</w:t>
            </w:r>
          </w:p>
        </w:tc>
        <w:tc>
          <w:tcPr>
            <w:tcW w:type="dxa" w:w="1218"/>
            <w:vAlign w:val="center"/>
          </w:tcPr>
          <w:p>
            <w:r>
              <w:rPr>
                <w:sz w:val="16"/>
              </w:rPr>
              <w:t>2023</w:t>
            </w:r>
          </w:p>
        </w:tc>
        <w:tc>
          <w:tcPr>
            <w:tcW w:type="dxa" w:w="1218"/>
            <w:vAlign w:val="center"/>
          </w:tcPr>
          <w:p>
            <w:r>
              <w:rPr>
                <w:sz w:val="16"/>
              </w:rPr>
              <w:t>Pan-cancer</w:t>
            </w:r>
          </w:p>
        </w:tc>
        <w:tc>
          <w:tcPr>
            <w:tcW w:type="dxa" w:w="1218"/>
            <w:vAlign w:val="center"/>
          </w:tcPr>
          <w:p>
            <w:r>
              <w:rPr>
                <w:sz w:val="16"/>
              </w:rPr>
              <w:t>Somatic gene alterations</w:t>
            </w:r>
          </w:p>
        </w:tc>
        <w:tc>
          <w:tcPr>
            <w:tcW w:type="dxa" w:w="1218"/>
            <w:vAlign w:val="center"/>
          </w:tcPr>
          <w:p>
            <w:r>
              <w:rPr>
                <w:sz w:val="16"/>
              </w:rPr>
              <w:t>TCGA across multiple cancers</w:t>
            </w:r>
          </w:p>
        </w:tc>
        <w:tc>
          <w:tcPr>
            <w:tcW w:type="dxa" w:w="1218"/>
            <w:vAlign w:val="center"/>
          </w:tcPr>
          <w:p>
            <w:r>
              <w:rPr>
                <w:sz w:val="16"/>
              </w:rPr>
              <w:t>CPTAC external cohorts for seven cancer groups</w:t>
            </w:r>
          </w:p>
        </w:tc>
        <w:tc>
          <w:tcPr>
            <w:tcW w:type="dxa" w:w="1218"/>
            <w:vAlign w:val="center"/>
          </w:tcPr>
          <w:p>
            <w:r>
              <w:rPr>
                <w:sz w:val="16"/>
              </w:rPr>
              <w:t>Endpoint-specific internal and external AUROCs</w:t>
            </w:r>
          </w:p>
        </w:tc>
        <w:tc>
          <w:tcPr>
            <w:tcW w:type="dxa" w:w="1218"/>
            <w:vAlign w:val="center"/>
          </w:tcPr>
          <w:p>
            <w:r>
              <w:rPr>
                <w:sz w:val="16"/>
              </w:rPr>
              <w:t>10.1038/s41698-023-00365-0</w:t>
            </w:r>
          </w:p>
        </w:tc>
      </w:tr>
      <w:tr>
        <w:trPr>
          <w:cantSplit/>
        </w:trPr>
        <w:tc>
          <w:tcPr>
            <w:tcW w:type="dxa" w:w="1218"/>
            <w:vAlign w:val="center"/>
          </w:tcPr>
          <w:p>
            <w:r>
              <w:rPr>
                <w:sz w:val="16"/>
              </w:rPr>
              <w:t>El Nahhas et al.</w:t>
            </w:r>
          </w:p>
        </w:tc>
        <w:tc>
          <w:tcPr>
            <w:tcW w:type="dxa" w:w="1218"/>
            <w:vAlign w:val="center"/>
          </w:tcPr>
          <w:p>
            <w:r>
              <w:rPr>
                <w:sz w:val="16"/>
              </w:rPr>
              <w:t>2024</w:t>
            </w:r>
          </w:p>
        </w:tc>
        <w:tc>
          <w:tcPr>
            <w:tcW w:type="dxa" w:w="1218"/>
            <w:vAlign w:val="center"/>
          </w:tcPr>
          <w:p>
            <w:r>
              <w:rPr>
                <w:sz w:val="16"/>
              </w:rPr>
              <w:t>Nine cancers</w:t>
            </w:r>
          </w:p>
        </w:tc>
        <w:tc>
          <w:tcPr>
            <w:tcW w:type="dxa" w:w="1218"/>
            <w:vAlign w:val="center"/>
          </w:tcPr>
          <w:p>
            <w:r>
              <w:rPr>
                <w:sz w:val="16"/>
              </w:rPr>
              <w:t>Continuous HRD and tumour-microenvironment biomarkers</w:t>
            </w:r>
          </w:p>
        </w:tc>
        <w:tc>
          <w:tcPr>
            <w:tcW w:type="dxa" w:w="1218"/>
            <w:vAlign w:val="center"/>
          </w:tcPr>
          <w:p>
            <w:r>
              <w:rPr>
                <w:sz w:val="16"/>
              </w:rPr>
              <w:t>11671 patients across nine cancers</w:t>
            </w:r>
          </w:p>
        </w:tc>
        <w:tc>
          <w:tcPr>
            <w:tcW w:type="dxa" w:w="1218"/>
            <w:vAlign w:val="center"/>
          </w:tcPr>
          <w:p>
            <w:r>
              <w:rPr>
                <w:sz w:val="16"/>
              </w:rPr>
              <w:t>Selected external cohorts</w:t>
            </w:r>
          </w:p>
        </w:tc>
        <w:tc>
          <w:tcPr>
            <w:tcW w:type="dxa" w:w="1218"/>
            <w:vAlign w:val="center"/>
          </w:tcPr>
          <w:p>
            <w:r>
              <w:rPr>
                <w:sz w:val="16"/>
              </w:rPr>
              <w:t>Regression improved continuous biomarker prediction and interpretability relative to dichotomisation</w:t>
            </w:r>
          </w:p>
        </w:tc>
        <w:tc>
          <w:tcPr>
            <w:tcW w:type="dxa" w:w="1218"/>
            <w:vAlign w:val="center"/>
          </w:tcPr>
          <w:p>
            <w:r>
              <w:rPr>
                <w:sz w:val="16"/>
              </w:rPr>
              <w:t>10.1038/s41467-024-45589-1</w:t>
            </w:r>
          </w:p>
        </w:tc>
      </w:tr>
      <w:tr>
        <w:trPr>
          <w:cantSplit/>
        </w:trPr>
        <w:tc>
          <w:tcPr>
            <w:tcW w:type="dxa" w:w="1218"/>
            <w:vAlign w:val="center"/>
          </w:tcPr>
          <w:p>
            <w:r>
              <w:rPr>
                <w:sz w:val="16"/>
              </w:rPr>
              <w:t>Arslan et al.</w:t>
            </w:r>
          </w:p>
        </w:tc>
        <w:tc>
          <w:tcPr>
            <w:tcW w:type="dxa" w:w="1218"/>
            <w:vAlign w:val="center"/>
          </w:tcPr>
          <w:p>
            <w:r>
              <w:rPr>
                <w:sz w:val="16"/>
              </w:rPr>
              <w:t>2024</w:t>
            </w:r>
          </w:p>
        </w:tc>
        <w:tc>
          <w:tcPr>
            <w:tcW w:type="dxa" w:w="1218"/>
            <w:vAlign w:val="center"/>
          </w:tcPr>
          <w:p>
            <w:r>
              <w:rPr>
                <w:sz w:val="16"/>
              </w:rPr>
              <w:t>Pan-cancer</w:t>
            </w:r>
          </w:p>
        </w:tc>
        <w:tc>
          <w:tcPr>
            <w:tcW w:type="dxa" w:w="1218"/>
            <w:vAlign w:val="center"/>
          </w:tcPr>
          <w:p>
            <w:r>
              <w:rPr>
                <w:sz w:val="16"/>
              </w:rPr>
              <w:t>4031 genomic transcriptomic proteomic and clinical biomarkers</w:t>
            </w:r>
          </w:p>
        </w:tc>
        <w:tc>
          <w:tcPr>
            <w:tcW w:type="dxa" w:w="1218"/>
            <w:vAlign w:val="center"/>
          </w:tcPr>
          <w:p>
            <w:r>
              <w:rPr>
                <w:sz w:val="16"/>
              </w:rPr>
              <w:t>TCGA 8890 patients and 10954 FFPE slides across 32 cancers</w:t>
            </w:r>
          </w:p>
        </w:tc>
        <w:tc>
          <w:tcPr>
            <w:tcW w:type="dxa" w:w="1218"/>
            <w:vAlign w:val="center"/>
          </w:tcPr>
          <w:p>
            <w:r>
              <w:rPr>
                <w:sz w:val="16"/>
              </w:rPr>
              <w:t>CPTAC for selected cancer-endpoint combinations</w:t>
            </w:r>
          </w:p>
        </w:tc>
        <w:tc>
          <w:tcPr>
            <w:tcW w:type="dxa" w:w="1218"/>
            <w:vAlign w:val="center"/>
          </w:tcPr>
          <w:p>
            <w:r>
              <w:rPr>
                <w:sz w:val="16"/>
              </w:rPr>
              <w:t>Median model AUROC 0.644; top quartile at least 0.719; top 5% above 0.834</w:t>
            </w:r>
          </w:p>
        </w:tc>
        <w:tc>
          <w:tcPr>
            <w:tcW w:type="dxa" w:w="1218"/>
            <w:vAlign w:val="center"/>
          </w:tcPr>
          <w:p>
            <w:r>
              <w:rPr>
                <w:sz w:val="16"/>
              </w:rPr>
              <w:t>10.1038/s43856-024-00471-5</w:t>
            </w:r>
          </w:p>
        </w:tc>
      </w:tr>
      <w:tr>
        <w:trPr>
          <w:cantSplit/>
        </w:trPr>
        <w:tc>
          <w:tcPr>
            <w:tcW w:type="dxa" w:w="1218"/>
            <w:vAlign w:val="center"/>
          </w:tcPr>
          <w:p>
            <w:r>
              <w:rPr>
                <w:sz w:val="16"/>
              </w:rPr>
              <w:t>Bergstrom et al.</w:t>
            </w:r>
          </w:p>
        </w:tc>
        <w:tc>
          <w:tcPr>
            <w:tcW w:type="dxa" w:w="1218"/>
            <w:vAlign w:val="center"/>
          </w:tcPr>
          <w:p>
            <w:r>
              <w:rPr>
                <w:sz w:val="16"/>
              </w:rPr>
              <w:t>2024</w:t>
            </w:r>
          </w:p>
        </w:tc>
        <w:tc>
          <w:tcPr>
            <w:tcW w:type="dxa" w:w="1218"/>
            <w:vAlign w:val="center"/>
          </w:tcPr>
          <w:p>
            <w:r>
              <w:rPr>
                <w:sz w:val="16"/>
              </w:rPr>
              <w:t>Breast and ovarian cancer</w:t>
            </w:r>
          </w:p>
        </w:tc>
        <w:tc>
          <w:tcPr>
            <w:tcW w:type="dxa" w:w="1218"/>
            <w:vAlign w:val="center"/>
          </w:tcPr>
          <w:p>
            <w:r>
              <w:rPr>
                <w:sz w:val="16"/>
              </w:rPr>
              <w:t>HRD and platinum response</w:t>
            </w:r>
          </w:p>
        </w:tc>
        <w:tc>
          <w:tcPr>
            <w:tcW w:type="dxa" w:w="1218"/>
            <w:vAlign w:val="center"/>
          </w:tcPr>
          <w:p>
            <w:r>
              <w:rPr>
                <w:sz w:val="16"/>
              </w:rPr>
              <w:t>TCGA BRCA and OV</w:t>
            </w:r>
          </w:p>
        </w:tc>
        <w:tc>
          <w:tcPr>
            <w:tcW w:type="dxa" w:w="1218"/>
            <w:vAlign w:val="center"/>
          </w:tcPr>
          <w:p>
            <w:r>
              <w:rPr>
                <w:sz w:val="16"/>
              </w:rPr>
              <w:t>CPTAC METABRIC and independent clinical cohorts</w:t>
            </w:r>
          </w:p>
        </w:tc>
        <w:tc>
          <w:tcPr>
            <w:tcW w:type="dxa" w:w="1218"/>
            <w:vAlign w:val="center"/>
          </w:tcPr>
          <w:p>
            <w:r>
              <w:rPr>
                <w:sz w:val="16"/>
              </w:rPr>
              <w:t>TCGA breast AUROC 0.81 (0.77-0.85); external primary breast AUROC 0.76 (0.71-0.82)</w:t>
            </w:r>
          </w:p>
        </w:tc>
        <w:tc>
          <w:tcPr>
            <w:tcW w:type="dxa" w:w="1218"/>
            <w:vAlign w:val="center"/>
          </w:tcPr>
          <w:p>
            <w:r>
              <w:rPr>
                <w:sz w:val="16"/>
              </w:rPr>
              <w:t>10.1200/JCO.23.02641</w:t>
            </w:r>
          </w:p>
        </w:tc>
      </w:tr>
      <w:tr>
        <w:trPr>
          <w:cantSplit/>
        </w:trPr>
        <w:tc>
          <w:tcPr>
            <w:tcW w:type="dxa" w:w="1218"/>
            <w:vAlign w:val="center"/>
          </w:tcPr>
          <w:p>
            <w:r>
              <w:rPr>
                <w:sz w:val="16"/>
              </w:rPr>
              <w:t>Patkar et al.</w:t>
            </w:r>
          </w:p>
        </w:tc>
        <w:tc>
          <w:tcPr>
            <w:tcW w:type="dxa" w:w="1218"/>
            <w:vAlign w:val="center"/>
          </w:tcPr>
          <w:p>
            <w:r>
              <w:rPr>
                <w:sz w:val="16"/>
              </w:rPr>
              <w:t>2024</w:t>
            </w:r>
          </w:p>
        </w:tc>
        <w:tc>
          <w:tcPr>
            <w:tcW w:type="dxa" w:w="1218"/>
            <w:vAlign w:val="center"/>
          </w:tcPr>
          <w:p>
            <w:r>
              <w:rPr>
                <w:sz w:val="16"/>
              </w:rPr>
              <w:t>NSCLC</w:t>
            </w:r>
          </w:p>
        </w:tc>
        <w:tc>
          <w:tcPr>
            <w:tcW w:type="dxa" w:w="1218"/>
            <w:vAlign w:val="center"/>
          </w:tcPr>
          <w:p>
            <w:r>
              <w:rPr>
                <w:sz w:val="16"/>
              </w:rPr>
              <w:t>Thirty tumour-microenvironment expression signatures and immunotherapy response</w:t>
            </w:r>
          </w:p>
        </w:tc>
        <w:tc>
          <w:tcPr>
            <w:tcW w:type="dxa" w:w="1218"/>
            <w:vAlign w:val="center"/>
          </w:tcPr>
          <w:p>
            <w:r>
              <w:rPr>
                <w:sz w:val="16"/>
              </w:rPr>
              <w:t>TCGA NSCLC (n=865)</w:t>
            </w:r>
          </w:p>
        </w:tc>
        <w:tc>
          <w:tcPr>
            <w:tcW w:type="dxa" w:w="1218"/>
            <w:vAlign w:val="center"/>
          </w:tcPr>
          <w:p>
            <w:r>
              <w:rPr>
                <w:sz w:val="16"/>
              </w:rPr>
              <w:t>CPTAC (n=333) and SUNY cohorts with IHC and treatment outcomes</w:t>
            </w:r>
          </w:p>
        </w:tc>
        <w:tc>
          <w:tcPr>
            <w:tcW w:type="dxa" w:w="1218"/>
            <w:vAlign w:val="center"/>
          </w:tcPr>
          <w:p>
            <w:r>
              <w:rPr>
                <w:sz w:val="16"/>
              </w:rPr>
              <w:t>Mean external Pearson correlation 0.50; IHC cell-type correlations 0.41-0.60; first-line ICI-response AUROC 0.75 (0.61-0.88)</w:t>
            </w:r>
          </w:p>
        </w:tc>
        <w:tc>
          <w:tcPr>
            <w:tcW w:type="dxa" w:w="1218"/>
            <w:vAlign w:val="center"/>
          </w:tcPr>
          <w:p>
            <w:r>
              <w:rPr>
                <w:sz w:val="16"/>
              </w:rPr>
              <w:t>10.1038/s41698-024-00765-w</w:t>
            </w:r>
          </w:p>
        </w:tc>
      </w:tr>
      <w:tr>
        <w:trPr>
          <w:cantSplit/>
        </w:trPr>
        <w:tc>
          <w:tcPr>
            <w:tcW w:type="dxa" w:w="1218"/>
            <w:vAlign w:val="center"/>
          </w:tcPr>
          <w:p>
            <w:r>
              <w:rPr>
                <w:sz w:val="16"/>
              </w:rPr>
              <w:t>Ding et al.</w:t>
            </w:r>
          </w:p>
        </w:tc>
        <w:tc>
          <w:tcPr>
            <w:tcW w:type="dxa" w:w="1218"/>
            <w:vAlign w:val="center"/>
          </w:tcPr>
          <w:p>
            <w:r>
              <w:rPr>
                <w:sz w:val="16"/>
              </w:rPr>
              <w:t>2025</w:t>
            </w:r>
          </w:p>
        </w:tc>
        <w:tc>
          <w:tcPr>
            <w:tcW w:type="dxa" w:w="1218"/>
            <w:vAlign w:val="center"/>
          </w:tcPr>
          <w:p>
            <w:r>
              <w:rPr>
                <w:sz w:val="16"/>
              </w:rPr>
              <w:t>Pan-organ and pan-cancer</w:t>
            </w:r>
          </w:p>
        </w:tc>
        <w:tc>
          <w:tcPr>
            <w:tcW w:type="dxa" w:w="1218"/>
            <w:vAlign w:val="center"/>
          </w:tcPr>
          <w:p>
            <w:r>
              <w:rPr>
                <w:sz w:val="16"/>
              </w:rPr>
              <w:t>Diagnosis molecular status prognosis retrieval and report generation</w:t>
            </w:r>
          </w:p>
        </w:tc>
        <w:tc>
          <w:tcPr>
            <w:tcW w:type="dxa" w:w="1218"/>
            <w:vAlign w:val="center"/>
          </w:tcPr>
          <w:p>
            <w:r>
              <w:rPr>
                <w:sz w:val="16"/>
              </w:rPr>
              <w:t>Mass-340K pretraining: 335645 WSIs plus synthetic captions and 182862 WSI-report pairs</w:t>
            </w:r>
          </w:p>
        </w:tc>
        <w:tc>
          <w:tcPr>
            <w:tcW w:type="dxa" w:w="1218"/>
            <w:vAlign w:val="center"/>
          </w:tcPr>
          <w:p>
            <w:r>
              <w:rPr>
                <w:sz w:val="16"/>
              </w:rPr>
              <w:t>TCGA was downstream evaluation and explicitly excluded from TITAN pretraining</w:t>
            </w:r>
          </w:p>
        </w:tc>
        <w:tc>
          <w:tcPr>
            <w:tcW w:type="dxa" w:w="1218"/>
            <w:vAlign w:val="center"/>
          </w:tcPr>
          <w:p>
            <w:r>
              <w:rPr>
                <w:sz w:val="16"/>
              </w:rPr>
              <w:t>Task-specific linear-probe and zero-shot metrics</w:t>
            </w:r>
          </w:p>
        </w:tc>
        <w:tc>
          <w:tcPr>
            <w:tcW w:type="dxa" w:w="1218"/>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Item</w:t>
            </w:r>
          </w:p>
        </w:tc>
        <w:tc>
          <w:tcPr>
            <w:tcW w:type="dxa" w:w="2436"/>
          </w:tcPr>
          <w:p>
            <w:r>
              <w:rPr>
                <w:b/>
                <w:sz w:val="17"/>
              </w:rPr>
              <w:t>Topic</w:t>
            </w:r>
          </w:p>
        </w:tc>
        <w:tc>
          <w:tcPr>
            <w:tcW w:type="dxa" w:w="2436"/>
          </w:tcPr>
          <w:p>
            <w:r>
              <w:rPr>
                <w:b/>
                <w:sz w:val="17"/>
              </w:rPr>
              <w:t>Reported location</w:t>
            </w:r>
          </w:p>
        </w:tc>
        <w:tc>
          <w:tcPr>
            <w:tcW w:type="dxa" w:w="2436"/>
          </w:tcPr>
          <w:p>
            <w:r>
              <w:rPr>
                <w:b/>
                <w:sz w:val="17"/>
              </w:rPr>
              <w:t>Status</w:t>
            </w:r>
          </w:p>
        </w:tc>
      </w:tr>
      <w:tr>
        <w:trPr>
          <w:cantSplit/>
        </w:trPr>
        <w:tc>
          <w:tcPr>
            <w:tcW w:type="dxa" w:w="2436"/>
            <w:vAlign w:val="center"/>
          </w:tcPr>
          <w:p>
            <w:r>
              <w:rPr>
                <w:sz w:val="16"/>
              </w:rPr>
              <w:t>1</w:t>
            </w:r>
          </w:p>
        </w:tc>
        <w:tc>
          <w:tcPr>
            <w:tcW w:type="dxa" w:w="2436"/>
            <w:vAlign w:val="center"/>
          </w:tcPr>
          <w:p>
            <w:r>
              <w:rPr>
                <w:sz w:val="16"/>
              </w:rPr>
              <w:t>Title</w:t>
            </w:r>
          </w:p>
        </w:tc>
        <w:tc>
          <w:tcPr>
            <w:tcW w:type="dxa" w:w="2436"/>
            <w:vAlign w:val="center"/>
          </w:tcPr>
          <w:p>
            <w:r>
              <w:rPr>
                <w:sz w:val="16"/>
              </w:rPr>
              <w:t>Title page</w:t>
            </w:r>
          </w:p>
        </w:tc>
        <w:tc>
          <w:tcPr>
            <w:tcW w:type="dxa" w:w="2436"/>
            <w:vAlign w:val="center"/>
          </w:tcPr>
          <w:p>
            <w:r>
              <w:rPr>
                <w:sz w:val="16"/>
              </w:rPr>
              <w:t>Reported</w:t>
            </w:r>
          </w:p>
        </w:tc>
      </w:tr>
      <w:tr>
        <w:trPr>
          <w:cantSplit/>
        </w:trPr>
        <w:tc>
          <w:tcPr>
            <w:tcW w:type="dxa" w:w="2436"/>
            <w:vAlign w:val="center"/>
          </w:tcPr>
          <w:p>
            <w:r>
              <w:rPr>
                <w:sz w:val="16"/>
              </w:rPr>
              <w:t>2</w:t>
            </w:r>
          </w:p>
        </w:tc>
        <w:tc>
          <w:tcPr>
            <w:tcW w:type="dxa" w:w="2436"/>
            <w:vAlign w:val="center"/>
          </w:tcPr>
          <w:p>
            <w:r>
              <w:rPr>
                <w:sz w:val="16"/>
              </w:rPr>
              <w:t>Abstract</w:t>
            </w:r>
          </w:p>
        </w:tc>
        <w:tc>
          <w:tcPr>
            <w:tcW w:type="dxa" w:w="2436"/>
            <w:vAlign w:val="center"/>
          </w:tcPr>
          <w:p>
            <w:r>
              <w:rPr>
                <w:sz w:val="16"/>
              </w:rPr>
              <w:t>Structured abstract</w:t>
            </w:r>
          </w:p>
        </w:tc>
        <w:tc>
          <w:tcPr>
            <w:tcW w:type="dxa" w:w="2436"/>
            <w:vAlign w:val="center"/>
          </w:tcPr>
          <w:p>
            <w:r>
              <w:rPr>
                <w:sz w:val="16"/>
              </w:rPr>
              <w:t>Reported</w:t>
            </w:r>
          </w:p>
        </w:tc>
      </w:tr>
      <w:tr>
        <w:trPr>
          <w:cantSplit/>
        </w:trPr>
        <w:tc>
          <w:tcPr>
            <w:tcW w:type="dxa" w:w="2436"/>
            <w:vAlign w:val="center"/>
          </w:tcPr>
          <w:p>
            <w:r>
              <w:rPr>
                <w:sz w:val="16"/>
              </w:rPr>
              <w:t>3a</w:t>
            </w:r>
          </w:p>
        </w:tc>
        <w:tc>
          <w:tcPr>
            <w:tcW w:type="dxa" w:w="2436"/>
            <w:vAlign w:val="center"/>
          </w:tcPr>
          <w:p>
            <w:r>
              <w:rPr>
                <w:sz w:val="16"/>
              </w:rPr>
              <w:t>Healthcare context and existing models</w:t>
            </w:r>
          </w:p>
        </w:tc>
        <w:tc>
          <w:tcPr>
            <w:tcW w:type="dxa" w:w="2436"/>
            <w:vAlign w:val="center"/>
          </w:tcPr>
          <w:p>
            <w:r>
              <w:rPr>
                <w:sz w:val="16"/>
              </w:rPr>
              <w:t>Background</w:t>
            </w:r>
          </w:p>
        </w:tc>
        <w:tc>
          <w:tcPr>
            <w:tcW w:type="dxa" w:w="2436"/>
            <w:vAlign w:val="center"/>
          </w:tcPr>
          <w:p>
            <w:r>
              <w:rPr>
                <w:sz w:val="16"/>
              </w:rPr>
              <w:t>Reported</w:t>
            </w:r>
          </w:p>
        </w:tc>
      </w:tr>
      <w:tr>
        <w:trPr>
          <w:cantSplit/>
        </w:trPr>
        <w:tc>
          <w:tcPr>
            <w:tcW w:type="dxa" w:w="2436"/>
            <w:vAlign w:val="center"/>
          </w:tcPr>
          <w:p>
            <w:r>
              <w:rPr>
                <w:sz w:val="16"/>
              </w:rPr>
              <w:t>3b</w:t>
            </w:r>
          </w:p>
        </w:tc>
        <w:tc>
          <w:tcPr>
            <w:tcW w:type="dxa" w:w="2436"/>
            <w:vAlign w:val="center"/>
          </w:tcPr>
          <w:p>
            <w:r>
              <w:rPr>
                <w:sz w:val="16"/>
              </w:rPr>
              <w:t>Target population intended purpose and users</w:t>
            </w:r>
          </w:p>
        </w:tc>
        <w:tc>
          <w:tcPr>
            <w:tcW w:type="dxa" w:w="2436"/>
            <w:vAlign w:val="center"/>
          </w:tcPr>
          <w:p>
            <w:r>
              <w:rPr>
                <w:sz w:val="16"/>
              </w:rPr>
              <w:t>Background; Methods - Study design</w:t>
            </w:r>
          </w:p>
        </w:tc>
        <w:tc>
          <w:tcPr>
            <w:tcW w:type="dxa" w:w="2436"/>
            <w:vAlign w:val="center"/>
          </w:tcPr>
          <w:p>
            <w:r>
              <w:rPr>
                <w:sz w:val="16"/>
              </w:rPr>
              <w:t>Reported</w:t>
            </w:r>
          </w:p>
        </w:tc>
      </w:tr>
      <w:tr>
        <w:trPr>
          <w:cantSplit/>
        </w:trPr>
        <w:tc>
          <w:tcPr>
            <w:tcW w:type="dxa" w:w="2436"/>
            <w:vAlign w:val="center"/>
          </w:tcPr>
          <w:p>
            <w:r>
              <w:rPr>
                <w:sz w:val="16"/>
              </w:rPr>
              <w:t>3c</w:t>
            </w:r>
          </w:p>
        </w:tc>
        <w:tc>
          <w:tcPr>
            <w:tcW w:type="dxa" w:w="2436"/>
            <w:vAlign w:val="center"/>
          </w:tcPr>
          <w:p>
            <w:r>
              <w:rPr>
                <w:sz w:val="16"/>
              </w:rPr>
              <w:t>Known health inequalities</w:t>
            </w:r>
          </w:p>
        </w:tc>
        <w:tc>
          <w:tcPr>
            <w:tcW w:type="dxa" w:w="2436"/>
            <w:vAlign w:val="center"/>
          </w:tcPr>
          <w:p>
            <w:r>
              <w:rPr>
                <w:sz w:val="16"/>
              </w:rPr>
              <w:t>Discussion - Limitations</w:t>
            </w:r>
          </w:p>
        </w:tc>
        <w:tc>
          <w:tcPr>
            <w:tcW w:type="dxa" w:w="2436"/>
            <w:vAlign w:val="center"/>
          </w:tcPr>
          <w:p>
            <w:r>
              <w:rPr>
                <w:sz w:val="16"/>
              </w:rPr>
              <w:t>Reported as not evaluated</w:t>
            </w:r>
          </w:p>
        </w:tc>
      </w:tr>
      <w:tr>
        <w:trPr>
          <w:cantSplit/>
        </w:trPr>
        <w:tc>
          <w:tcPr>
            <w:tcW w:type="dxa" w:w="2436"/>
            <w:vAlign w:val="center"/>
          </w:tcPr>
          <w:p>
            <w:r>
              <w:rPr>
                <w:sz w:val="16"/>
              </w:rPr>
              <w:t>4</w:t>
            </w:r>
          </w:p>
        </w:tc>
        <w:tc>
          <w:tcPr>
            <w:tcW w:type="dxa" w:w="2436"/>
            <w:vAlign w:val="center"/>
          </w:tcPr>
          <w:p>
            <w:r>
              <w:rPr>
                <w:sz w:val="16"/>
              </w:rPr>
              <w:t>Objectives</w:t>
            </w:r>
          </w:p>
        </w:tc>
        <w:tc>
          <w:tcPr>
            <w:tcW w:type="dxa" w:w="2436"/>
            <w:vAlign w:val="center"/>
          </w:tcPr>
          <w:p>
            <w:r>
              <w:rPr>
                <w:sz w:val="16"/>
              </w:rPr>
              <w:t>Background - final paragraph</w:t>
            </w:r>
          </w:p>
        </w:tc>
        <w:tc>
          <w:tcPr>
            <w:tcW w:type="dxa" w:w="2436"/>
            <w:vAlign w:val="center"/>
          </w:tcPr>
          <w:p>
            <w:r>
              <w:rPr>
                <w:sz w:val="16"/>
              </w:rPr>
              <w:t>Reported</w:t>
            </w:r>
          </w:p>
        </w:tc>
      </w:tr>
      <w:tr>
        <w:trPr>
          <w:cantSplit/>
        </w:trPr>
        <w:tc>
          <w:tcPr>
            <w:tcW w:type="dxa" w:w="2436"/>
            <w:vAlign w:val="center"/>
          </w:tcPr>
          <w:p>
            <w:r>
              <w:rPr>
                <w:sz w:val="16"/>
              </w:rPr>
              <w:t>5a</w:t>
            </w:r>
          </w:p>
        </w:tc>
        <w:tc>
          <w:tcPr>
            <w:tcW w:type="dxa" w:w="2436"/>
            <w:vAlign w:val="center"/>
          </w:tcPr>
          <w:p>
            <w:r>
              <w:rPr>
                <w:sz w:val="16"/>
              </w:rPr>
              <w:t>Data sources rationale and representativeness</w:t>
            </w:r>
          </w:p>
        </w:tc>
        <w:tc>
          <w:tcPr>
            <w:tcW w:type="dxa" w:w="2436"/>
            <w:vAlign w:val="center"/>
          </w:tcPr>
          <w:p>
            <w:r>
              <w:rPr>
                <w:sz w:val="16"/>
              </w:rPr>
              <w:t>Methods - Study design and Predictors and outcomes; provenance/SOURCES.md</w:t>
            </w:r>
          </w:p>
        </w:tc>
        <w:tc>
          <w:tcPr>
            <w:tcW w:type="dxa" w:w="2436"/>
            <w:vAlign w:val="center"/>
          </w:tcPr>
          <w:p>
            <w:r>
              <w:rPr>
                <w:sz w:val="16"/>
              </w:rPr>
              <w:t>Reported</w:t>
            </w:r>
          </w:p>
        </w:tc>
      </w:tr>
      <w:tr>
        <w:trPr>
          <w:cantSplit/>
        </w:trPr>
        <w:tc>
          <w:tcPr>
            <w:tcW w:type="dxa" w:w="2436"/>
            <w:vAlign w:val="center"/>
          </w:tcPr>
          <w:p>
            <w:r>
              <w:rPr>
                <w:sz w:val="16"/>
              </w:rPr>
              <w:t>5b</w:t>
            </w:r>
          </w:p>
        </w:tc>
        <w:tc>
          <w:tcPr>
            <w:tcW w:type="dxa" w:w="2436"/>
            <w:vAlign w:val="center"/>
          </w:tcPr>
          <w:p>
            <w:r>
              <w:rPr>
                <w:sz w:val="16"/>
              </w:rPr>
              <w:t>Participant-data dates</w:t>
            </w:r>
          </w:p>
        </w:tc>
        <w:tc>
          <w:tcPr>
            <w:tcW w:type="dxa" w:w="2436"/>
            <w:vAlign w:val="center"/>
          </w:tcPr>
          <w:p>
            <w:r>
              <w:rPr>
                <w:sz w:val="16"/>
              </w:rPr>
              <w:t>Methods - Study design; provenance/SOURCES.md</w:t>
            </w:r>
          </w:p>
        </w:tc>
        <w:tc>
          <w:tcPr>
            <w:tcW w:type="dxa" w:w="2436"/>
            <w:vAlign w:val="center"/>
          </w:tcPr>
          <w:p>
            <w:r>
              <w:rPr>
                <w:sz w:val="16"/>
              </w:rPr>
              <w:t>Historical TCGA cohort and analysis access documented; accrual dates not available in analytic files</w:t>
            </w:r>
          </w:p>
        </w:tc>
      </w:tr>
      <w:tr>
        <w:trPr>
          <w:cantSplit/>
        </w:trPr>
        <w:tc>
          <w:tcPr>
            <w:tcW w:type="dxa" w:w="2436"/>
            <w:vAlign w:val="center"/>
          </w:tcPr>
          <w:p>
            <w:r>
              <w:rPr>
                <w:sz w:val="16"/>
              </w:rPr>
              <w:t>6a</w:t>
            </w:r>
          </w:p>
        </w:tc>
        <w:tc>
          <w:tcPr>
            <w:tcW w:type="dxa" w:w="2436"/>
            <w:vAlign w:val="center"/>
          </w:tcPr>
          <w:p>
            <w:r>
              <w:rPr>
                <w:sz w:val="16"/>
              </w:rPr>
              <w:t>Study setting centres and locations</w:t>
            </w:r>
          </w:p>
        </w:tc>
        <w:tc>
          <w:tcPr>
            <w:tcW w:type="dxa" w:w="2436"/>
            <w:vAlign w:val="center"/>
          </w:tcPr>
          <w:p>
            <w:r>
              <w:rPr>
                <w:sz w:val="16"/>
              </w:rPr>
              <w:t>Methods - Study design; site-grouped sensitivity</w:t>
            </w:r>
          </w:p>
        </w:tc>
        <w:tc>
          <w:tcPr>
            <w:tcW w:type="dxa" w:w="2436"/>
            <w:vAlign w:val="center"/>
          </w:tcPr>
          <w:p>
            <w:r>
              <w:rPr>
                <w:sz w:val="16"/>
              </w:rPr>
              <w:t>Reported as multicentre TCGA with tissue-source-site audit</w:t>
            </w:r>
          </w:p>
        </w:tc>
      </w:tr>
      <w:tr>
        <w:trPr>
          <w:cantSplit/>
        </w:trPr>
        <w:tc>
          <w:tcPr>
            <w:tcW w:type="dxa" w:w="2436"/>
            <w:vAlign w:val="center"/>
          </w:tcPr>
          <w:p>
            <w:r>
              <w:rPr>
                <w:sz w:val="16"/>
              </w:rPr>
              <w:t>6b</w:t>
            </w:r>
          </w:p>
        </w:tc>
        <w:tc>
          <w:tcPr>
            <w:tcW w:type="dxa" w:w="2436"/>
            <w:vAlign w:val="center"/>
          </w:tcPr>
          <w:p>
            <w:r>
              <w:rPr>
                <w:sz w:val="16"/>
              </w:rPr>
              <w:t>Participant eligibility</w:t>
            </w:r>
          </w:p>
        </w:tc>
        <w:tc>
          <w:tcPr>
            <w:tcW w:type="dxa" w:w="2436"/>
            <w:vAlign w:val="center"/>
          </w:tcPr>
          <w:p>
            <w:r>
              <w:rPr>
                <w:sz w:val="16"/>
              </w:rPr>
              <w:t>Methods - Study design</w:t>
            </w:r>
          </w:p>
        </w:tc>
        <w:tc>
          <w:tcPr>
            <w:tcW w:type="dxa" w:w="2436"/>
            <w:vAlign w:val="center"/>
          </w:tcPr>
          <w:p>
            <w:r>
              <w:rPr>
                <w:sz w:val="16"/>
              </w:rPr>
              <w:t>Reported</w:t>
            </w:r>
          </w:p>
        </w:tc>
      </w:tr>
      <w:tr>
        <w:trPr>
          <w:cantSplit/>
        </w:trPr>
        <w:tc>
          <w:tcPr>
            <w:tcW w:type="dxa" w:w="2436"/>
            <w:vAlign w:val="center"/>
          </w:tcPr>
          <w:p>
            <w:r>
              <w:rPr>
                <w:sz w:val="16"/>
              </w:rPr>
              <w:t>6c</w:t>
            </w:r>
          </w:p>
        </w:tc>
        <w:tc>
          <w:tcPr>
            <w:tcW w:type="dxa" w:w="2436"/>
            <w:vAlign w:val="center"/>
          </w:tcPr>
          <w:p>
            <w:r>
              <w:rPr>
                <w:sz w:val="16"/>
              </w:rPr>
              <w:t>Treatments</w:t>
            </w:r>
          </w:p>
        </w:tc>
        <w:tc>
          <w:tcPr>
            <w:tcW w:type="dxa" w:w="2436"/>
            <w:vAlign w:val="center"/>
          </w:tcPr>
          <w:p>
            <w:r>
              <w:rPr>
                <w:sz w:val="16"/>
              </w:rPr>
              <w:t>Methods - Study design</w:t>
            </w:r>
          </w:p>
        </w:tc>
        <w:tc>
          <w:tcPr>
            <w:tcW w:type="dxa" w:w="2436"/>
            <w:vAlign w:val="center"/>
          </w:tcPr>
          <w:p>
            <w:r>
              <w:rPr>
                <w:sz w:val="16"/>
              </w:rPr>
              <w:t>Not applicable; no treatment or prognosis endpoint</w:t>
            </w:r>
          </w:p>
        </w:tc>
      </w:tr>
      <w:tr>
        <w:trPr>
          <w:cantSplit/>
        </w:trPr>
        <w:tc>
          <w:tcPr>
            <w:tcW w:type="dxa" w:w="2436"/>
            <w:vAlign w:val="center"/>
          </w:tcPr>
          <w:p>
            <w:r>
              <w:rPr>
                <w:sz w:val="16"/>
              </w:rPr>
              <w:t>7</w:t>
            </w:r>
          </w:p>
        </w:tc>
        <w:tc>
          <w:tcPr>
            <w:tcW w:type="dxa" w:w="2436"/>
            <w:vAlign w:val="center"/>
          </w:tcPr>
          <w:p>
            <w:r>
              <w:rPr>
                <w:sz w:val="16"/>
              </w:rPr>
              <w:t>Data preparation and quality checking</w:t>
            </w:r>
          </w:p>
        </w:tc>
        <w:tc>
          <w:tcPr>
            <w:tcW w:type="dxa" w:w="2436"/>
            <w:vAlign w:val="center"/>
          </w:tcPr>
          <w:p>
            <w:r>
              <w:rPr>
                <w:sz w:val="16"/>
              </w:rPr>
              <w:t>Methods - Study design and Predictors and outcomes; Supplementary Tables S2-S4</w:t>
            </w:r>
          </w:p>
        </w:tc>
        <w:tc>
          <w:tcPr>
            <w:tcW w:type="dxa" w:w="2436"/>
            <w:vAlign w:val="center"/>
          </w:tcPr>
          <w:p>
            <w:r>
              <w:rPr>
                <w:sz w:val="16"/>
              </w:rPr>
              <w:t>Reported</w:t>
            </w:r>
          </w:p>
        </w:tc>
      </w:tr>
      <w:tr>
        <w:trPr>
          <w:cantSplit/>
        </w:trPr>
        <w:tc>
          <w:tcPr>
            <w:tcW w:type="dxa" w:w="2436"/>
            <w:vAlign w:val="center"/>
          </w:tcPr>
          <w:p>
            <w:r>
              <w:rPr>
                <w:sz w:val="16"/>
              </w:rPr>
              <w:t>8a</w:t>
            </w:r>
          </w:p>
        </w:tc>
        <w:tc>
          <w:tcPr>
            <w:tcW w:type="dxa" w:w="2436"/>
            <w:vAlign w:val="center"/>
          </w:tcPr>
          <w:p>
            <w:r>
              <w:rPr>
                <w:sz w:val="16"/>
              </w:rPr>
              <w:t>Outcome definitions and assessment</w:t>
            </w:r>
          </w:p>
        </w:tc>
        <w:tc>
          <w:tcPr>
            <w:tcW w:type="dxa" w:w="2436"/>
            <w:vAlign w:val="center"/>
          </w:tcPr>
          <w:p>
            <w:r>
              <w:rPr>
                <w:sz w:val="16"/>
              </w:rPr>
              <w:t>Methods - Predictors and outcomes; target catalogues</w:t>
            </w:r>
          </w:p>
        </w:tc>
        <w:tc>
          <w:tcPr>
            <w:tcW w:type="dxa" w:w="2436"/>
            <w:vAlign w:val="center"/>
          </w:tcPr>
          <w:p>
            <w:r>
              <w:rPr>
                <w:sz w:val="16"/>
              </w:rPr>
              <w:t>Reported</w:t>
            </w:r>
          </w:p>
        </w:tc>
      </w:tr>
      <w:tr>
        <w:trPr>
          <w:cantSplit/>
        </w:trPr>
        <w:tc>
          <w:tcPr>
            <w:tcW w:type="dxa" w:w="2436"/>
            <w:vAlign w:val="center"/>
          </w:tcPr>
          <w:p>
            <w:r>
              <w:rPr>
                <w:sz w:val="16"/>
              </w:rPr>
              <w:t>8b</w:t>
            </w:r>
          </w:p>
        </w:tc>
        <w:tc>
          <w:tcPr>
            <w:tcW w:type="dxa" w:w="2436"/>
            <w:vAlign w:val="center"/>
          </w:tcPr>
          <w:p>
            <w:r>
              <w:rPr>
                <w:sz w:val="16"/>
              </w:rPr>
              <w:t>Subjective outcome assessors</w:t>
            </w:r>
          </w:p>
        </w:tc>
        <w:tc>
          <w:tcPr>
            <w:tcW w:type="dxa" w:w="2436"/>
            <w:vAlign w:val="center"/>
          </w:tcPr>
          <w:p>
            <w:r>
              <w:rPr>
                <w:sz w:val="16"/>
              </w:rPr>
              <w:t>Methods - Predictors and outcomes</w:t>
            </w:r>
          </w:p>
        </w:tc>
        <w:tc>
          <w:tcPr>
            <w:tcW w:type="dxa" w:w="2436"/>
            <w:vAlign w:val="center"/>
          </w:tcPr>
          <w:p>
            <w:r>
              <w:rPr>
                <w:sz w:val="16"/>
              </w:rPr>
              <w:t>Not applicable; curated molecular and computational outcomes</w:t>
            </w:r>
          </w:p>
        </w:tc>
      </w:tr>
      <w:tr>
        <w:trPr>
          <w:cantSplit/>
        </w:trPr>
        <w:tc>
          <w:tcPr>
            <w:tcW w:type="dxa" w:w="2436"/>
            <w:vAlign w:val="center"/>
          </w:tcPr>
          <w:p>
            <w:r>
              <w:rPr>
                <w:sz w:val="16"/>
              </w:rPr>
              <w:t>8c</w:t>
            </w:r>
          </w:p>
        </w:tc>
        <w:tc>
          <w:tcPr>
            <w:tcW w:type="dxa" w:w="2436"/>
            <w:vAlign w:val="center"/>
          </w:tcPr>
          <w:p>
            <w:r>
              <w:rPr>
                <w:sz w:val="16"/>
              </w:rPr>
              <w:t>Blinding of outcome assessment</w:t>
            </w:r>
          </w:p>
        </w:tc>
        <w:tc>
          <w:tcPr>
            <w:tcW w:type="dxa" w:w="2436"/>
            <w:vAlign w:val="center"/>
          </w:tcPr>
          <w:p>
            <w:r>
              <w:rPr>
                <w:sz w:val="16"/>
              </w:rPr>
              <w:t>Methods - Study design</w:t>
            </w:r>
          </w:p>
        </w:tc>
        <w:tc>
          <w:tcPr>
            <w:tcW w:type="dxa" w:w="2436"/>
            <w:vAlign w:val="center"/>
          </w:tcPr>
          <w:p>
            <w:r>
              <w:rPr>
                <w:sz w:val="16"/>
              </w:rPr>
              <w:t>Outcomes constructed independently before predictor joining</w:t>
            </w:r>
          </w:p>
        </w:tc>
      </w:tr>
      <w:tr>
        <w:trPr>
          <w:cantSplit/>
        </w:trPr>
        <w:tc>
          <w:tcPr>
            <w:tcW w:type="dxa" w:w="2436"/>
            <w:vAlign w:val="center"/>
          </w:tcPr>
          <w:p>
            <w:r>
              <w:rPr>
                <w:sz w:val="16"/>
              </w:rPr>
              <w:t>9a</w:t>
            </w:r>
          </w:p>
        </w:tc>
        <w:tc>
          <w:tcPr>
            <w:tcW w:type="dxa" w:w="2436"/>
            <w:vAlign w:val="center"/>
          </w:tcPr>
          <w:p>
            <w:r>
              <w:rPr>
                <w:sz w:val="16"/>
              </w:rPr>
              <w:t>Choice of initial predictors</w:t>
            </w:r>
          </w:p>
        </w:tc>
        <w:tc>
          <w:tcPr>
            <w:tcW w:type="dxa" w:w="2436"/>
            <w:vAlign w:val="center"/>
          </w:tcPr>
          <w:p>
            <w:r>
              <w:rPr>
                <w:sz w:val="16"/>
              </w:rPr>
              <w:t>Methods - Predictors and outcomes</w:t>
            </w:r>
          </w:p>
        </w:tc>
        <w:tc>
          <w:tcPr>
            <w:tcW w:type="dxa" w:w="2436"/>
            <w:vAlign w:val="center"/>
          </w:tcPr>
          <w:p>
            <w:r>
              <w:rPr>
                <w:sz w:val="16"/>
              </w:rPr>
              <w:t>All 768 fixed pretrained TITAN dimensions prespecified</w:t>
            </w:r>
          </w:p>
        </w:tc>
      </w:tr>
      <w:tr>
        <w:trPr>
          <w:cantSplit/>
        </w:trPr>
        <w:tc>
          <w:tcPr>
            <w:tcW w:type="dxa" w:w="2436"/>
            <w:vAlign w:val="center"/>
          </w:tcPr>
          <w:p>
            <w:r>
              <w:rPr>
                <w:sz w:val="16"/>
              </w:rPr>
              <w:t>9b</w:t>
            </w:r>
          </w:p>
        </w:tc>
        <w:tc>
          <w:tcPr>
            <w:tcW w:type="dxa" w:w="2436"/>
            <w:vAlign w:val="center"/>
          </w:tcPr>
          <w:p>
            <w:r>
              <w:rPr>
                <w:sz w:val="16"/>
              </w:rPr>
              <w:t>Predictor definitions and measurement</w:t>
            </w:r>
          </w:p>
        </w:tc>
        <w:tc>
          <w:tcPr>
            <w:tcW w:type="dxa" w:w="2436"/>
            <w:vAlign w:val="center"/>
          </w:tcPr>
          <w:p>
            <w:r>
              <w:rPr>
                <w:sz w:val="16"/>
              </w:rPr>
              <w:t>Methods - Predictors and outcomes; provenance/SOURCES.md</w:t>
            </w:r>
          </w:p>
        </w:tc>
        <w:tc>
          <w:tcPr>
            <w:tcW w:type="dxa" w:w="2436"/>
            <w:vAlign w:val="center"/>
          </w:tcPr>
          <w:p>
            <w:r>
              <w:rPr>
                <w:sz w:val="16"/>
              </w:rPr>
              <w:t>Reported</w:t>
            </w:r>
          </w:p>
        </w:tc>
      </w:tr>
      <w:tr>
        <w:trPr>
          <w:cantSplit/>
        </w:trPr>
        <w:tc>
          <w:tcPr>
            <w:tcW w:type="dxa" w:w="2436"/>
            <w:vAlign w:val="center"/>
          </w:tcPr>
          <w:p>
            <w:r>
              <w:rPr>
                <w:sz w:val="16"/>
              </w:rPr>
              <w:t>9c</w:t>
            </w:r>
          </w:p>
        </w:tc>
        <w:tc>
          <w:tcPr>
            <w:tcW w:type="dxa" w:w="2436"/>
            <w:vAlign w:val="center"/>
          </w:tcPr>
          <w:p>
            <w:r>
              <w:rPr>
                <w:sz w:val="16"/>
              </w:rPr>
              <w:t>Subjective predictor assessors</w:t>
            </w:r>
          </w:p>
        </w:tc>
        <w:tc>
          <w:tcPr>
            <w:tcW w:type="dxa" w:w="2436"/>
            <w:vAlign w:val="center"/>
          </w:tcPr>
          <w:p>
            <w:r>
              <w:rPr>
                <w:sz w:val="16"/>
              </w:rPr>
              <w:t>Methods - Predictors and outcomes</w:t>
            </w:r>
          </w:p>
        </w:tc>
        <w:tc>
          <w:tcPr>
            <w:tcW w:type="dxa" w:w="2436"/>
            <w:vAlign w:val="center"/>
          </w:tcPr>
          <w:p>
            <w:r>
              <w:rPr>
                <w:sz w:val="16"/>
              </w:rPr>
              <w:t>Not applicable; fixed numeric embeddings</w:t>
            </w:r>
          </w:p>
        </w:tc>
      </w:tr>
      <w:tr>
        <w:trPr>
          <w:cantSplit/>
        </w:trPr>
        <w:tc>
          <w:tcPr>
            <w:tcW w:type="dxa" w:w="2436"/>
            <w:vAlign w:val="center"/>
          </w:tcPr>
          <w:p>
            <w:r>
              <w:rPr>
                <w:sz w:val="16"/>
              </w:rPr>
              <w:t>10</w:t>
            </w:r>
          </w:p>
        </w:tc>
        <w:tc>
          <w:tcPr>
            <w:tcW w:type="dxa" w:w="2436"/>
            <w:vAlign w:val="center"/>
          </w:tcPr>
          <w:p>
            <w:r>
              <w:rPr>
                <w:sz w:val="16"/>
              </w:rPr>
              <w:t>Sample size</w:t>
            </w:r>
          </w:p>
        </w:tc>
        <w:tc>
          <w:tcPr>
            <w:tcW w:type="dxa" w:w="2436"/>
            <w:vAlign w:val="center"/>
          </w:tcPr>
          <w:p>
            <w:r>
              <w:rPr>
                <w:sz w:val="16"/>
              </w:rPr>
              <w:t>Methods - eligibility paragraph</w:t>
            </w:r>
          </w:p>
        </w:tc>
        <w:tc>
          <w:tcPr>
            <w:tcW w:type="dxa" w:w="2436"/>
            <w:vAlign w:val="center"/>
          </w:tcPr>
          <w:p>
            <w:r>
              <w:rPr>
                <w:sz w:val="16"/>
              </w:rPr>
              <w:t>All available eligible data used; prespecified minimum denominators reported; no formal power calculation</w:t>
            </w:r>
          </w:p>
        </w:tc>
      </w:tr>
      <w:tr>
        <w:trPr>
          <w:cantSplit/>
        </w:trPr>
        <w:tc>
          <w:tcPr>
            <w:tcW w:type="dxa" w:w="2436"/>
            <w:vAlign w:val="center"/>
          </w:tcPr>
          <w:p>
            <w:r>
              <w:rPr>
                <w:sz w:val="16"/>
              </w:rPr>
              <w:t>11</w:t>
            </w:r>
          </w:p>
        </w:tc>
        <w:tc>
          <w:tcPr>
            <w:tcW w:type="dxa" w:w="2436"/>
            <w:vAlign w:val="center"/>
          </w:tcPr>
          <w:p>
            <w:r>
              <w:rPr>
                <w:sz w:val="16"/>
              </w:rPr>
              <w:t>Missing data</w:t>
            </w:r>
          </w:p>
        </w:tc>
        <w:tc>
          <w:tcPr>
            <w:tcW w:type="dxa" w:w="2436"/>
            <w:vAlign w:val="center"/>
          </w:tcPr>
          <w:p>
            <w:r>
              <w:rPr>
                <w:sz w:val="16"/>
              </w:rPr>
              <w:t>Methods - Predictors and outcomes; Supplementary Tables S3-S4</w:t>
            </w:r>
          </w:p>
        </w:tc>
        <w:tc>
          <w:tcPr>
            <w:tcW w:type="dxa" w:w="2436"/>
            <w:vAlign w:val="center"/>
          </w:tcPr>
          <w:p>
            <w:r>
              <w:rPr>
                <w:sz w:val="16"/>
              </w:rPr>
              <w:t>Reported</w:t>
            </w:r>
          </w:p>
        </w:tc>
      </w:tr>
      <w:tr>
        <w:trPr>
          <w:cantSplit/>
        </w:trPr>
        <w:tc>
          <w:tcPr>
            <w:tcW w:type="dxa" w:w="2436"/>
            <w:vAlign w:val="center"/>
          </w:tcPr>
          <w:p>
            <w:r>
              <w:rPr>
                <w:sz w:val="16"/>
              </w:rPr>
              <w:t>12a</w:t>
            </w:r>
          </w:p>
        </w:tc>
        <w:tc>
          <w:tcPr>
            <w:tcW w:type="dxa" w:w="2436"/>
            <w:vAlign w:val="center"/>
          </w:tcPr>
          <w:p>
            <w:r>
              <w:rPr>
                <w:sz w:val="16"/>
              </w:rPr>
              <w:t>Data partitioning and leakage prevention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12b</w:t>
            </w:r>
          </w:p>
        </w:tc>
        <w:tc>
          <w:tcPr>
            <w:tcW w:type="dxa" w:w="2436"/>
            <w:vAlign w:val="center"/>
          </w:tcPr>
          <w:p>
            <w:r>
              <w:rPr>
                <w:sz w:val="16"/>
              </w:rPr>
              <w:t>Predictor handling and standardisation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12c</w:t>
            </w:r>
          </w:p>
        </w:tc>
        <w:tc>
          <w:tcPr>
            <w:tcW w:type="dxa" w:w="2436"/>
            <w:vAlign w:val="center"/>
          </w:tcPr>
          <w:p>
            <w:r>
              <w:rPr>
                <w:sz w:val="16"/>
              </w:rPr>
              <w:t>Model building tuning and internal evaluation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12d</w:t>
            </w:r>
          </w:p>
        </w:tc>
        <w:tc>
          <w:tcPr>
            <w:tcW w:type="dxa" w:w="2436"/>
            <w:vAlign w:val="center"/>
          </w:tcPr>
          <w:p>
            <w:r>
              <w:rPr>
                <w:sz w:val="16"/>
              </w:rPr>
              <w:t>Clustering and heterogeneity</w:t>
            </w:r>
          </w:p>
        </w:tc>
        <w:tc>
          <w:tcPr>
            <w:tcW w:type="dxa" w:w="2436"/>
            <w:vAlign w:val="center"/>
          </w:tcPr>
          <w:p>
            <w:r>
              <w:rPr>
                <w:sz w:val="16"/>
              </w:rPr>
              <w:t>Methods - Robustness; Results - Site and multiple-slide sensitivity</w:t>
            </w:r>
          </w:p>
        </w:tc>
        <w:tc>
          <w:tcPr>
            <w:tcW w:type="dxa" w:w="2436"/>
            <w:vAlign w:val="center"/>
          </w:tcPr>
          <w:p>
            <w:r>
              <w:rPr>
                <w:sz w:val="16"/>
              </w:rPr>
              <w:t>Reported through tissue-source-site grouped evaluation</w:t>
            </w:r>
          </w:p>
        </w:tc>
      </w:tr>
      <w:tr>
        <w:trPr>
          <w:cantSplit/>
        </w:trPr>
        <w:tc>
          <w:tcPr>
            <w:tcW w:type="dxa" w:w="2436"/>
            <w:vAlign w:val="center"/>
          </w:tcPr>
          <w:p>
            <w:r>
              <w:rPr>
                <w:sz w:val="16"/>
              </w:rPr>
              <w:t>12e</w:t>
            </w:r>
          </w:p>
        </w:tc>
        <w:tc>
          <w:tcPr>
            <w:tcW w:type="dxa" w:w="2436"/>
            <w:vAlign w:val="center"/>
          </w:tcPr>
          <w:p>
            <w:r>
              <w:rPr>
                <w:sz w:val="16"/>
              </w:rPr>
              <w:t>Performance measures and plots</w:t>
            </w:r>
          </w:p>
        </w:tc>
        <w:tc>
          <w:tcPr>
            <w:tcW w:type="dxa" w:w="2436"/>
            <w:vAlign w:val="center"/>
          </w:tcPr>
          <w:p>
            <w:r>
              <w:rPr>
                <w:sz w:val="16"/>
              </w:rPr>
              <w:t>Methods - Robustness; Table 2; Figure 4; Supplementary Table S5</w:t>
            </w:r>
          </w:p>
        </w:tc>
        <w:tc>
          <w:tcPr>
            <w:tcW w:type="dxa" w:w="2436"/>
            <w:vAlign w:val="center"/>
          </w:tcPr>
          <w:p>
            <w:r>
              <w:rPr>
                <w:sz w:val="16"/>
              </w:rPr>
              <w:t>Reported; calibration not applicable because no probability output</w:t>
            </w:r>
          </w:p>
        </w:tc>
      </w:tr>
      <w:tr>
        <w:trPr>
          <w:cantSplit/>
        </w:trPr>
        <w:tc>
          <w:tcPr>
            <w:tcW w:type="dxa" w:w="2436"/>
            <w:vAlign w:val="center"/>
          </w:tcPr>
          <w:p>
            <w:r>
              <w:rPr>
                <w:sz w:val="16"/>
              </w:rPr>
              <w:t>12f</w:t>
            </w:r>
          </w:p>
        </w:tc>
        <w:tc>
          <w:tcPr>
            <w:tcW w:type="dxa" w:w="2436"/>
            <w:vAlign w:val="center"/>
          </w:tcPr>
          <w:p>
            <w:r>
              <w:rPr>
                <w:sz w:val="16"/>
              </w:rPr>
              <w:t>Model updating</w:t>
            </w:r>
          </w:p>
        </w:tc>
        <w:tc>
          <w:tcPr>
            <w:tcW w:type="dxa" w:w="2436"/>
            <w:vAlign w:val="center"/>
          </w:tcPr>
          <w:p>
            <w:r>
              <w:rPr>
                <w:sz w:val="16"/>
              </w:rPr>
              <w:t>Methods - Software transparency and validation status</w:t>
            </w:r>
          </w:p>
        </w:tc>
        <w:tc>
          <w:tcPr>
            <w:tcW w:type="dxa" w:w="2436"/>
            <w:vAlign w:val="center"/>
          </w:tcPr>
          <w:p>
            <w:r>
              <w:rPr>
                <w:sz w:val="16"/>
              </w:rPr>
              <w:t>Not applicable; no external model updating</w:t>
            </w:r>
          </w:p>
        </w:tc>
      </w:tr>
      <w:tr>
        <w:trPr>
          <w:cantSplit/>
        </w:trPr>
        <w:tc>
          <w:tcPr>
            <w:tcW w:type="dxa" w:w="2436"/>
            <w:vAlign w:val="center"/>
          </w:tcPr>
          <w:p>
            <w:r>
              <w:rPr>
                <w:sz w:val="16"/>
              </w:rPr>
              <w:t>12g</w:t>
            </w:r>
          </w:p>
        </w:tc>
        <w:tc>
          <w:tcPr>
            <w:tcW w:type="dxa" w:w="2436"/>
            <w:vAlign w:val="center"/>
          </w:tcPr>
          <w:p>
            <w:r>
              <w:rPr>
                <w:sz w:val="16"/>
              </w:rPr>
              <w:t>Calculation of evaluated model predictions</w:t>
            </w:r>
          </w:p>
        </w:tc>
        <w:tc>
          <w:tcPr>
            <w:tcW w:type="dxa" w:w="2436"/>
            <w:vAlign w:val="center"/>
          </w:tcPr>
          <w:p>
            <w:r>
              <w:rPr>
                <w:sz w:val="16"/>
              </w:rPr>
              <w:t>Repository inference example and model registry</w:t>
            </w:r>
          </w:p>
        </w:tc>
        <w:tc>
          <w:tcPr>
            <w:tcW w:type="dxa" w:w="2436"/>
            <w:vAlign w:val="center"/>
          </w:tcPr>
          <w:p>
            <w:r>
              <w:rPr>
                <w:sz w:val="16"/>
              </w:rPr>
              <w:t>Reported</w:t>
            </w:r>
          </w:p>
        </w:tc>
      </w:tr>
      <w:tr>
        <w:trPr>
          <w:cantSplit/>
        </w:trPr>
        <w:tc>
          <w:tcPr>
            <w:tcW w:type="dxa" w:w="2436"/>
            <w:vAlign w:val="center"/>
          </w:tcPr>
          <w:p>
            <w:r>
              <w:rPr>
                <w:sz w:val="16"/>
              </w:rPr>
              <w:t>13</w:t>
            </w:r>
          </w:p>
        </w:tc>
        <w:tc>
          <w:tcPr>
            <w:tcW w:type="dxa" w:w="2436"/>
            <w:vAlign w:val="center"/>
          </w:tcPr>
          <w:p>
            <w:r>
              <w:rPr>
                <w:sz w:val="16"/>
              </w:rPr>
              <w:t>Class imbalance</w:t>
            </w:r>
          </w:p>
        </w:tc>
        <w:tc>
          <w:tcPr>
            <w:tcW w:type="dxa" w:w="2436"/>
            <w:vAlign w:val="center"/>
          </w:tcPr>
          <w:p>
            <w:r>
              <w:rPr>
                <w:sz w:val="16"/>
              </w:rPr>
              <w:t>Methods - PLS1 regression and PLS-LDA classification</w:t>
            </w:r>
          </w:p>
        </w:tc>
        <w:tc>
          <w:tcPr>
            <w:tcW w:type="dxa" w:w="2436"/>
            <w:vAlign w:val="center"/>
          </w:tcPr>
          <w:p>
            <w:r>
              <w:rPr>
                <w:sz w:val="16"/>
              </w:rPr>
              <w:t>No resampling used; balanced accuracy and observed LDA priors reported</w:t>
            </w:r>
          </w:p>
        </w:tc>
      </w:tr>
      <w:tr>
        <w:trPr>
          <w:cantSplit/>
        </w:trPr>
        <w:tc>
          <w:tcPr>
            <w:tcW w:type="dxa" w:w="2436"/>
            <w:vAlign w:val="center"/>
          </w:tcPr>
          <w:p>
            <w:r>
              <w:rPr>
                <w:sz w:val="16"/>
              </w:rPr>
              <w:t>14</w:t>
            </w:r>
          </w:p>
        </w:tc>
        <w:tc>
          <w:tcPr>
            <w:tcW w:type="dxa" w:w="2436"/>
            <w:vAlign w:val="center"/>
          </w:tcPr>
          <w:p>
            <w:r>
              <w:rPr>
                <w:sz w:val="16"/>
              </w:rPr>
              <w:t>Fairness</w:t>
            </w:r>
          </w:p>
        </w:tc>
        <w:tc>
          <w:tcPr>
            <w:tcW w:type="dxa" w:w="2436"/>
            <w:vAlign w:val="center"/>
          </w:tcPr>
          <w:p>
            <w:r>
              <w:rPr>
                <w:sz w:val="16"/>
              </w:rPr>
              <w:t>Discussion - Limitations</w:t>
            </w:r>
          </w:p>
        </w:tc>
        <w:tc>
          <w:tcPr>
            <w:tcW w:type="dxa" w:w="2436"/>
            <w:vAlign w:val="center"/>
          </w:tcPr>
          <w:p>
            <w:r>
              <w:rPr>
                <w:sz w:val="16"/>
              </w:rPr>
              <w:t>No fairness intervention or subgroup evaluation; explicitly limited</w:t>
            </w:r>
          </w:p>
        </w:tc>
      </w:tr>
      <w:tr>
        <w:trPr>
          <w:cantSplit/>
        </w:trPr>
        <w:tc>
          <w:tcPr>
            <w:tcW w:type="dxa" w:w="2436"/>
            <w:vAlign w:val="center"/>
          </w:tcPr>
          <w:p>
            <w:r>
              <w:rPr>
                <w:sz w:val="16"/>
              </w:rPr>
              <w:t>15</w:t>
            </w:r>
          </w:p>
        </w:tc>
        <w:tc>
          <w:tcPr>
            <w:tcW w:type="dxa" w:w="2436"/>
            <w:vAlign w:val="center"/>
          </w:tcPr>
          <w:p>
            <w:r>
              <w:rPr>
                <w:sz w:val="16"/>
              </w:rPr>
              <w:t>Model output classification and thresholds</w:t>
            </w:r>
          </w:p>
        </w:tc>
        <w:tc>
          <w:tcPr>
            <w:tcW w:type="dxa" w:w="2436"/>
            <w:vAlign w:val="center"/>
          </w:tcPr>
          <w:p>
            <w:r>
              <w:rPr>
                <w:sz w:val="16"/>
              </w:rPr>
              <w:t>Methods - PLS1 regression and PLS-LDA classification; models/README.md</w:t>
            </w:r>
          </w:p>
        </w:tc>
        <w:tc>
          <w:tcPr>
            <w:tcW w:type="dxa" w:w="2436"/>
            <w:vAlign w:val="center"/>
          </w:tcPr>
          <w:p>
            <w:r>
              <w:rPr>
                <w:sz w:val="16"/>
              </w:rPr>
              <w:t>Reported; LDA class and uncalibrated score</w:t>
            </w:r>
          </w:p>
        </w:tc>
      </w:tr>
      <w:tr>
        <w:trPr>
          <w:cantSplit/>
        </w:trPr>
        <w:tc>
          <w:tcPr>
            <w:tcW w:type="dxa" w:w="2436"/>
            <w:vAlign w:val="center"/>
          </w:tcPr>
          <w:p>
            <w:r>
              <w:rPr>
                <w:sz w:val="16"/>
              </w:rPr>
              <w:t>16</w:t>
            </w:r>
          </w:p>
        </w:tc>
        <w:tc>
          <w:tcPr>
            <w:tcW w:type="dxa" w:w="2436"/>
            <w:vAlign w:val="center"/>
          </w:tcPr>
          <w:p>
            <w:r>
              <w:rPr>
                <w:sz w:val="16"/>
              </w:rPr>
              <w:t>Differences between development and evaluation data</w:t>
            </w:r>
          </w:p>
        </w:tc>
        <w:tc>
          <w:tcPr>
            <w:tcW w:type="dxa" w:w="2436"/>
            <w:vAlign w:val="center"/>
          </w:tcPr>
          <w:p>
            <w:r>
              <w:rPr>
                <w:sz w:val="16"/>
              </w:rPr>
              <w:t>Discussion - Limitations</w:t>
            </w:r>
          </w:p>
        </w:tc>
        <w:tc>
          <w:tcPr>
            <w:tcW w:type="dxa" w:w="2436"/>
            <w:vAlign w:val="center"/>
          </w:tcPr>
          <w:p>
            <w:r>
              <w:rPr>
                <w:sz w:val="16"/>
              </w:rPr>
              <w:t>Not applicable; no external evaluation cohort</w:t>
            </w:r>
          </w:p>
        </w:tc>
      </w:tr>
      <w:tr>
        <w:trPr>
          <w:cantSplit/>
        </w:trPr>
        <w:tc>
          <w:tcPr>
            <w:tcW w:type="dxa" w:w="2436"/>
            <w:vAlign w:val="center"/>
          </w:tcPr>
          <w:p>
            <w:r>
              <w:rPr>
                <w:sz w:val="16"/>
              </w:rPr>
              <w:t>17</w:t>
            </w:r>
          </w:p>
        </w:tc>
        <w:tc>
          <w:tcPr>
            <w:tcW w:type="dxa" w:w="2436"/>
            <w:vAlign w:val="center"/>
          </w:tcPr>
          <w:p>
            <w:r>
              <w:rPr>
                <w:sz w:val="16"/>
              </w:rPr>
              <w:t>Ethical approval and consent</w:t>
            </w:r>
          </w:p>
        </w:tc>
        <w:tc>
          <w:tcPr>
            <w:tcW w:type="dxa" w:w="2436"/>
            <w:vAlign w:val="center"/>
          </w:tcPr>
          <w:p>
            <w:r>
              <w:rPr>
                <w:sz w:val="16"/>
              </w:rPr>
              <w:t>Declarations</w:t>
            </w:r>
          </w:p>
        </w:tc>
        <w:tc>
          <w:tcPr>
            <w:tcW w:type="dxa" w:w="2436"/>
            <w:vAlign w:val="center"/>
          </w:tcPr>
          <w:p>
            <w:r>
              <w:rPr>
                <w:sz w:val="16"/>
              </w:rPr>
              <w:t>Pending final institutional wording</w:t>
            </w:r>
          </w:p>
        </w:tc>
      </w:tr>
      <w:tr>
        <w:trPr>
          <w:cantSplit/>
        </w:trPr>
        <w:tc>
          <w:tcPr>
            <w:tcW w:type="dxa" w:w="2436"/>
            <w:vAlign w:val="center"/>
          </w:tcPr>
          <w:p>
            <w:r>
              <w:rPr>
                <w:sz w:val="16"/>
              </w:rPr>
              <w:t>18a</w:t>
            </w:r>
          </w:p>
        </w:tc>
        <w:tc>
          <w:tcPr>
            <w:tcW w:type="dxa" w:w="2436"/>
            <w:vAlign w:val="center"/>
          </w:tcPr>
          <w:p>
            <w:r>
              <w:rPr>
                <w:sz w:val="16"/>
              </w:rPr>
              <w:t>Funding</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18b</w:t>
            </w:r>
          </w:p>
        </w:tc>
        <w:tc>
          <w:tcPr>
            <w:tcW w:type="dxa" w:w="2436"/>
            <w:vAlign w:val="center"/>
          </w:tcPr>
          <w:p>
            <w:r>
              <w:rPr>
                <w:sz w:val="16"/>
              </w:rPr>
              <w:t>Conflicts of interest</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18c</w:t>
            </w:r>
          </w:p>
        </w:tc>
        <w:tc>
          <w:tcPr>
            <w:tcW w:type="dxa" w:w="2436"/>
            <w:vAlign w:val="center"/>
          </w:tcPr>
          <w:p>
            <w:r>
              <w:rPr>
                <w:sz w:val="16"/>
              </w:rPr>
              <w:t>Protocol</w:t>
            </w:r>
          </w:p>
        </w:tc>
        <w:tc>
          <w:tcPr>
            <w:tcW w:type="dxa" w:w="2436"/>
            <w:vAlign w:val="center"/>
          </w:tcPr>
          <w:p>
            <w:r>
              <w:rPr>
                <w:sz w:val="16"/>
              </w:rPr>
              <w:t>Repository docs/ANALYSIS_PLAN.md</w:t>
            </w:r>
          </w:p>
        </w:tc>
        <w:tc>
          <w:tcPr>
            <w:tcW w:type="dxa" w:w="2436"/>
            <w:vAlign w:val="center"/>
          </w:tcPr>
          <w:p>
            <w:r>
              <w:rPr>
                <w:sz w:val="16"/>
              </w:rPr>
              <w:t>Locked analysis plan reported; not prospectively registered</w:t>
            </w:r>
          </w:p>
        </w:tc>
      </w:tr>
      <w:tr>
        <w:trPr>
          <w:cantSplit/>
        </w:trPr>
        <w:tc>
          <w:tcPr>
            <w:tcW w:type="dxa" w:w="2436"/>
            <w:vAlign w:val="center"/>
          </w:tcPr>
          <w:p>
            <w:r>
              <w:rPr>
                <w:sz w:val="16"/>
              </w:rPr>
              <w:t>18d</w:t>
            </w:r>
          </w:p>
        </w:tc>
        <w:tc>
          <w:tcPr>
            <w:tcW w:type="dxa" w:w="2436"/>
            <w:vAlign w:val="center"/>
          </w:tcPr>
          <w:p>
            <w:r>
              <w:rPr>
                <w:sz w:val="16"/>
              </w:rPr>
              <w:t>Registration</w:t>
            </w:r>
          </w:p>
        </w:tc>
        <w:tc>
          <w:tcPr>
            <w:tcW w:type="dxa" w:w="2436"/>
            <w:vAlign w:val="center"/>
          </w:tcPr>
          <w:p>
            <w:r>
              <w:rPr>
                <w:sz w:val="16"/>
              </w:rPr>
              <w:t>Declarations</w:t>
            </w:r>
          </w:p>
        </w:tc>
        <w:tc>
          <w:tcPr>
            <w:tcW w:type="dxa" w:w="2436"/>
            <w:vAlign w:val="center"/>
          </w:tcPr>
          <w:p>
            <w:r>
              <w:rPr>
                <w:sz w:val="16"/>
              </w:rPr>
              <w:t>Study not registered</w:t>
            </w:r>
          </w:p>
        </w:tc>
      </w:tr>
      <w:tr>
        <w:trPr>
          <w:cantSplit/>
        </w:trPr>
        <w:tc>
          <w:tcPr>
            <w:tcW w:type="dxa" w:w="2436"/>
            <w:vAlign w:val="center"/>
          </w:tcPr>
          <w:p>
            <w:r>
              <w:rPr>
                <w:sz w:val="16"/>
              </w:rPr>
              <w:t>18e</w:t>
            </w:r>
          </w:p>
        </w:tc>
        <w:tc>
          <w:tcPr>
            <w:tcW w:type="dxa" w:w="2436"/>
            <w:vAlign w:val="center"/>
          </w:tcPr>
          <w:p>
            <w:r>
              <w:rPr>
                <w:sz w:val="16"/>
              </w:rPr>
              <w:t>Data sharing</w:t>
            </w:r>
          </w:p>
        </w:tc>
        <w:tc>
          <w:tcPr>
            <w:tcW w:type="dxa" w:w="2436"/>
            <w:vAlign w:val="center"/>
          </w:tcPr>
          <w:p>
            <w:r>
              <w:rPr>
                <w:sz w:val="16"/>
              </w:rPr>
              <w:t>Declarations - Availability; provenance/SOURCES.md</w:t>
            </w:r>
          </w:p>
        </w:tc>
        <w:tc>
          <w:tcPr>
            <w:tcW w:type="dxa" w:w="2436"/>
            <w:vAlign w:val="center"/>
          </w:tcPr>
          <w:p>
            <w:r>
              <w:rPr>
                <w:sz w:val="16"/>
              </w:rPr>
              <w:t>Reported with source conditions</w:t>
            </w:r>
          </w:p>
        </w:tc>
      </w:tr>
      <w:tr>
        <w:trPr>
          <w:cantSplit/>
        </w:trPr>
        <w:tc>
          <w:tcPr>
            <w:tcW w:type="dxa" w:w="2436"/>
            <w:vAlign w:val="center"/>
          </w:tcPr>
          <w:p>
            <w:r>
              <w:rPr>
                <w:sz w:val="16"/>
              </w:rPr>
              <w:t>18f</w:t>
            </w:r>
          </w:p>
        </w:tc>
        <w:tc>
          <w:tcPr>
            <w:tcW w:type="dxa" w:w="2436"/>
            <w:vAlign w:val="center"/>
          </w:tcPr>
          <w:p>
            <w:r>
              <w:rPr>
                <w:sz w:val="16"/>
              </w:rPr>
              <w:t>Code sharing</w:t>
            </w:r>
          </w:p>
        </w:tc>
        <w:tc>
          <w:tcPr>
            <w:tcW w:type="dxa" w:w="2436"/>
            <w:vAlign w:val="center"/>
          </w:tcPr>
          <w:p>
            <w:r>
              <w:rPr>
                <w:sz w:val="16"/>
              </w:rPr>
              <w:t>Methods - Software transparency; public repository</w:t>
            </w:r>
          </w:p>
        </w:tc>
        <w:tc>
          <w:tcPr>
            <w:tcW w:type="dxa" w:w="2436"/>
            <w:vAlign w:val="center"/>
          </w:tcPr>
          <w:p>
            <w:r>
              <w:rPr>
                <w:sz w:val="16"/>
              </w:rPr>
              <w:t>Reported with versions and licence</w:t>
            </w:r>
          </w:p>
        </w:tc>
      </w:tr>
      <w:tr>
        <w:trPr>
          <w:cantSplit/>
        </w:trPr>
        <w:tc>
          <w:tcPr>
            <w:tcW w:type="dxa" w:w="2436"/>
            <w:vAlign w:val="center"/>
          </w:tcPr>
          <w:p>
            <w:r>
              <w:rPr>
                <w:sz w:val="16"/>
              </w:rPr>
              <w:t>19</w:t>
            </w:r>
          </w:p>
        </w:tc>
        <w:tc>
          <w:tcPr>
            <w:tcW w:type="dxa" w:w="2436"/>
            <w:vAlign w:val="center"/>
          </w:tcPr>
          <w:p>
            <w:r>
              <w:rPr>
                <w:sz w:val="16"/>
              </w:rPr>
              <w:t>Patient and public involvement</w:t>
            </w:r>
          </w:p>
        </w:tc>
        <w:tc>
          <w:tcPr>
            <w:tcW w:type="dxa" w:w="2436"/>
            <w:vAlign w:val="center"/>
          </w:tcPr>
          <w:p>
            <w:r>
              <w:rPr>
                <w:sz w:val="16"/>
              </w:rPr>
              <w:t>Declarations</w:t>
            </w:r>
          </w:p>
        </w:tc>
        <w:tc>
          <w:tcPr>
            <w:tcW w:type="dxa" w:w="2436"/>
            <w:vAlign w:val="center"/>
          </w:tcPr>
          <w:p>
            <w:r>
              <w:rPr>
                <w:sz w:val="16"/>
              </w:rPr>
              <w:t>No patient or public involvement</w:t>
            </w:r>
          </w:p>
        </w:tc>
      </w:tr>
      <w:tr>
        <w:trPr>
          <w:cantSplit/>
        </w:trPr>
        <w:tc>
          <w:tcPr>
            <w:tcW w:type="dxa" w:w="2436"/>
            <w:vAlign w:val="center"/>
          </w:tcPr>
          <w:p>
            <w:r>
              <w:rPr>
                <w:sz w:val="16"/>
              </w:rPr>
              <w:t>20a</w:t>
            </w:r>
          </w:p>
        </w:tc>
        <w:tc>
          <w:tcPr>
            <w:tcW w:type="dxa" w:w="2436"/>
            <w:vAlign w:val="center"/>
          </w:tcPr>
          <w:p>
            <w:r>
              <w:rPr>
                <w:sz w:val="16"/>
              </w:rPr>
              <w:t>Participant flow</w:t>
            </w:r>
          </w:p>
        </w:tc>
        <w:tc>
          <w:tcPr>
            <w:tcW w:type="dxa" w:w="2436"/>
            <w:vAlign w:val="center"/>
          </w:tcPr>
          <w:p>
            <w:r>
              <w:rPr>
                <w:sz w:val="16"/>
              </w:rPr>
              <w:t>Figure 1; Results - Cohort and analysis coverage</w:t>
            </w:r>
          </w:p>
        </w:tc>
        <w:tc>
          <w:tcPr>
            <w:tcW w:type="dxa" w:w="2436"/>
            <w:vAlign w:val="center"/>
          </w:tcPr>
          <w:p>
            <w:r>
              <w:rPr>
                <w:sz w:val="16"/>
              </w:rPr>
              <w:t>Reported</w:t>
            </w:r>
          </w:p>
        </w:tc>
      </w:tr>
      <w:tr>
        <w:trPr>
          <w:cantSplit/>
        </w:trPr>
        <w:tc>
          <w:tcPr>
            <w:tcW w:type="dxa" w:w="2436"/>
            <w:vAlign w:val="center"/>
          </w:tcPr>
          <w:p>
            <w:r>
              <w:rPr>
                <w:sz w:val="16"/>
              </w:rPr>
              <w:t>20b</w:t>
            </w:r>
          </w:p>
        </w:tc>
        <w:tc>
          <w:tcPr>
            <w:tcW w:type="dxa" w:w="2436"/>
            <w:vAlign w:val="center"/>
          </w:tcPr>
          <w:p>
            <w:r>
              <w:rPr>
                <w:sz w:val="16"/>
              </w:rPr>
              <w:t>Participant characteristics and missingness</w:t>
            </w:r>
          </w:p>
        </w:tc>
        <w:tc>
          <w:tcPr>
            <w:tcW w:type="dxa" w:w="2436"/>
            <w:vAlign w:val="center"/>
          </w:tcPr>
          <w:p>
            <w:r>
              <w:rPr>
                <w:sz w:val="16"/>
              </w:rPr>
              <w:t>Results - Cohort and analysis coverage; Supplementary Tables S2-S5</w:t>
            </w:r>
          </w:p>
        </w:tc>
        <w:tc>
          <w:tcPr>
            <w:tcW w:type="dxa" w:w="2436"/>
            <w:vAlign w:val="center"/>
          </w:tcPr>
          <w:p>
            <w:r>
              <w:rPr>
                <w:sz w:val="16"/>
              </w:rPr>
              <w:t>Participant age</w:t>
            </w:r>
          </w:p>
        </w:tc>
      </w:tr>
      <w:tr>
        <w:trPr>
          <w:cantSplit/>
        </w:trPr>
        <w:tc>
          <w:tcPr>
            <w:tcW w:type="dxa" w:w="2436"/>
            <w:vAlign w:val="center"/>
          </w:tcPr>
          <w:p>
            <w:r>
              <w:rPr>
                <w:sz w:val="16"/>
              </w:rPr>
              <w:t>20c</w:t>
            </w:r>
          </w:p>
        </w:tc>
        <w:tc>
          <w:tcPr>
            <w:tcW w:type="dxa" w:w="2436"/>
            <w:vAlign w:val="center"/>
          </w:tcPr>
          <w:p>
            <w:r>
              <w:rPr>
                <w:sz w:val="16"/>
              </w:rPr>
              <w:t>Evaluation-versus-development distributions</w:t>
            </w:r>
          </w:p>
        </w:tc>
        <w:tc>
          <w:tcPr>
            <w:tcW w:type="dxa" w:w="2436"/>
            <w:vAlign w:val="center"/>
          </w:tcPr>
          <w:p>
            <w:r>
              <w:rPr>
                <w:sz w:val="16"/>
              </w:rPr>
              <w:t>Discussion - Limitations</w:t>
            </w:r>
          </w:p>
        </w:tc>
        <w:tc>
          <w:tcPr>
            <w:tcW w:type="dxa" w:w="2436"/>
            <w:vAlign w:val="center"/>
          </w:tcPr>
          <w:p>
            <w:r>
              <w:rPr>
                <w:sz w:val="16"/>
              </w:rPr>
              <w:t>Not applicable; no independent evaluation cohort</w:t>
            </w:r>
          </w:p>
        </w:tc>
      </w:tr>
      <w:tr>
        <w:trPr>
          <w:cantSplit/>
        </w:trPr>
        <w:tc>
          <w:tcPr>
            <w:tcW w:type="dxa" w:w="2436"/>
            <w:vAlign w:val="center"/>
          </w:tcPr>
          <w:p>
            <w:r>
              <w:rPr>
                <w:sz w:val="16"/>
              </w:rPr>
              <w:t>21</w:t>
            </w:r>
          </w:p>
        </w:tc>
        <w:tc>
          <w:tcPr>
            <w:tcW w:type="dxa" w:w="2436"/>
            <w:vAlign w:val="center"/>
          </w:tcPr>
          <w:p>
            <w:r>
              <w:rPr>
                <w:sz w:val="16"/>
              </w:rPr>
              <w:t>Participants and events per analysis</w:t>
            </w:r>
          </w:p>
        </w:tc>
        <w:tc>
          <w:tcPr>
            <w:tcW w:type="dxa" w:w="2436"/>
            <w:vAlign w:val="center"/>
          </w:tcPr>
          <w:p>
            <w:r>
              <w:rPr>
                <w:sz w:val="16"/>
              </w:rPr>
              <w:t>Primary screen tables; Supplementary Tables S5-S9</w:t>
            </w:r>
          </w:p>
        </w:tc>
        <w:tc>
          <w:tcPr>
            <w:tcW w:type="dxa" w:w="2436"/>
            <w:vAlign w:val="center"/>
          </w:tcPr>
          <w:p>
            <w:r>
              <w:rPr>
                <w:sz w:val="16"/>
              </w:rPr>
              <w:t>Reported</w:t>
            </w:r>
          </w:p>
        </w:tc>
      </w:tr>
      <w:tr>
        <w:trPr>
          <w:cantSplit/>
        </w:trPr>
        <w:tc>
          <w:tcPr>
            <w:tcW w:type="dxa" w:w="2436"/>
            <w:vAlign w:val="center"/>
          </w:tcPr>
          <w:p>
            <w:r>
              <w:rPr>
                <w:sz w:val="16"/>
              </w:rPr>
              <w:t>22</w:t>
            </w:r>
          </w:p>
        </w:tc>
        <w:tc>
          <w:tcPr>
            <w:tcW w:type="dxa" w:w="2436"/>
            <w:vAlign w:val="center"/>
          </w:tcPr>
          <w:p>
            <w:r>
              <w:rPr>
                <w:sz w:val="16"/>
              </w:rPr>
              <w:t>Full model specification and access restrictions</w:t>
            </w:r>
          </w:p>
        </w:tc>
        <w:tc>
          <w:tcPr>
            <w:tcW w:type="dxa" w:w="2436"/>
            <w:vAlign w:val="center"/>
          </w:tcPr>
          <w:p>
            <w:r>
              <w:rPr>
                <w:sz w:val="16"/>
              </w:rPr>
              <w:t>Model registry; models/README.md; inference example</w:t>
            </w:r>
          </w:p>
        </w:tc>
        <w:tc>
          <w:tcPr>
            <w:tcW w:type="dxa" w:w="2436"/>
            <w:vAlign w:val="center"/>
          </w:tcPr>
          <w:p>
            <w:r>
              <w:rPr>
                <w:sz w:val="16"/>
              </w:rPr>
              <w:t>Reported subject to TITAN redistribution terms</w:t>
            </w:r>
          </w:p>
        </w:tc>
      </w:tr>
      <w:tr>
        <w:trPr>
          <w:cantSplit/>
        </w:trPr>
        <w:tc>
          <w:tcPr>
            <w:tcW w:type="dxa" w:w="2436"/>
            <w:vAlign w:val="center"/>
          </w:tcPr>
          <w:p>
            <w:r>
              <w:rPr>
                <w:sz w:val="16"/>
              </w:rPr>
              <w:t>23a</w:t>
            </w:r>
          </w:p>
        </w:tc>
        <w:tc>
          <w:tcPr>
            <w:tcW w:type="dxa" w:w="2436"/>
            <w:vAlign w:val="center"/>
          </w:tcPr>
          <w:p>
            <w:r>
              <w:rPr>
                <w:sz w:val="16"/>
              </w:rPr>
              <w:t>Performance with confidence intervals and plots</w:t>
            </w:r>
          </w:p>
        </w:tc>
        <w:tc>
          <w:tcPr>
            <w:tcW w:type="dxa" w:w="2436"/>
            <w:vAlign w:val="center"/>
          </w:tcPr>
          <w:p>
            <w:r>
              <w:rPr>
                <w:sz w:val="16"/>
              </w:rPr>
              <w:t>Table 2; Figure 4; Supplementary Table S5</w:t>
            </w:r>
          </w:p>
        </w:tc>
        <w:tc>
          <w:tcPr>
            <w:tcW w:type="dxa" w:w="2436"/>
            <w:vAlign w:val="center"/>
          </w:tcPr>
          <w:p>
            <w:r>
              <w:rPr>
                <w:sz w:val="16"/>
              </w:rPr>
              <w:t>Reported for highlighted models</w:t>
            </w:r>
          </w:p>
        </w:tc>
      </w:tr>
      <w:tr>
        <w:trPr>
          <w:cantSplit/>
        </w:trPr>
        <w:tc>
          <w:tcPr>
            <w:tcW w:type="dxa" w:w="2436"/>
            <w:vAlign w:val="center"/>
          </w:tcPr>
          <w:p>
            <w:r>
              <w:rPr>
                <w:sz w:val="16"/>
              </w:rPr>
              <w:t>23b</w:t>
            </w:r>
          </w:p>
        </w:tc>
        <w:tc>
          <w:tcPr>
            <w:tcW w:type="dxa" w:w="2436"/>
            <w:vAlign w:val="center"/>
          </w:tcPr>
          <w:p>
            <w:r>
              <w:rPr>
                <w:sz w:val="16"/>
              </w:rPr>
              <w:t>Heterogeneity across clusters</w:t>
            </w:r>
          </w:p>
        </w:tc>
        <w:tc>
          <w:tcPr>
            <w:tcW w:type="dxa" w:w="2436"/>
            <w:vAlign w:val="center"/>
          </w:tcPr>
          <w:p>
            <w:r>
              <w:rPr>
                <w:sz w:val="16"/>
              </w:rPr>
              <w:t>Figure 6; site-grouped sensitivity tables</w:t>
            </w:r>
          </w:p>
        </w:tc>
        <w:tc>
          <w:tcPr>
            <w:tcW w:type="dxa" w:w="2436"/>
            <w:vAlign w:val="center"/>
          </w:tcPr>
          <w:p>
            <w:r>
              <w:rPr>
                <w:sz w:val="16"/>
              </w:rPr>
              <w:t>Reported</w:t>
            </w:r>
          </w:p>
        </w:tc>
      </w:tr>
      <w:tr>
        <w:trPr>
          <w:cantSplit/>
        </w:trPr>
        <w:tc>
          <w:tcPr>
            <w:tcW w:type="dxa" w:w="2436"/>
            <w:vAlign w:val="center"/>
          </w:tcPr>
          <w:p>
            <w:r>
              <w:rPr>
                <w:sz w:val="16"/>
              </w:rPr>
              <w:t>24</w:t>
            </w:r>
          </w:p>
        </w:tc>
        <w:tc>
          <w:tcPr>
            <w:tcW w:type="dxa" w:w="2436"/>
            <w:vAlign w:val="center"/>
          </w:tcPr>
          <w:p>
            <w:r>
              <w:rPr>
                <w:sz w:val="16"/>
              </w:rPr>
              <w:t>Model updating results</w:t>
            </w:r>
          </w:p>
        </w:tc>
        <w:tc>
          <w:tcPr>
            <w:tcW w:type="dxa" w:w="2436"/>
            <w:vAlign w:val="center"/>
          </w:tcPr>
          <w:p>
            <w:r>
              <w:rPr>
                <w:sz w:val="16"/>
              </w:rPr>
              <w:t>Discussion - Limitations</w:t>
            </w:r>
          </w:p>
        </w:tc>
        <w:tc>
          <w:tcPr>
            <w:tcW w:type="dxa" w:w="2436"/>
            <w:vAlign w:val="center"/>
          </w:tcPr>
          <w:p>
            <w:r>
              <w:rPr>
                <w:sz w:val="16"/>
              </w:rPr>
              <w:t>Not applicable; no model updating</w:t>
            </w:r>
          </w:p>
        </w:tc>
      </w:tr>
      <w:tr>
        <w:trPr>
          <w:cantSplit/>
        </w:trPr>
        <w:tc>
          <w:tcPr>
            <w:tcW w:type="dxa" w:w="2436"/>
            <w:vAlign w:val="center"/>
          </w:tcPr>
          <w:p>
            <w:r>
              <w:rPr>
                <w:sz w:val="16"/>
              </w:rPr>
              <w:t>25</w:t>
            </w:r>
          </w:p>
        </w:tc>
        <w:tc>
          <w:tcPr>
            <w:tcW w:type="dxa" w:w="2436"/>
            <w:vAlign w:val="center"/>
          </w:tcPr>
          <w:p>
            <w:r>
              <w:rPr>
                <w:sz w:val="16"/>
              </w:rPr>
              <w:t>Interpretation and fairness</w:t>
            </w:r>
          </w:p>
        </w:tc>
        <w:tc>
          <w:tcPr>
            <w:tcW w:type="dxa" w:w="2436"/>
            <w:vAlign w:val="center"/>
          </w:tcPr>
          <w:p>
            <w:r>
              <w:rPr>
                <w:sz w:val="16"/>
              </w:rPr>
              <w:t>Discussion</w:t>
            </w:r>
          </w:p>
        </w:tc>
        <w:tc>
          <w:tcPr>
            <w:tcW w:type="dxa" w:w="2436"/>
            <w:vAlign w:val="center"/>
          </w:tcPr>
          <w:p>
            <w:r>
              <w:rPr>
                <w:sz w:val="16"/>
              </w:rPr>
              <w:t>Reported</w:t>
            </w:r>
          </w:p>
        </w:tc>
      </w:tr>
      <w:tr>
        <w:trPr>
          <w:cantSplit/>
        </w:trPr>
        <w:tc>
          <w:tcPr>
            <w:tcW w:type="dxa" w:w="2436"/>
            <w:vAlign w:val="center"/>
          </w:tcPr>
          <w:p>
            <w:r>
              <w:rPr>
                <w:sz w:val="16"/>
              </w:rPr>
              <w:t>26</w:t>
            </w:r>
          </w:p>
        </w:tc>
        <w:tc>
          <w:tcPr>
            <w:tcW w:type="dxa" w:w="2436"/>
            <w:vAlign w:val="center"/>
          </w:tcPr>
          <w:p>
            <w:r>
              <w:rPr>
                <w:sz w:val="16"/>
              </w:rPr>
              <w:t>Limitations bias uncertainty and generalisability</w:t>
            </w:r>
          </w:p>
        </w:tc>
        <w:tc>
          <w:tcPr>
            <w:tcW w:type="dxa" w:w="2436"/>
            <w:vAlign w:val="center"/>
          </w:tcPr>
          <w:p>
            <w:r>
              <w:rPr>
                <w:sz w:val="16"/>
              </w:rPr>
              <w:t>Discussion - Limitations</w:t>
            </w:r>
          </w:p>
        </w:tc>
        <w:tc>
          <w:tcPr>
            <w:tcW w:type="dxa" w:w="2436"/>
            <w:vAlign w:val="center"/>
          </w:tcPr>
          <w:p>
            <w:r>
              <w:rPr>
                <w:sz w:val="16"/>
              </w:rPr>
              <w:t>Reported</w:t>
            </w:r>
          </w:p>
        </w:tc>
      </w:tr>
      <w:tr>
        <w:trPr>
          <w:cantSplit/>
        </w:trPr>
        <w:tc>
          <w:tcPr>
            <w:tcW w:type="dxa" w:w="2436"/>
            <w:vAlign w:val="center"/>
          </w:tcPr>
          <w:p>
            <w:r>
              <w:rPr>
                <w:sz w:val="16"/>
              </w:rPr>
              <w:t>27a</w:t>
            </w:r>
          </w:p>
        </w:tc>
        <w:tc>
          <w:tcPr>
            <w:tcW w:type="dxa" w:w="2436"/>
            <w:vAlign w:val="center"/>
          </w:tcPr>
          <w:p>
            <w:r>
              <w:rPr>
                <w:sz w:val="16"/>
              </w:rPr>
              <w:t>Poor quality or unavailable input data</w:t>
            </w:r>
          </w:p>
        </w:tc>
        <w:tc>
          <w:tcPr>
            <w:tcW w:type="dxa" w:w="2436"/>
            <w:vAlign w:val="center"/>
          </w:tcPr>
          <w:p>
            <w:r>
              <w:rPr>
                <w:sz w:val="16"/>
              </w:rPr>
              <w:t>Inference example; models/README.md</w:t>
            </w:r>
          </w:p>
        </w:tc>
        <w:tc>
          <w:tcPr>
            <w:tcW w:type="dxa" w:w="2436"/>
            <w:vAlign w:val="center"/>
          </w:tcPr>
          <w:p>
            <w:r>
              <w:rPr>
                <w:sz w:val="16"/>
              </w:rPr>
              <w:t>Feature validation training ranges and out-of-distribution warning reported</w:t>
            </w:r>
          </w:p>
        </w:tc>
      </w:tr>
      <w:tr>
        <w:trPr>
          <w:cantSplit/>
        </w:trPr>
        <w:tc>
          <w:tcPr>
            <w:tcW w:type="dxa" w:w="2436"/>
            <w:vAlign w:val="center"/>
          </w:tcPr>
          <w:p>
            <w:r>
              <w:rPr>
                <w:sz w:val="16"/>
              </w:rPr>
              <w:t>27b</w:t>
            </w:r>
          </w:p>
        </w:tc>
        <w:tc>
          <w:tcPr>
            <w:tcW w:type="dxa" w:w="2436"/>
            <w:vAlign w:val="center"/>
          </w:tcPr>
          <w:p>
            <w:r>
              <w:rPr>
                <w:sz w:val="16"/>
              </w:rPr>
              <w:t>User interaction and expertise</w:t>
            </w:r>
          </w:p>
        </w:tc>
        <w:tc>
          <w:tcPr>
            <w:tcW w:type="dxa" w:w="2436"/>
            <w:vAlign w:val="center"/>
          </w:tcPr>
          <w:p>
            <w:r>
              <w:rPr>
                <w:sz w:val="16"/>
              </w:rPr>
              <w:t>README and inference example</w:t>
            </w:r>
          </w:p>
        </w:tc>
        <w:tc>
          <w:tcPr>
            <w:tcW w:type="dxa" w:w="2436"/>
            <w:vAlign w:val="center"/>
          </w:tcPr>
          <w:p>
            <w:r>
              <w:rPr>
                <w:sz w:val="16"/>
              </w:rPr>
              <w:t>Reported for research users</w:t>
            </w:r>
          </w:p>
        </w:tc>
      </w:tr>
      <w:tr>
        <w:trPr>
          <w:cantSplit/>
        </w:trPr>
        <w:tc>
          <w:tcPr>
            <w:tcW w:type="dxa" w:w="2436"/>
            <w:vAlign w:val="center"/>
          </w:tcPr>
          <w:p>
            <w:r>
              <w:rPr>
                <w:sz w:val="16"/>
              </w:rPr>
              <w:t>27c</w:t>
            </w:r>
          </w:p>
        </w:tc>
        <w:tc>
          <w:tcPr>
            <w:tcW w:type="dxa" w:w="2436"/>
            <w:vAlign w:val="center"/>
          </w:tcPr>
          <w:p>
            <w:r>
              <w:rPr>
                <w:sz w:val="16"/>
              </w:rPr>
              <w:t>Next research steps</w:t>
            </w:r>
          </w:p>
        </w:tc>
        <w:tc>
          <w:tcPr>
            <w:tcW w:type="dxa" w:w="2436"/>
            <w:vAlign w:val="center"/>
          </w:tcPr>
          <w:p>
            <w:r>
              <w:rPr>
                <w:sz w:val="16"/>
              </w:rPr>
              <w:t>Discussion - Limitations and Conclusions</w:t>
            </w:r>
          </w:p>
        </w:tc>
        <w:tc>
          <w:tcPr>
            <w:tcW w:type="dxa" w:w="2436"/>
            <w:vAlign w:val="center"/>
          </w:tcPr>
          <w:p>
            <w:r>
              <w:rPr>
                <w:sz w:val="16"/>
              </w:rPr>
              <w:t>Independent external evaluation specified</w:t>
            </w:r>
          </w:p>
        </w:tc>
      </w:tr>
    </w:tbl>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1" name="Picture 1"/>
            <wp:cNvGraphicFramePr>
              <a:graphicFrameLocks noChangeAspect="1"/>
            </wp:cNvGraphicFramePr>
            <a:graphic>
              <a:graphicData uri="http://schemas.openxmlformats.org/drawingml/2006/picture">
                <pic:pic>
                  <pic:nvPicPr>
                    <pic:cNvPr id="0" name="Figure6a_pls1_vs_pls2_targets.png"/>
                    <pic:cNvPicPr/>
                  </pic:nvPicPr>
                  <pic:blipFill>
                    <a:blip r:embed="rId11"/>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2" name="Picture 2"/>
            <wp:cNvGraphicFramePr>
              <a:graphicFrameLocks noChangeAspect="1"/>
            </wp:cNvGraphicFramePr>
            <a:graphic>
              <a:graphicData uri="http://schemas.openxmlformats.org/drawingml/2006/picture">
                <pic:pic>
                  <pic:nvPicPr>
                    <pic:cNvPr id="0" name="Figure6b_pls1_vs_pls2_cancers.png"/>
                    <pic:cNvPicPr/>
                  </pic:nvPicPr>
                  <pic:blipFill>
                    <a:blip r:embed="rId12"/>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permutation_monte_carlo_uncertainty.csv</w:t>
      </w:r>
    </w:p>
    <w:p>
      <w:pPr>
        <w:pStyle w:val="ListBullet"/>
        <w:spacing w:after="0" w:line="288" w:lineRule="auto"/>
      </w:pPr>
      <w:r>
        <w:t>targeted_permutation_refinement.csv</w:t>
      </w:r>
    </w:p>
    <w:p>
      <w:pPr>
        <w:pStyle w:val="ListBullet"/>
        <w:spacing w:after="0" w:line="288" w:lineRule="auto"/>
      </w:pPr>
      <w:r>
        <w:t>targeted_permutation_refinement_targets.csv</w:t>
      </w:r>
    </w:p>
    <w:p>
      <w:pPr>
        <w:pStyle w:val="ListBullet"/>
        <w:spacing w:after="0" w:line="288" w:lineRule="auto"/>
      </w:pPr>
      <w:r>
        <w:t>multiplicity_sensitivity_by_endpoint.csv</w:t>
      </w:r>
    </w:p>
    <w:p>
      <w:pPr>
        <w:pStyle w:val="ListBullet"/>
        <w:spacing w:after="0" w:line="288" w:lineRule="auto"/>
      </w:pPr>
      <w:r>
        <w:t>multiplicity_sensitivity_summary.csv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site_grouped_outer_fold_composition.csv</w:t>
      </w:r>
    </w:p>
    <w:p>
      <w:pPr>
        <w:pStyle w:val="ListBullet"/>
        <w:spacing w:after="0" w:line="288" w:lineRule="auto"/>
      </w:pPr>
      <w:r>
        <w:t>site_grouped_fold_composition_summary.csv</w:t>
      </w:r>
    </w:p>
    <w:p>
      <w:pPr>
        <w:pStyle w:val="ListBullet"/>
        <w:spacing w:after="0" w:line="288" w:lineRule="auto"/>
      </w:pPr>
      <w:r>
        <w:t>tissue_source_site_predictability_repeats.csv</w:t>
      </w:r>
    </w:p>
    <w:p>
      <w:pPr>
        <w:pStyle w:val="ListBullet"/>
        <w:spacing w:after="0" w:line="288" w:lineRule="auto"/>
      </w:pPr>
      <w:r>
        <w:t>tissue_source_site_predictability_summary.csv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ridge_baseline_repeated_nested_cv.csv</w:t>
      </w:r>
    </w:p>
    <w:p>
      <w:pPr>
        <w:pStyle w:val="ListBullet"/>
        <w:spacing w:after="0" w:line="288" w:lineRule="auto"/>
      </w:pPr>
      <w:r>
        <w:t>binary_symmetric_pls_ridge_repeated_nested_cv.csv</w:t>
      </w:r>
    </w:p>
    <w:p>
      <w:pPr>
        <w:pStyle w:val="ListBullet"/>
        <w:spacing w:after="0" w:line="288" w:lineRule="auto"/>
      </w:pPr>
      <w:r>
        <w:t>pls_vs_ridge_highlighted_models.csv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