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representation pipelines with a common PLS-based probe across TCGA cancers</w:t>
      </w:r>
    </w:p>
    <w:p>
      <w:pPr>
        <w:spacing w:before="0" w:after="0" w:line="240" w:lineRule="auto"/>
        <w:jc w:val="center"/>
      </w:pPr>
      <w:r>
        <w:rPr>
          <w:b/>
          <w:sz w:val="19"/>
        </w:rPr>
        <w:t>Aamilah Ismail</w:t>
      </w:r>
      <w:r>
        <w:rPr>
          <w:sz w:val="19"/>
          <w:vertAlign w:val="superscript"/>
        </w:rPr>
        <w:t>3,*</w:t>
      </w:r>
      <w:r>
        <w:rPr>
          <w:sz w:val="19"/>
        </w:rPr>
        <w:t xml:space="preserve">, </w:t>
      </w:r>
      <w:r>
        <w:rPr>
          <w:b/>
          <w:sz w:val="19"/>
        </w:rPr>
        <w:t>Martin Ocharo</w:t>
      </w:r>
      <w:r>
        <w:rPr>
          <w:sz w:val="19"/>
          <w:vertAlign w:val="superscript"/>
        </w:rPr>
        <w:t>1,2,*</w:t>
      </w:r>
      <w:r>
        <w:rPr>
          <w:sz w:val="19"/>
        </w:rPr>
        <w:t xml:space="preserve">, </w:t>
      </w:r>
      <w:r>
        <w:rPr>
          <w:b/>
          <w:sz w:val="19"/>
        </w:rPr>
        <w:t>Moussa Kassim</w:t>
      </w:r>
      <w:r>
        <w:rPr>
          <w:sz w:val="19"/>
          <w:vertAlign w:val="superscript"/>
        </w:rPr>
        <w:t>1,2</w:t>
      </w:r>
      <w:r>
        <w:rPr>
          <w:sz w:val="19"/>
        </w:rPr>
        <w:t xml:space="preserve">, </w:t>
      </w:r>
      <w:r>
        <w:rPr>
          <w:b/>
          <w:sz w:val="19"/>
        </w:rPr>
        <w:t>Dalia Ahmed</w:t>
      </w:r>
      <w:r>
        <w:rPr>
          <w:sz w:val="19"/>
          <w:vertAlign w:val="superscript"/>
        </w:rPr>
        <w:t>1</w:t>
      </w:r>
      <w:r>
        <w:rPr>
          <w:sz w:val="19"/>
        </w:rPr>
        <w:t xml:space="preserve">, </w:t>
      </w:r>
      <w:r>
        <w:rPr>
          <w:b/>
          <w:sz w:val="19"/>
        </w:rPr>
        <w:t>Brendon Price</w:t>
      </w:r>
      <w:r>
        <w:rPr>
          <w:sz w:val="19"/>
          <w:vertAlign w:val="superscript"/>
        </w:rPr>
        <w:t>5</w:t>
      </w:r>
      <w:r>
        <w:rPr>
          <w:sz w:val="19"/>
        </w:rPr>
        <w:t xml:space="preserve">, </w:t>
      </w:r>
      <w:r>
        <w:rPr>
          <w:b/>
          <w:sz w:val="19"/>
        </w:rPr>
        <w:t>Dupe Ojo</w:t>
      </w:r>
      <w:r>
        <w:rPr>
          <w:sz w:val="19"/>
          <w:vertAlign w:val="superscript"/>
        </w:rPr>
        <w:t>1</w:t>
      </w:r>
      <w:r>
        <w:rPr>
          <w:sz w:val="19"/>
        </w:rPr>
        <w:t xml:space="preserve">, </w:t>
      </w:r>
      <w:r>
        <w:rPr>
          <w:b/>
          <w:sz w:val="19"/>
        </w:rPr>
        <w:t>Ekene Emmanuel Nweke</w:t>
      </w:r>
      <w:r>
        <w:rPr>
          <w:sz w:val="19"/>
          <w:vertAlign w:val="superscript"/>
        </w:rPr>
        <w:t>4</w:t>
      </w:r>
      <w:r>
        <w:rPr>
          <w:sz w:val="19"/>
        </w:rPr>
        <w:t xml:space="preserve">, </w:t>
      </w:r>
      <w:r>
        <w:rPr>
          <w:b/>
          <w:sz w:val="19"/>
        </w:rPr>
        <w:t>Silvano Piazza</w:t>
      </w:r>
      <w:r>
        <w:rPr>
          <w:sz w:val="19"/>
          <w:vertAlign w:val="superscript"/>
        </w:rPr>
        <w:t>6,8</w:t>
      </w:r>
      <w:r>
        <w:rPr>
          <w:sz w:val="19"/>
        </w:rPr>
        <w:t xml:space="preserve">, </w:t>
      </w:r>
      <w:r>
        <w:rPr>
          <w:b/>
          <w:sz w:val="19"/>
        </w:rPr>
        <w:t>Dinesh Gupta</w:t>
      </w:r>
      <w:r>
        <w:rPr>
          <w:sz w:val="19"/>
          <w:vertAlign w:val="superscript"/>
        </w:rPr>
        <w:t>7</w:t>
      </w:r>
      <w:r>
        <w:rPr>
          <w:sz w:val="19"/>
        </w:rPr>
        <w:t xml:space="preserve">, </w:t>
      </w:r>
      <w:r>
        <w:rPr>
          <w:b/>
          <w:sz w:val="19"/>
        </w:rPr>
        <w:t>Alessia Vignoli</w:t>
      </w:r>
      <w:r>
        <w:rPr>
          <w:sz w:val="19"/>
          <w:vertAlign w:val="superscript"/>
        </w:rPr>
        <w:t>9,10</w:t>
      </w:r>
      <w:r>
        <w:rPr>
          <w:sz w:val="19"/>
        </w:rPr>
        <w:t xml:space="preserve">, </w:t>
      </w:r>
      <w:r>
        <w:rPr>
          <w:b/>
          <w:sz w:val="19"/>
        </w:rPr>
        <w:t>Leonardo Tenori</w:t>
      </w:r>
      <w:r>
        <w:rPr>
          <w:sz w:val="19"/>
          <w:vertAlign w:val="superscript"/>
        </w:rPr>
        <w:t>9,10</w:t>
      </w:r>
      <w:r>
        <w:rPr>
          <w:sz w:val="19"/>
        </w:rPr>
        <w:t xml:space="preserve">, </w:t>
      </w:r>
      <w:r>
        <w:rPr>
          <w:b/>
          <w:sz w:val="19"/>
        </w:rPr>
        <w:t>Stefano Cacciatore</w:t>
      </w:r>
      <w:r>
        <w:rPr>
          <w:sz w:val="19"/>
          <w:vertAlign w:val="superscript"/>
        </w:rPr>
        <w:t>1,2,†</w:t>
      </w:r>
    </w:p>
    <w:p>
      <w:pPr>
        <w:spacing w:before="0" w:after="0" w:line="240" w:lineRule="auto"/>
        <w:jc w:val="center"/>
      </w:pPr>
      <w:r>
        <w:rPr>
          <w:b/>
          <w:sz w:val="17"/>
        </w:rPr>
        <w:t xml:space="preserve">1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2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3 </w:t>
      </w:r>
      <w:r>
        <w:rPr>
          <w:sz w:val="17"/>
        </w:rPr>
        <w:t>Division of Engineering, New York University Abu Dhabi, Abu Dhabi, United Arab Emirates</w:t>
      </w:r>
    </w:p>
    <w:p>
      <w:pPr>
        <w:spacing w:before="0" w:after="0" w:line="240" w:lineRule="auto"/>
        <w:jc w:val="center"/>
      </w:pPr>
      <w:r>
        <w:rPr>
          <w:b/>
          <w:sz w:val="17"/>
        </w:rPr>
        <w:t xml:space="preserve">4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5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6 </w:t>
      </w:r>
      <w:r>
        <w:rPr>
          <w:sz w:val="17"/>
        </w:rPr>
        <w:t>Computational Biology Group, International Centre for Genetic Engineering and Biotechnology (ICGEB), Trieste, Italy</w:t>
      </w:r>
    </w:p>
    <w:p>
      <w:pPr>
        <w:spacing w:before="0" w:after="0" w:line="240" w:lineRule="auto"/>
        <w:jc w:val="center"/>
      </w:pPr>
      <w:r>
        <w:rPr>
          <w:b/>
          <w:sz w:val="17"/>
        </w:rPr>
        <w:t xml:space="preserve">7 </w:t>
      </w:r>
      <w:r>
        <w:rPr>
          <w:sz w:val="17"/>
        </w:rPr>
        <w:t>Translational Bioinformatics Group, International Centre for Genetic Engineering and Biotechnology (ICGEB), Aruna Asaf Ali Marg, New Delhi 110067, India</w:t>
      </w:r>
    </w:p>
    <w:p>
      <w:pPr>
        <w:spacing w:before="0" w:after="0" w:line="240" w:lineRule="auto"/>
        <w:jc w:val="center"/>
      </w:pPr>
      <w:r>
        <w:rPr>
          <w:b/>
          <w:sz w:val="17"/>
        </w:rPr>
        <w:t xml:space="preserve">8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9 </w:t>
      </w:r>
      <w:r>
        <w:rPr>
          <w:sz w:val="17"/>
        </w:rPr>
        <w:t>Department of Chemistry "Ugo Schiff", University of Florence, Sesto Fiorentino, Italy</w:t>
      </w:r>
    </w:p>
    <w:p>
      <w:pPr>
        <w:spacing w:before="0" w:after="0" w:line="240" w:lineRule="auto"/>
        <w:jc w:val="center"/>
      </w:pPr>
      <w:r>
        <w:rPr>
          <w:b/>
          <w:sz w:val="17"/>
        </w:rPr>
        <w:t xml:space="preserve">10 </w:t>
      </w:r>
      <w:r>
        <w:rPr>
          <w:sz w:val="17"/>
        </w:rPr>
        <w:t>Magnetic Resonance Center (CERM), University of Florence, Sesto Fiorentino, Italy</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Author emails: aamilahismail@gmail.com; moussa.kassim@icgeb.org; dalia.ahmed@icgeb.org; dupe.ojo@icgeb.org; vignoli@cerm.unifi.it; tenori@cerm.unifi.it;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 xml:space="preserve">Background. </w:t>
      </w:r>
      <w:r>
        <w:t>Routine haematoxylin and eosin (H&amp;E) slides contain morphological correlates of tumour genotype and microenvironment, but which signals persist across pathology foundation-model pipelines remains unclear. We compared three released whole-slide representations to map cancer-specific predictability of mutations, fusions, genomic instability, RNA-derived pathway activity and derived immune phenotypes.</w:t>
      </w:r>
    </w:p>
    <w:p>
      <w:r>
        <w:rPr>
          <w:b/>
        </w:rPr>
        <w:t>Methods.</w:t>
      </w:r>
      <w:r>
        <w:t xml:space="preserve"> A total of 8,241 patients across 30 The Cancer Genome Atlas (TCGA) cancer types and 3,389 cancer-endpoint pairs were analysed with TITAN, Giga-SSL and Prov-GigaPath representations. Multiple slides were mean-pooled within patients, and identical outcome subsets and nested patient-level folds were used with a common 1-to-20-component partial least-squares regression and linear discriminant classification pipeline. Cross-validated Q² and area under the receiver operating characteristic curve (AUROC) were used as primary metrics; Q² at least 0.20 and AUROC at least 0.60 summarized catalogue breadth. Stability was assessed with alternative partitions and grouping by TCGA tissue-source-site code. A supporting 9,404-patient TITAN screen across 32 cancers was evaluated with permutation and false-discovery-rate control.</w:t>
      </w:r>
    </w:p>
    <w:p>
      <w:r>
        <w:rPr>
          <w:b/>
        </w:rPr>
        <w:t>Results.</w:t>
      </w:r>
      <w:r>
        <w:t xml:space="preserve"> Excluding 11 same-H&amp;E tasks, TITAN, Giga-SSL and Prov-GigaPath crossed the Q² threshold in 633, 351 and 430 of 2,952 cross-modal continuous tasks. They crossed the AUROC threshold in 230, 166 and 176 of 426 binary tasks, including 137, 92 and 98 of 243 directly observed genomic-alteration tasks. Consensus signals included THYM-GTF2I mutation (AUROC 0.904, 0.884 and 0.893), strict COAD microsatellite instability (0.940, 0.851 and 0.857), UCEC fusion status (0.859, 0.661 and 0.705), the published TGCT TGF-beta Response signature (Q² 0.662, 0.647 and 0.601) and TGCT Hallmark TGF-beta signaling (0.519, 0.484 and 0.459), ordered as TITAN, Giga-SSL and Prov-GigaPath. No pipeline led every endpoint. In the supporting TITAN screen, grouping by tissue-source-site code moved 210 of 869 candidates below their original threshold and reduced COAD-APC and READ-APC performance towards chance.</w:t>
      </w:r>
    </w:p>
    <w:p>
      <w:r>
        <w:rPr>
          <w:b/>
        </w:rPr>
        <w:t>Conclusions.</w:t>
      </w:r>
      <w:r>
        <w:t xml:space="preserve"> Histology contained reproducible cross-pipeline signals for mutations, fusions, microsatellite instability, genomic context and derived inflammatory phenotypes. TITAN provided the broadest task-level coverage under this probe, while some endpoints favoured another representation. The atlas and PathoFMPred prioritize candidates for independent validation, but internal TCGA estimates and cohort-structure sensitivity preclude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Digital pathology converts routine haematoxylin-and-eosin whole-slide images into computational data. Pathology foundation models are neural networks pretrained on large and diverse slide collections so that one fixed model can encode each slide as a reusable numerical representation for many downstream tasks. This approach differs from a task-specific convolutional neural network trained separately for one mutation or cancer. The resulting representation can support a compact downstream model even when labelled molecular data are limited. Routine sections also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[4-8]; inferred RNA expression [9-10]; identified institution-associated histology bias [11]; detected gene fusions [12-13]; estimated homologous-recombination deficiency [14]; and characterised tumour-microenvironment phenotypes [15]. Collectively, these studies establish biological plausibility while also showing that performance depends on endpoint, disease, cohort and validation design.</w:t>
      </w:r>
    </w:p>
    <w:p>
      <w:r>
        <w:t>Prior studies established that H&amp;E images can predict mutations, microsatellite instability and other molecular phenotypes, but they used different cohorts, image encoders, endpoints and validation rules. Fu et al. analysed 17,355 slides across 28 cancers [4], Kather et al. applied one workflow to more than 5,000 patients across 14 cancers [5], Saldanha et al. externally tested mutation models across seven matched TCGA and CPTAC cancers [7], and Arslan et al. trained 12,093 models for 4,031 genomic, transcriptomic, proteomic and clinical biomarkers in 8,890 TCGA patients across 32 cancers [8]. These studies provide the biological and methodological context for our matched comparison of released representation pipelines.</w:t>
      </w:r>
    </w:p>
    <w:p>
      <w:r>
        <w:t>The narrower unresolved gap is a reproducible multi-representation atlas that maps, for the same patients and endpoints, how molecular and derived immune-feature associations compare across released pathology representation pipelines under one transparent downstream analysis. We deterministically aggregated slides before outcome matching, validated models at patient level and preserved tested-negative and sample-size-ineligible results. We also created PathoFMPred as a reproducible analysis interface and model registry. Its downloadable Giga-SSL and Prov-GigaPath collections cover a defined subset of atlas tasks, while its TITAN collection remains private pending redistribution permission. We therefore do not present the software as a complete operationalization of the atlas. The matched representation comparison, patient-level analysis and transparent reporting define the study's principal contributions.</w:t>
      </w:r>
    </w:p>
    <w:p>
      <w:r>
        <w:t>Foundation models learn general visual representations from large image collections before a specific downstream task is defined. Vision models such as DINOv2 learn transferable features through self-supervised training [16], and pathology foundation models adapt this principle to tissue tiles or whole-slide images. A pretrained pathology model converts a slide into a fixed numerical vector that can support many cancer-specific analyses without retraining the image encoder. The downstream model still determines how those features are used, so performance reflects the released representation pipeline and the selected prediction method.</w:t>
      </w:r>
    </w:p>
    <w:p>
      <w:r>
        <w:t>We evaluated three released representation pipelines, each comprising its upstream preprocessing, physical-resolution assumptions, encoder architecture, released layer and representation-learning exposure. TITAN is a multimodal whole-slide model trained with visual self-supervision and vision-language alignment; its published Mass-340K pretraining corpus excluded TCGA, although its developers used TCGA for downstream evaluation [17]. Giga-SSL is a gigapixel self-supervised whole-slide representation whose official repository distributes 512-dimensional TCGA embeddings [18]; its developers used TCGA during model development, and we cannot exclude direct overlap between representation-learning images and the slides evaluated here. Prov-GigaPath combines a tile encoder with a long-context slide encoder trained on Providence health-system pathology data; we used the final 768-dimensional slide layer from the public TCGA embedding dataset [19]. We did not fine-tune model weights or use downstream molecular labels during representation learning in this study. Giga-SSL therefore remains label-held-out in downstream cross-validation, although representation learning may have included the evaluation images. We did not harmonise pixel preprocessing or physical input resolution. The matched analysis compares the released representation pipelines under a common 1-to-20-component PLS-based probe rather than isolating intrinsic foundation-model quality.</w:t>
      </w:r>
    </w:p>
    <w:p>
      <w:r>
        <w:t>In this study, a cancer-endpoint pair denotes one TCGA cancer type combined with one outcome, for example COAD with APC mutation or LIHC with the wound-healing score. Each pair defines a cancer-specific prediction task, not a pair of patients. For every eligible pair, we analysed only patients from that cancer who had the required outcome label. We then fitted a separate model for each available representation. In the matched benchmark, we used identical patients and validation folds for TITAN, Giga-SSL and Prov-GigaPath, and we never pooled different cancer types in one prediction model.</w:t>
      </w:r>
    </w:p>
    <w:p>
      <w:r>
        <w:t>We first compared the three representations in the same 8,241 patients, using 3,389 cancer-endpoint tasks and identical validation folds. We then used the larger TITAN cohort for a supporting permutation and multiplicity-controlled screen. Finally, we implemented the fitted research models in PathoFMPred, which selects the appropriate feature schema and cancer-specific model for TITAN, Giga-SSL or Prov-GigaPath input. The package supports reproducible external research testing, but it is not the main scientific result and does not add validation evidence.</w:t>
      </w:r>
    </w:p>
    <w:p>
      <w:r>
        <w:t>Our primary objective was to identify which tumour features routine histology could predict within each cancer and which signals remained visible across TITAN, Giga-SSL and Prov-GigaPath. We evaluated directly observed mutations and fusions, MSI, genome doubling and oncogenic-pathway status, together with sequencing-derived burdens, transcriptomic inflammatory programmes, inferred immune-cell fractions and composite tissue-context phenotypes. We then tested whether the strongest associations persisted across alternative partitions and TCGA tissue-source-site code grouping. Here, predictability means cross-validated agreement with the supplied reference label. It does not imply causality, mechanism, analytical recovery of the originating assay or assay replacement. We did not analyse molecular subtype.</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No structured field for tumour cellularity, tissue area, artefact, biopsy/resection status or slide quality was provided by the available data. 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estimand was therefore defined as complete released representation-pipeline performance under the common probe rather than intrinsic foundation-model quality. Because TCGA was used during Giga-SSL development, molecular labels were held out downstream although representation learning may have included the evaluated images.</w:t>
      </w:r>
    </w:p>
    <w:p>
      <w:r>
        <w:t>Outcome labels were acquired from published TCGA companion resources and were joined by the 12-character participant barcode after representation-specific patient vectors had been constructed. Where a 15-character TCGA sample barcode was supplied by a source, primary-tumour sample type 01 was first retained and eligible molecular rows were then collapsed to one participant-level outcome. Only a participant identifier was supplied by Thorsson. Source-specific and endpoint-specific missingness was retained. A participant absent from a molecular source was not assigned to the negative class. The same TCGA primary-tumour specimen is indicated by an exact 15-character sample match, but use of the same block, portion, analyte, aliquot, tumour region or subclone by the WSI and molecular assay is not proved. The source file, sheet, identifier, filtering, aggregation, missingness and transformation for every outcome group are reported in the supplementary endpoint dictionary and the machine-readable outcome_source_acquisition_map.csv.</w:t>
      </w:r>
    </w:p>
    <w:p>
      <w:r>
        <w:t>Immune, inflammatory and genomic-context features were obtained from the PanImmune_MS sheet of the Thorsson et al. supplementary workbook [20]. Fifty published non-survival, non-subtype and non-aggregate fields were selected, and their published participant-level values were imported rather than recalculated. These comprised 22 relative immune-cell fractions inferred from bulk RNA sequencing by CIBERSORT with the LM22 reference [21]; one methylation-derived leukocyte fraction; ten bulk-RNA expression signatures, including IFN-gamma response, TGF-beta response, wound healing, macrophage regulation, lymphocyte infiltration and Th1, Th2 and Th17 programmes; six BCR/TCR repertoire metrics; two somatic mutation rates; two in-silico neoantigen burdens; six genomic-context quantities; and the Saltz H&amp;E-derived TIL Regional Fraction [22]. Endpoint-specific missing values were retained. The log1p transformation was applied only to silent and nonsilent mutation rates, SNV and indel neoantigen counts and number of segments; every other Thorsson value was used on its published scale. CIBERSORT fractions and inflammatory signatures were therefore interpreted as agreement with published computational reference phenotypes, not as measurements generated directly from the tissue.</w:t>
      </w:r>
    </w:p>
    <w:p>
      <w:r>
        <w:t>RNA pathway-activity outcomes were constructed from the batch-adjusted TCGA Pan-Cancer RNA-sequencing matrix downloaded from UCSC Xena [23] and the MSigDB 2026.1.Hs gene-set release [24].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[25] accessed through the pinned TCGAmutations package, and tested genes were restricted to the tissue-specific driver catalogue in Bailey et al. Table S1 [26].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[27].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[28]; continuous values were averaged across primary samples, and genome doubling was assigned when any primary sample was positive. Fusion calls and the assayed denominator were obtained from the two relevant sheets of Gao et al. Table S1 [29]; unique calls were collapsed by participant, zero was assigned only within the study sample list and fusion burden was log1p-transformed. Finally, MANTIS and MSIsensor fields were downloaded from the cBioPortal TCGA PanCancer Atlas clinical-sample files [30-31];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component-range sensitivity, every selected component across the five outer fits, task-level and outer-fit ceiling frequencies, crossing changes, paired AUROC changes and representation-winner changes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The sensitivity was failed closed on fitting errors, and no fallback estimator was used.</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Model coefficients, representation schema, outcome definition and internal-performance metadata are carried by PathoFMPred, but no validation evidence is created. Contributor-authored package source code and documentation are released under the MIT License. Permitted Giga-SSL and Prov-GigaPath fitted collections are provided as explicit, checksum-verified post-install downloads with separate asset notices and upstream attribution. TITAN-derived fitted parameters are excluded from the public repository because the upstream terms require permission for redistribution. Authorized users can construct and apply a local object with generic package functions.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pipeline scope</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pipeline to the 10,165 slides available in all three datasets left median performance changes near zero. The comparison nevertheless includes each pipeline's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complete released representation pipeline rather than an image-unseen test of isolated foundation-model quality.</w:t>
      </w:r>
    </w:p>
    <w:p>
      <w:r>
        <w:t>Pathology and molecular linkage limited interpretation. In the pathology-text exclusion sensitivity defined in Methods, the original threshold remained for 157/167 models. All four highlighted affected models retained their thresholds; the largest absolute change was SARC Macrophage Regulation Q² from 0.520 to 0.472.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IFN-gamma Response Q² changed from 0.233 to 0.183, Macrophages M0 from 0.211 to 0.163 and TP53 mutation balanced accuracy from 0.617 to 0.589. These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3870960"/>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3870960"/>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which included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the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Supplementary Figure S4 reports the complete paired distributions; representation-specific estimates were correlated but not interchangeable.</w:t>
      </w:r>
    </w:p>
    <w:p>
      <w:r>
        <w:t>We also examined TITAN and Prov-GigaPath separately because their reported pretraining corpora excluded TCGA. For continuous tasks, both pipelines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complete pipelines.</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196/238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0.904/0.884/0.893 for TITAN/Giga-SSL/Prov-GigaPath. THCA BRAF reached 0.886/0.862/0.857, LGG TP53 reached 0.912/0.866/0.872 and LGG IDH1 reached 0.837/0.782/0.840. COAD strict MSI reached AUROC 0.940/0.851/0.857 and PR-AUC 0.805/0.584/0.620, compared with a prevalence and no-skill PR-AUC reference of 0.150. Supplementary Table S4 reports the selected binary tumour-feature results.</w:t>
      </w:r>
    </w:p>
    <w:p>
      <w:r>
        <w:t>Fusion prediction produced a distinct set of results. Among 26 eligible binary fusion cancer-endpoint pairs, 12 crossed AUROC 0.60 with TITAN, 11 with Giga-SSL and 10 with Prov-GigaPath. Five crossed with all three representations: any called fusion in UCEC, LGG, THCA and BLCA, and TMPRSS2-ERG in PRAD. UCEC any called fusion was the strongest example, with 80 positive cases among 152 patients and AUROCs of 0.859, 0.661 and 0.705 for TITAN, Giga-SSL and Prov-GigaPath. THCA CCDC6-RET, with only 20 positive cases among 492 patients, reached 0.806 with TITAN and 0.627 with Giga-SSL but 0.567 with Prov-GigaPath. Continuous fusion burden crossed Q² 0.20 only for UCEC and LGG with TITAN, at 0.385 and 0.220; neither alternative representation crossed for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All three representations captured TGCT TGF-beta response at Q² 0.662/0.647/0.601, THYM Th17 programme at 0.617/0.522/0.425, BLCA leukocyte fraction at 0.364/0.404/0.379, KIRP leukocyte fraction at 0.368/0.401/0.407 and THYM TCR diversity at 0.478/0.455/0.377 for TITAN/Giga-SSL/Prov-GigaPath. The shared set also included proliferation, macrophage regulation, lymphocyte-infiltration, Th1, TGF-beta and stromal-fraction signals in specific cancers. We treated these as agreement with bulk-transcriptomic, methylation-derived, repertoire or composite reference phenotypes rather than direct recovery of immune-cell abundance. All three representations also crossed all 11 same-H&amp;E TIL Regional Fraction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5806440"/>
                    </a:xfrm>
                    <a:prstGeom prst="rect"/>
                  </pic:spPr>
                </pic:pic>
              </a:graphicData>
            </a:graphic>
          </wp:inline>
        </w:drawing>
      </w:r>
    </w:p>
    <w:p>
      <w:pPr>
        <w:pStyle w:val="Caption"/>
        <w:jc w:val="center"/>
      </w:pPr>
      <w:r>
        <w:t>Figure 2. Biological features predictable from the three released pathology representation pipelines. Panel A reports the number of eligible cancer-endpoint pairs reaching Q² at least 0.20 or AUROC at least 0.60 in at least one representation and in all three representations, after excluding the 11 same-H&amp;E TIL-fraction tasks. Panel B shows selected direct genomic and genomic-context examples. Panel C shows selected immune, inflammatory and tissue-context reference phenotypes. Every displayed example crossed in all three representations and retained the threshold after TCGA tissue-source-site code grouping. Points and numerical values follow the order TITAN, Giga-SSL and Prov-GigaPath. The coloured right-hand label identifies the pipeline with the highest observed effect for that pair. The selected examples span outcome classes and cancer contexts; the complete atlas reports every tested pair. Grouped retention is an internal cohort-structure sensitivity, not external validation.</w:t>
      </w:r>
    </w:p>
    <w:p>
      <w:r>
        <w:t>The highest-performing representation differed by feature. TITAN led 14 of the 18 examples in Figure 2, including THYM GTF2I, COAD strict MSI, LGG TP53 mutation and pathway status, THCA BRAF, STAD MSI and several TGCT pathway activities. Prov-GigaPath led COAD genome doubling, THCA any called fusion and KIRP leukocyte fraction. Giga-SSL led the TGCT epithelial-mesenchymal-transition activity. Several margins were small, so we interpret close values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3"/>
              </w:rPr>
              <w:t>Tumour-feature class</w:t>
            </w:r>
          </w:p>
        </w:tc>
        <w:tc>
          <w:tcPr>
            <w:tcW w:type="dxa" w:w="737"/>
            <w:shd w:fill="D9EAF7"/>
          </w:tcPr>
          <w:p>
            <w:pPr>
              <w:spacing w:line="240" w:lineRule="auto" w:after="0"/>
            </w:pPr>
            <w:r>
              <w:rPr>
                <w:b/>
                <w:sz w:val="13"/>
              </w:rPr>
              <w:t>Eligible pairs</w:t>
            </w:r>
          </w:p>
        </w:tc>
        <w:tc>
          <w:tcPr>
            <w:tcW w:type="dxa" w:w="1417"/>
            <w:shd w:fill="D9EAF7"/>
          </w:tcPr>
          <w:p>
            <w:pPr>
              <w:spacing w:line="240" w:lineRule="auto" w:after="0"/>
            </w:pPr>
            <w:r>
              <w:rPr>
                <w:b/>
                <w:sz w:val="13"/>
              </w:rPr>
              <w:t>Effect-threshold crossing in at least 1 representation, n/N (%) [features]</w:t>
            </w:r>
          </w:p>
        </w:tc>
        <w:tc>
          <w:tcPr>
            <w:tcW w:type="dxa" w:w="1417"/>
            <w:shd w:fill="D9EAF7"/>
          </w:tcPr>
          <w:p>
            <w:pPr>
              <w:spacing w:line="240" w:lineRule="auto" w:after="0"/>
            </w:pPr>
            <w:r>
              <w:rPr>
                <w:b/>
                <w:sz w:val="13"/>
              </w:rPr>
              <w:t>Effect-threshold crossing in all 3 representations, n/N (%) [features]</w:t>
            </w:r>
          </w:p>
        </w:tc>
        <w:tc>
          <w:tcPr>
            <w:tcW w:type="dxa" w:w="3061"/>
            <w:shd w:fill="D9EAF7"/>
          </w:tcPr>
          <w:p>
            <w:pPr>
              <w:spacing w:line="240" w:lineRule="auto" w:after="0"/>
            </w:pPr>
            <w:r>
              <w:rPr>
                <w:b/>
                <w:sz w:val="13"/>
              </w:rPr>
              <w:t>Examples represented in all 3</w:t>
            </w:r>
          </w:p>
        </w:tc>
      </w:tr>
      <w:tr>
        <w:trPr>
          <w:cantSplit/>
        </w:trPr>
        <w:tc>
          <w:tcPr>
            <w:tcW w:type="dxa" w:w="1644"/>
            <w:vAlign w:val="center"/>
          </w:tcPr>
          <w:p>
            <w:pPr>
              <w:spacing w:line="240" w:lineRule="auto" w:after="0"/>
            </w:pPr>
            <w:r>
              <w:rPr>
                <w:sz w:val="13"/>
              </w:rPr>
              <w:t>Direct genomic alterations</w:t>
            </w:r>
          </w:p>
        </w:tc>
        <w:tc>
          <w:tcPr>
            <w:tcW w:type="dxa" w:w="737"/>
            <w:vAlign w:val="center"/>
          </w:tcPr>
          <w:p>
            <w:pPr>
              <w:spacing w:line="240" w:lineRule="auto" w:after="0"/>
            </w:pPr>
            <w:r>
              <w:rPr>
                <w:sz w:val="13"/>
              </w:rPr>
              <w:t>243</w:t>
            </w:r>
          </w:p>
        </w:tc>
        <w:tc>
          <w:tcPr>
            <w:tcW w:type="dxa" w:w="1417"/>
            <w:vAlign w:val="center"/>
          </w:tcPr>
          <w:p>
            <w:pPr>
              <w:spacing w:line="240" w:lineRule="auto" w:after="0"/>
            </w:pPr>
            <w:r>
              <w:rPr>
                <w:sz w:val="13"/>
              </w:rPr>
              <w:t>160/243 (65.8%) [91]</w:t>
            </w:r>
          </w:p>
        </w:tc>
        <w:tc>
          <w:tcPr>
            <w:tcW w:type="dxa" w:w="1417"/>
            <w:vAlign w:val="center"/>
          </w:tcPr>
          <w:p>
            <w:pPr>
              <w:spacing w:line="240" w:lineRule="auto" w:after="0"/>
            </w:pPr>
            <w:r>
              <w:rPr>
                <w:sz w:val="13"/>
              </w:rPr>
              <w:t>65/243 (26.7%) [16]</w:t>
            </w:r>
          </w:p>
        </w:tc>
        <w:tc>
          <w:tcPr>
            <w:tcW w:type="dxa" w:w="3061"/>
            <w:vAlign w:val="center"/>
          </w:tcPr>
          <w:p>
            <w:pPr>
              <w:spacing w:line="240" w:lineRule="auto" w:after="0"/>
            </w:pPr>
            <w:r>
              <w:rPr>
                <w:sz w:val="13"/>
              </w:rPr>
              <w:t>GTF2I, BRAF, IDH1, TP53, ATRX, CIC, FGFR3, APC, PTEN and called fusions</w:t>
            </w:r>
          </w:p>
        </w:tc>
      </w:tr>
      <w:tr>
        <w:trPr>
          <w:cantSplit/>
        </w:trPr>
        <w:tc>
          <w:tcPr>
            <w:tcW w:type="dxa" w:w="1644"/>
            <w:vAlign w:val="center"/>
          </w:tcPr>
          <w:p>
            <w:pPr>
              <w:spacing w:line="240" w:lineRule="auto" w:after="0"/>
            </w:pPr>
            <w:r>
              <w:rPr>
                <w:sz w:val="13"/>
              </w:rPr>
              <w:t>Composite genomic-context status</w:t>
            </w:r>
          </w:p>
        </w:tc>
        <w:tc>
          <w:tcPr>
            <w:tcW w:type="dxa" w:w="737"/>
            <w:vAlign w:val="center"/>
          </w:tcPr>
          <w:p>
            <w:pPr>
              <w:spacing w:line="240" w:lineRule="auto" w:after="0"/>
            </w:pPr>
            <w:r>
              <w:rPr>
                <w:sz w:val="13"/>
              </w:rPr>
              <w:t>183</w:t>
            </w:r>
          </w:p>
        </w:tc>
        <w:tc>
          <w:tcPr>
            <w:tcW w:type="dxa" w:w="1417"/>
            <w:vAlign w:val="center"/>
          </w:tcPr>
          <w:p>
            <w:pPr>
              <w:spacing w:line="240" w:lineRule="auto" w:after="0"/>
            </w:pPr>
            <w:r>
              <w:rPr>
                <w:sz w:val="13"/>
              </w:rPr>
              <w:t>108/183 (59.0%) [8]</w:t>
            </w:r>
          </w:p>
        </w:tc>
        <w:tc>
          <w:tcPr>
            <w:tcW w:type="dxa" w:w="1417"/>
            <w:vAlign w:val="center"/>
          </w:tcPr>
          <w:p>
            <w:pPr>
              <w:spacing w:line="240" w:lineRule="auto" w:after="0"/>
            </w:pPr>
            <w:r>
              <w:rPr>
                <w:sz w:val="13"/>
              </w:rPr>
              <w:t>57/183 (31.1%) [8]</w:t>
            </w:r>
          </w:p>
        </w:tc>
        <w:tc>
          <w:tcPr>
            <w:tcW w:type="dxa" w:w="3061"/>
            <w:vAlign w:val="center"/>
          </w:tcPr>
          <w:p>
            <w:pPr>
              <w:spacing w:line="240" w:lineRule="auto" w:after="0"/>
            </w:pPr>
            <w:r>
              <w:rPr>
                <w:sz w:val="13"/>
              </w:rPr>
              <w:t>MSI, genome doubling and TP53, RTK-RAS, HIPPO, WNT and NOTCH pathway status</w:t>
            </w:r>
          </w:p>
        </w:tc>
      </w:tr>
      <w:tr>
        <w:trPr>
          <w:cantSplit/>
        </w:trPr>
        <w:tc>
          <w:tcPr>
            <w:tcW w:type="dxa" w:w="1644"/>
            <w:vAlign w:val="center"/>
          </w:tcPr>
          <w:p>
            <w:pPr>
              <w:spacing w:line="240" w:lineRule="auto" w:after="0"/>
            </w:pPr>
            <w:r>
              <w:rPr>
                <w:sz w:val="13"/>
              </w:rPr>
              <w:t>Sequencing-derived burdens</w:t>
            </w:r>
          </w:p>
        </w:tc>
        <w:tc>
          <w:tcPr>
            <w:tcW w:type="dxa" w:w="737"/>
            <w:vAlign w:val="center"/>
          </w:tcPr>
          <w:p>
            <w:pPr>
              <w:spacing w:line="240" w:lineRule="auto" w:after="0"/>
            </w:pPr>
            <w:r>
              <w:rPr>
                <w:sz w:val="13"/>
              </w:rPr>
              <w:t>413</w:t>
            </w:r>
          </w:p>
        </w:tc>
        <w:tc>
          <w:tcPr>
            <w:tcW w:type="dxa" w:w="1417"/>
            <w:vAlign w:val="center"/>
          </w:tcPr>
          <w:p>
            <w:pPr>
              <w:spacing w:line="240" w:lineRule="auto" w:after="0"/>
            </w:pPr>
            <w:r>
              <w:rPr>
                <w:sz w:val="13"/>
              </w:rPr>
              <w:t>39/413 (9.4%) [8]</w:t>
            </w:r>
          </w:p>
        </w:tc>
        <w:tc>
          <w:tcPr>
            <w:tcW w:type="dxa" w:w="1417"/>
            <w:vAlign w:val="center"/>
          </w:tcPr>
          <w:p>
            <w:pPr>
              <w:spacing w:line="240" w:lineRule="auto" w:after="0"/>
            </w:pPr>
            <w:r>
              <w:rPr>
                <w:sz w:val="13"/>
              </w:rPr>
              <w:t>10/413 (2.4%) [5]</w:t>
            </w:r>
          </w:p>
        </w:tc>
        <w:tc>
          <w:tcPr>
            <w:tcW w:type="dxa" w:w="3061"/>
            <w:vAlign w:val="center"/>
          </w:tcPr>
          <w:p>
            <w:pPr>
              <w:spacing w:line="240" w:lineRule="auto" w:after="0"/>
            </w:pPr>
            <w:r>
              <w:rPr>
                <w:sz w:val="13"/>
              </w:rPr>
              <w:t>MANTIS, aneuploidy, TCR diversity and SNV neoantigens</w:t>
            </w:r>
          </w:p>
        </w:tc>
      </w:tr>
      <w:tr>
        <w:trPr>
          <w:cantSplit/>
        </w:trPr>
        <w:tc>
          <w:tcPr>
            <w:tcW w:type="dxa" w:w="1644"/>
            <w:vAlign w:val="center"/>
          </w:tcPr>
          <w:p>
            <w:pPr>
              <w:spacing w:line="240" w:lineRule="auto" w:after="0"/>
            </w:pPr>
            <w:r>
              <w:rPr>
                <w:sz w:val="13"/>
              </w:rPr>
              <w:t>Transcriptomic signatures</w:t>
            </w:r>
          </w:p>
        </w:tc>
        <w:tc>
          <w:tcPr>
            <w:tcW w:type="dxa" w:w="737"/>
            <w:vAlign w:val="center"/>
          </w:tcPr>
          <w:p>
            <w:pPr>
              <w:spacing w:line="240" w:lineRule="auto" w:after="0"/>
            </w:pPr>
            <w:r>
              <w:rPr>
                <w:sz w:val="13"/>
              </w:rPr>
              <w:t>279</w:t>
            </w:r>
          </w:p>
        </w:tc>
        <w:tc>
          <w:tcPr>
            <w:tcW w:type="dxa" w:w="1417"/>
            <w:vAlign w:val="center"/>
          </w:tcPr>
          <w:p>
            <w:pPr>
              <w:spacing w:line="240" w:lineRule="auto" w:after="0"/>
            </w:pPr>
            <w:r>
              <w:rPr>
                <w:sz w:val="13"/>
              </w:rPr>
              <w:t>101/279 (36.2%) [13]</w:t>
            </w:r>
          </w:p>
        </w:tc>
        <w:tc>
          <w:tcPr>
            <w:tcW w:type="dxa" w:w="1417"/>
            <w:vAlign w:val="center"/>
          </w:tcPr>
          <w:p>
            <w:pPr>
              <w:spacing w:line="240" w:lineRule="auto" w:after="0"/>
            </w:pPr>
            <w:r>
              <w:rPr>
                <w:sz w:val="13"/>
              </w:rPr>
              <w:t>51/279 (18.3%) [12]</w:t>
            </w:r>
          </w:p>
        </w:tc>
        <w:tc>
          <w:tcPr>
            <w:tcW w:type="dxa" w:w="3061"/>
            <w:vAlign w:val="center"/>
          </w:tcPr>
          <w:p>
            <w:pPr>
              <w:spacing w:line="240" w:lineRule="auto" w:after="0"/>
            </w:pPr>
            <w:r>
              <w:rPr>
                <w:sz w:val="13"/>
              </w:rPr>
              <w:t>TGF-beta, IFN-gamma, proliferation, wound healing and Th1, Th2 and Th17 programmes</w:t>
            </w:r>
          </w:p>
        </w:tc>
      </w:tr>
      <w:tr>
        <w:trPr>
          <w:cantSplit/>
        </w:trPr>
        <w:tc>
          <w:tcPr>
            <w:tcW w:type="dxa" w:w="1644"/>
            <w:vAlign w:val="center"/>
          </w:tcPr>
          <w:p>
            <w:pPr>
              <w:spacing w:line="240" w:lineRule="auto" w:after="0"/>
            </w:pPr>
            <w:r>
              <w:rPr>
                <w:sz w:val="13"/>
              </w:rPr>
              <w:t>Inferred immune-cell fractions</w:t>
            </w:r>
          </w:p>
        </w:tc>
        <w:tc>
          <w:tcPr>
            <w:tcW w:type="dxa" w:w="737"/>
            <w:vAlign w:val="center"/>
          </w:tcPr>
          <w:p>
            <w:pPr>
              <w:spacing w:line="240" w:lineRule="auto" w:after="0"/>
            </w:pPr>
            <w:r>
              <w:rPr>
                <w:sz w:val="13"/>
              </w:rPr>
              <w:t>638</w:t>
            </w:r>
          </w:p>
        </w:tc>
        <w:tc>
          <w:tcPr>
            <w:tcW w:type="dxa" w:w="1417"/>
            <w:vAlign w:val="center"/>
          </w:tcPr>
          <w:p>
            <w:pPr>
              <w:spacing w:line="240" w:lineRule="auto" w:after="0"/>
            </w:pPr>
            <w:r>
              <w:rPr>
                <w:sz w:val="13"/>
              </w:rPr>
              <w:t>31/638 (4.9%) [7]</w:t>
            </w:r>
          </w:p>
        </w:tc>
        <w:tc>
          <w:tcPr>
            <w:tcW w:type="dxa" w:w="1417"/>
            <w:vAlign w:val="center"/>
          </w:tcPr>
          <w:p>
            <w:pPr>
              <w:spacing w:line="240" w:lineRule="auto" w:after="0"/>
            </w:pPr>
            <w:r>
              <w:rPr>
                <w:sz w:val="13"/>
              </w:rPr>
              <w:t>13/638 (2.0%) [5]</w:t>
            </w:r>
          </w:p>
        </w:tc>
        <w:tc>
          <w:tcPr>
            <w:tcW w:type="dxa" w:w="3061"/>
            <w:vAlign w:val="center"/>
          </w:tcPr>
          <w:p>
            <w:pPr>
              <w:spacing w:line="240" w:lineRule="auto" w:after="0"/>
            </w:pPr>
            <w:r>
              <w:rPr>
                <w:sz w:val="13"/>
              </w:rPr>
              <w:t>leukocyte, naive B-cell, M2-macrophage and regulatory T-cell fractions</w:t>
            </w:r>
          </w:p>
        </w:tc>
      </w:tr>
      <w:tr>
        <w:trPr>
          <w:cantSplit/>
        </w:trPr>
        <w:tc>
          <w:tcPr>
            <w:tcW w:type="dxa" w:w="1644"/>
            <w:vAlign w:val="center"/>
          </w:tcPr>
          <w:p>
            <w:pPr>
              <w:spacing w:line="240" w:lineRule="auto" w:after="0"/>
            </w:pPr>
            <w:r>
              <w:rPr>
                <w:sz w:val="13"/>
              </w:rPr>
              <w:t>Continuous genomic-context scores</w:t>
            </w:r>
          </w:p>
        </w:tc>
        <w:tc>
          <w:tcPr>
            <w:tcW w:type="dxa" w:w="737"/>
            <w:vAlign w:val="center"/>
          </w:tcPr>
          <w:p>
            <w:pPr>
              <w:spacing w:line="240" w:lineRule="auto" w:after="0"/>
            </w:pPr>
            <w:r>
              <w:rPr>
                <w:sz w:val="13"/>
              </w:rPr>
              <w:t>166</w:t>
            </w:r>
          </w:p>
        </w:tc>
        <w:tc>
          <w:tcPr>
            <w:tcW w:type="dxa" w:w="1417"/>
            <w:vAlign w:val="center"/>
          </w:tcPr>
          <w:p>
            <w:pPr>
              <w:spacing w:line="240" w:lineRule="auto" w:after="0"/>
            </w:pPr>
            <w:r>
              <w:rPr>
                <w:sz w:val="13"/>
              </w:rPr>
              <w:t>35/166 (21.1%) [9]</w:t>
            </w:r>
          </w:p>
        </w:tc>
        <w:tc>
          <w:tcPr>
            <w:tcW w:type="dxa" w:w="1417"/>
            <w:vAlign w:val="center"/>
          </w:tcPr>
          <w:p>
            <w:pPr>
              <w:spacing w:line="240" w:lineRule="auto" w:after="0"/>
            </w:pPr>
            <w:r>
              <w:rPr>
                <w:sz w:val="13"/>
              </w:rPr>
              <w:t>11/166 (6.6%) [4]</w:t>
            </w:r>
          </w:p>
        </w:tc>
        <w:tc>
          <w:tcPr>
            <w:tcW w:type="dxa" w:w="3061"/>
            <w:vAlign w:val="center"/>
          </w:tcPr>
          <w:p>
            <w:pPr>
              <w:spacing w:line="240" w:lineRule="auto" w:after="0"/>
            </w:pPr>
            <w:r>
              <w:rPr>
                <w:sz w:val="13"/>
              </w:rPr>
              <w:t>aneuploidy, fraction altered, homologous-recombination defects, segment count and stromal fraction</w:t>
            </w:r>
          </w:p>
        </w:tc>
      </w:tr>
      <w:tr>
        <w:trPr>
          <w:cantSplit/>
        </w:trPr>
        <w:tc>
          <w:tcPr>
            <w:tcW w:type="dxa" w:w="1644"/>
            <w:vAlign w:val="center"/>
          </w:tcPr>
          <w:p>
            <w:pPr>
              <w:spacing w:line="240" w:lineRule="auto" w:after="0"/>
            </w:pPr>
            <w:r>
              <w:rPr>
                <w:sz w:val="13"/>
              </w:rPr>
              <w:t>Same-H&amp;E TIL fraction</w:t>
            </w:r>
          </w:p>
        </w:tc>
        <w:tc>
          <w:tcPr>
            <w:tcW w:type="dxa" w:w="737"/>
            <w:vAlign w:val="center"/>
          </w:tcPr>
          <w:p>
            <w:pPr>
              <w:spacing w:line="240" w:lineRule="auto" w:after="0"/>
            </w:pPr>
            <w:r>
              <w:rPr>
                <w:sz w:val="13"/>
              </w:rPr>
              <w:t>11</w:t>
            </w:r>
          </w:p>
        </w:tc>
        <w:tc>
          <w:tcPr>
            <w:tcW w:type="dxa" w:w="1417"/>
            <w:vAlign w:val="center"/>
          </w:tcPr>
          <w:p>
            <w:pPr>
              <w:spacing w:line="240" w:lineRule="auto" w:after="0"/>
            </w:pPr>
            <w:r>
              <w:rPr>
                <w:sz w:val="13"/>
              </w:rPr>
              <w:t>11/11 (100.0%) [1]</w:t>
            </w:r>
          </w:p>
        </w:tc>
        <w:tc>
          <w:tcPr>
            <w:tcW w:type="dxa" w:w="1417"/>
            <w:vAlign w:val="center"/>
          </w:tcPr>
          <w:p>
            <w:pPr>
              <w:spacing w:line="240" w:lineRule="auto" w:after="0"/>
            </w:pPr>
            <w:r>
              <w:rPr>
                <w:sz w:val="13"/>
              </w:rPr>
              <w:t>10/11 (90.9%) [1]</w:t>
            </w:r>
          </w:p>
        </w:tc>
        <w:tc>
          <w:tcPr>
            <w:tcW w:type="dxa" w:w="3061"/>
            <w:vAlign w:val="center"/>
          </w:tcPr>
          <w:p>
            <w:pPr>
              <w:spacing w:line="240" w:lineRule="auto" w:after="0"/>
            </w:pPr>
            <w:r>
              <w:rPr>
                <w:sz w:val="13"/>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8/38 pairs. Giga-SSL led 22/110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Numbers inside bars are pair counts.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were estimable. ACC genome doubling was not estimable for any representation because one inner training partition contained a single class.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the patient-level predictions behind one of the strongest shared continuous results. The published TGCT TGF-beta Response expression signature had the highest mean Q² among continuous cancer-endpoint pairs that crossed Q² 0.20 with all three representations. We plotted every held-out patient once for each representation, using the same observed reference values and the model-specific outer-fold prediction. This Thorsson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148 patients. The dashed line marks perfect agreement and the coloured line shows the fitted linear trend. Q² was 0.662 for TITAN, 0.647 for Giga-SSL and 0.601 for Prov-GigaPath; the corresponding Spearman correlations were 0.788, 0.799 and 0.784.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predictable for that cancer and representation: 15 for TITAN, 12 for Giga-SSL and 14 for Prov-GigaPath. Corner labels give original predictions in source units. Radius gives the internal TCGA out-of-fold reference percentile, not a probability or clinical reference interval. The examples do not evaluate calibration, treatment response, external validation or clinical utility.</w:t>
      </w:r>
    </w:p>
    <w:p>
      <w:r>
        <w:t>PathoFMPred applies only models that met the recorded predictability rule for the selected cancer and representation. Figure 5 illustrates this behaviour for two post hoc COAD examples. TITAN returned 15 predictable continuous endpoints per patient, Giga-SSL returned 12 and Prov-GigaPath returned 14. The differing radar axes are intentional: an endpoint is absent when the corresponding representation did not cross its threshold or when no eligible fitted object is available. The corners report original predictions in source units, while the radius uses an internal TCGA out-of-fold reference percentile only to place differently scaled outcomes on one display.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Complete predictable binary PathoFMPred output for the same two COAD examples using TITAN, Giga-SSL and Prov-GigaPath. The figure includes every binary endpoint returned for at least one representation: genome doubling; APC, KRAS and TP53 mutation status; broad and strict MANTIS-based MSI-H status; and MYC and TP53 pathway status. TITAN returned eight endpoints, while Giga-SSL and Prov-GigaPath returned seven each. Grey cells indicate that a representation did not return an eligible threshold-crossing fitted object. Each populated cell reports the direct class call, original uncalibrated LDA score and internal TCGA reference-score rank. Reference rank, not probability: raw LDA scores and ranks cannot be interpreted as calibrated probabilities or compared across models.</w:t>
      </w:r>
    </w:p>
    <w:p>
      <w:r>
        <w:t>Figure 6 shows the complete binary output rather than a three-mutation subset. For TCGA-AA-A01F, all three representations called APC and TP53 mutation wild type; Giga-SSL alone called KRAS mutated and genome doubling present; TITAN and Prov-GigaPath called TP53 pathway status altered, while Giga-SSL called it unaltered. For TCGA-A6-A56B, all three called APC mutated; Giga-SSL and Prov-GigaPath called KRAS mutated; TITAN and Prov-GigaPath called TP53 mutation mutated; and all three called TP53 pathway status altered. Giga-SSL and Prov-GigaPath called genome doubling present in TCGA-A6-A56B, while TITAN called it absent. None of the six patient-representation combinations received an MSI-H call. TITAN alone returned a MYC pathway model and called both patients unaltered. Together, Figures 5 and 6 show every continuous and binary model that PathoFMPred returned for these COAD examples. The examples demonstrate the software interface and do not establish correctness, calibration, treatment response, external validity or clinical utility.</w:t>
      </w:r>
    </w:p>
    <w:p>
      <w:pPr>
        <w:pStyle w:val="Heading1"/>
      </w:pPr>
      <w:r>
        <w:t>Discussion</w:t>
      </w:r>
    </w:p>
    <w:p>
      <w:r>
        <w:t>The central biological result is a reproducible cross-representation set of cancer-specific histomolecular associations. Direct genomic alterations produced the broadest signal: at least one representation crossed in 160/243 tasks and all three crossed in 65. The strongest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pipeline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pipeline for every task. Because small differences, alternative folds and a wider component grid changed some ranks, the atlas reports the full three-model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The expanded 1-20-component analysis retained the primary leader for 323/366 binary pairs and changed it for 43. Continuous effects, paired variability, ranks and grouped-minus-matched-random changes therefore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[4]. Loeffler et al. compared gene and oncogenic-pathway prediction [6]. Dadhania et al. predicted ERG rearrangement in prostate cancer, and Mayer et al. predicted ALK and ROS1 fusions in lung cancer [12-13]. HE2RNA, regression-based biomarker studies and HistoTME predicted transcriptomic or tumour-microenvironment reference phenotypes [9-10,15], while Arslan et al. screened thousands of multi-omic biomarkers across the same 32 TCGA cancers [8]. Our principal innovation is the unified patient-level comparison of these feature classes across three released representation pipelines,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records conversion scripts, exact source locations, access conditions and SHA-256 checksums [32]. We do not redistribute controlled-access whole-slide images; the cited sources provide access to TCGA molecular data. We intend to archive the analysis code and synchronized complete-resolution result companions as a versioned release. After the authors approve and archive the exact submission snapshot, they must insert the final release tag, immutable commit and persistent DOI. These items remain blockers before acceptance, and the present working tree does not represent that archive. PathoFMPred source code is released under the MIT licence. The public package contains a minimal Giga-SSL fixture and offers explicit user-invoked downloads of the permitted Giga-SSL and Prov-GigaPath fitted collections, whose asset terms and upstream attribution are stated separately. The TITAN fitted collection is excluded from the public repository and retained only in the private collaboration repository pending written redistribution permission. Users may build a local object from independently obtained compatible representations and outcomes. None of the fitted objects is externally validated or intended for clinical use.</w:t>
      </w:r>
    </w:p>
    <w:p>
      <w:pPr>
        <w:pStyle w:val="Heading2"/>
      </w:pPr>
      <w:r>
        <w:t>Competing interests</w:t>
      </w:r>
    </w:p>
    <w:p>
      <w:r>
        <w:t>Pending corresponding-author confirmation before submission. The analysis files do not contain a verified competing-interest declaration, so the statement cannot be completed without author input.</w:t>
      </w:r>
    </w:p>
    <w:p>
      <w:pPr>
        <w:pStyle w:val="Heading2"/>
      </w:pPr>
      <w:r>
        <w:t>Funding</w:t>
      </w:r>
    </w:p>
    <w:p>
      <w:r>
        <w:t>Pending corresponding-author confirmation before submission. The analysis files do not identify verified funders, grant numbers or a no-specific-funding statement.</w:t>
      </w:r>
    </w:p>
    <w:p>
      <w:pPr>
        <w:pStyle w:val="Heading2"/>
      </w:pPr>
      <w:r>
        <w:t>Authors’ contributions</w:t>
      </w:r>
    </w:p>
    <w:p>
      <w:r>
        <w:t>Pending approval by all authors before submission. A factual CRediT statement requires author confirmation of conceptualization, data curation, formal analysis, investigation, methodology, software, supervision, validation, visualization, writing and project-administration roles.</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Loeffler CML, et al. Predicting mutational status of driver and suppressor genes directly from histopathology with deep learning. Front Genet. 2022;12:806386. doi:10.3389/fgene.2021.806386.</w:t>
      </w:r>
    </w:p>
    <w:p>
      <w:r>
        <w:t>7. Saldanha OL, et al. Self-supervised attention-based deep learning for pan-cancer mutation prediction from histopathology. npj Precis Oncol. 2023;7:35. doi:10.1038/s41698-023-00365-0.</w:t>
      </w:r>
    </w:p>
    <w:p>
      <w:r>
        <w:t>8. Arslan S, et al. A systematic pan-cancer study on deep learning-based prediction of multi-omic biomarkers from routine pathology images. Commun Med. 2024;4:48. doi:10.1038/s43856-024-00471-5.</w:t>
      </w:r>
    </w:p>
    <w:p>
      <w:r>
        <w:t>9. Schmauch B, et al. A deep learning model to predict RNA-Seq expression of tumours from whole slide images. Nat Commun. 2020;11:3877. doi:10.1038/s41467-020-17678-4.</w:t>
      </w:r>
    </w:p>
    <w:p>
      <w:r>
        <w:t>10. El Nahhas OSM, et al. Regression-based deep-learning predicts molecular biomarkers from pathology slides. Nat Commun. 2024;15:1253. doi:10.1038/s41467-024-45589-1.</w:t>
      </w:r>
    </w:p>
    <w:p>
      <w:r>
        <w:t>11. Howard FM, et al. The impact of site-specific digital histology signatures on deep learning model accuracy and bias. Nat Commun. 2021;12:4423. doi:10.1038/s41467-021-24698-1.</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Oquab M, Darcet T, Moutakanni T, et al. DINOv2: learning robust visual features without supervision. Trans Mach Learn Res. 2024. https://openreview.net/forum?id=a68SUt6zFt.</w:t>
      </w:r>
    </w:p>
    <w:p>
      <w:r>
        <w:t>17. Ding T, et al. A multimodal whole-slide foundation model for pathology. Nat Med. 2025;31:3749–3761. doi:10.1038/s41591-025-03982-3.</w:t>
      </w:r>
    </w:p>
    <w:p>
      <w:r>
        <w:t>18. Lazard T, Lerousseau M, Decencière E, Walter T. Giga-SSL: self-supervised learning for gigapixel images. In: Proceedings of the IEEE/CVF Conference on Computer Vision and Pattern Recognition Workshops. 2023. p. 4305–4314.</w:t>
      </w:r>
    </w:p>
    <w:p>
      <w:r>
        <w:t>19. Xu H, et al. A whole-slide foundation model for digital pathology from real-world data. Nature. 2024;630:181–188. doi:10.1038/s41586-024-07441-w.</w:t>
      </w:r>
    </w:p>
    <w:p>
      <w:r>
        <w:t>20. Thorsson V, et al. The Immune Landscape of Cancer. Immunity. 2018;48:812–830.e14. doi:10.1016/j.immuni.2018.03.023.</w:t>
      </w:r>
    </w:p>
    <w:p>
      <w:r>
        <w:t>21. Newman AM, et al. Robust enumeration of cell subsets from tissue expression profiles. Nat Methods. 2015;12:453–457. doi:10.1038/nmeth.3337.</w:t>
      </w:r>
    </w:p>
    <w:p>
      <w:r>
        <w:t>22. Saltz J, et al. Spatial organization and molecular correlation of tumor-infiltrating lymphocytes using deep learning on pathology images. Cell Rep. 2018;23:181–193.e7. doi:10.1016/j.celrep.2018.03.086.</w:t>
      </w:r>
    </w:p>
    <w:p>
      <w:r>
        <w:t>23. Goldman MJ, Craft B, Hastie M, et al. Visualizing and interpreting cancer genomics data via the Xena platform. Nat Biotechnol. 2020;38:675-678. doi:10.1038/s41587-020-0546-8.</w:t>
      </w:r>
    </w:p>
    <w:p>
      <w:r>
        <w:t>24. Liberzon A, Birger C, Thorvaldsdottir H, Ghandi M, Mesirov JP, Tamayo P. The Molecular Signatures Database Hallmark Gene Set Collection. Cell Syst. 2015;1:417-425. doi:10.1016/j.cels.2015.12.004.</w:t>
      </w:r>
    </w:p>
    <w:p>
      <w:r>
        <w:t>25. Ellrott K, et al. Scalable open science approach for mutation calling of tumor exomes. Cell Syst. 2018;6:271–281.e7. doi:10.1016/j.cels.2018.03.002.</w:t>
      </w:r>
    </w:p>
    <w:p>
      <w:r>
        <w:t>26. Bailey MH, et al. Comprehensive characterization of cancer driver genes and mutations. Cell. 2018;173:371–385.e18. doi:10.1016/j.cell.2018.02.060.</w:t>
      </w:r>
    </w:p>
    <w:p>
      <w:r>
        <w:t>27. Sanchez-Vega F, et al. Oncogenic signaling pathways in The Cancer Genome Atlas. Cell. 2018;173:321–337.e10. doi:10.1016/j.cell.2018.03.035.</w:t>
      </w:r>
    </w:p>
    <w:p>
      <w:r>
        <w:t>28. Taylor AM, et al. Genomic and functional approaches to understanding cancer aneuploidy. Cancer Cell. 2018;33:676–689.e3. doi:10.1016/j.ccell.2018.03.007.</w:t>
      </w:r>
    </w:p>
    <w:p>
      <w:r>
        <w:t>29. Gao Q, et al. Driver fusions and their implications in the development and treatment of human cancers. Cell Rep. 2018;23:227–238.e3. doi:10.1016/j.celrep.2018.03.050.</w:t>
      </w:r>
    </w:p>
    <w:p>
      <w:r>
        <w:t>30. Bonneville R, et al. Landscape of microsatellite instability across 39 cancer types. JCO Precis Oncol. 2017;2017:PO.17.00073. doi:10.1200/PO.17.00073.</w:t>
      </w:r>
    </w:p>
    <w:p>
      <w:r>
        <w:t>31. Cerami E, et al. The cBio cancer genomics portal: an open platform for exploring multidimensional cancer genomics data. Cancer Discov. 2012;2:401–404. doi:10.1158/2159-8290.CD-12-0095.</w:t>
      </w:r>
    </w:p>
    <w:p>
      <w:r>
        <w:t>32. Pathology foundation-model patient-level benchmark repository. GitHub. https://github.com/tkcaccia/titan-prediction. Accessed 20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20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