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w:t>
      </w:r>
    </w:p>
    <w:p>
      <w:r>
        <w:t>Manuscript: A systematic patient-level benchmark and reusable model resource for molecular and immune prediction from pretrained TITAN whole-slide representations across 32 TCGA cancers</w:t>
      </w:r>
    </w:p>
    <w:p>
      <w:r>
        <w:t>We thank the reviewer for identifying validation and reproducibility as the principal issues. The analysis has been rebuilt from the original files with patient-first slide aggregation and primary-tumour molecular matching.</w:t>
      </w:r>
    </w:p>
    <w:p>
      <w:pPr>
        <w:pStyle w:val="Heading1"/>
      </w:pPr>
      <w:r>
        <w:t>1. The novelty relative to existing pan-cancer studies must be defined much more sharply</w:t>
      </w:r>
    </w:p>
    <w:p>
      <w:r>
        <w:t>Agreed. We changed the title and abstract to frame the work as a systematic patient-level benchmark and reusable model resource, not a discovery atlas or a first pan-cancer molecular screen. The Background now quantifies the closest precedents: Fu et al. analysed 17,355 slides across 28 cancers; Kather et al. used more than 5,000 patients across 14 cancers; Saldanha et al. externally tested mutation models in seven matched TCGA/CPTAC cancers; and Arslan et al. trained 12,093 models for 4,031 biomarkers in 8,890 TCGA patients across the same 32 cancers. New main-text Table 1 compares patients, slides, endpoint classes, representation, patient aggregation, validation, site sensitivity, external validation, negative/ineligible reporting and fitted-predictor availability. The abstract and Discussion now state that 38/41 screen-positive cancer–gene pairs had prior statistical support. We make no general mutation-target novelty claim; the distinctive contribution is the fixed pretrained TITAN representation, deterministic pre-outcome patient aggregation, nested patient-level validation, complete negative and ineligible outputs, target-level site sensitivity, continuous immune/genomic-context modelling and compact fitted-model distribution. The comparison is also released as data/reference/pan_cancer_benchmark_comparison.csv.</w:t>
      </w:r>
    </w:p>
    <w:p>
      <w:pPr>
        <w:pStyle w:val="Heading1"/>
      </w:pPr>
      <w:r>
        <w:t>Audit comment: continuous repeated cross-validation returned negative Q² and near-zero correlation</w:t>
      </w:r>
    </w:p>
    <w:p>
      <w:r>
        <w:t>Confirmed and corrected. fastPLS returns continuous predictions as an n-by-1-by-1 array. The previous repeated-validation helper used Ypred[[1]], which extracted one scalar and silently recycled it across every patient in the held-out fold. The revised helper drops only singleton dimensions, verifies that the prediction length equals the held-out patient count, and then assigns one prediction per patient. A targeted COAD TIL Regional Fraction check agreed with pls.double.cv (corrected Q² 0.430 and Spearman 0.701 versus 0.377 and 0.655 with the independent routine). We invalidated the affected analysis fingerprint and regenerated all repeated continuous predictions, summaries, uncertainty intervals, reference distributions, figures and reports. Across the 219 screen-positive continuous models, corrected mean repeated-CV Q² values are now positive, with median Q² 0.300 and median Spearman correlation 0.553.</w:t>
      </w:r>
    </w:p>
    <w:p>
      <w:pPr>
        <w:pStyle w:val="Heading1"/>
      </w:pPr>
      <w:r>
        <w:t>Audit comment: continuous radar reference positions inherited the broken predictions</w:t>
      </w:r>
    </w:p>
    <w:p>
      <w:r>
        <w:t>Confirmed. The fitted full-cohort predictions were not affected, but the TCGA out-of-fold reference distributions used for radar positions were. TITANPred's prediction_reference.rds was rebuilt from the corrected repeated held-out predictions, the package was reinstalled, and the COAD reports and Figure 7 were regenerated. The original model prediction remains printed at every radar corner.</w:t>
      </w:r>
    </w:p>
    <w:p>
      <w:pPr>
        <w:pStyle w:val="Heading1"/>
      </w:pPr>
      <w:r>
        <w:t>3. Site sensitivity is a central result, not a supplementary robustness check</w:t>
      </w:r>
    </w:p>
    <w:p>
      <w:r>
        <w:t>Addressed as a principal analysis. Main Figure 6 now has three panels: all 323 random-fold versus tissue-source-site-grouped results; the largest target-level attenuations, including READ–APC (balanced accuracy 0.862 to 0.495) and COAD–APC (0.793 to 0.543); and the new within-cancer tissue-source-site prediction analysis. Main Table 3 now reports the grouped metric and warning status beside every highlighted model. The public analysis registry and access-controlled TITANPred registry contain the grouped metric, delta, number of sites, threshold-retention flag, near-chance flag, validation scope and warning for all 323 models; inference outputs and reports display these fields and prominently warn about site-sensitive models. We report that 83/323 models (25.7%) fell below the original threshold: 58/219 continuous and 25/104 binary. The fold audit provides all 1,613 outer-fold compositions with test/training patients, sites, positive and negative cases, site identifiers and seeds; selected APC folds appear in Table S10c. We confirmed from both the implementation and deterministic fold reconstruction that the tissue-source-site constraint was passed to inner component selection as well as outer evaluation, with no site overlap. In the new five-repeat nested PLS–LDA analysis, TITAN predicted tissue-source site in 27/32 evaluable cancers; median multiclass macro balanced accuracy was 0.628. We consistently call the endpoint sensitivity 'TCGA tissue-source-site-grouped internal validation' and state that tissue-source site is an imperfect proxy; neither retained performance nor site classification proves institutional or scanner-level transportability.</w:t>
      </w:r>
    </w:p>
    <w:p>
      <w:pPr>
        <w:pStyle w:val="Heading1"/>
      </w:pPr>
      <w:r>
        <w:t>Audit comment: mutation novelty was overstated</w:t>
      </w:r>
    </w:p>
    <w:p>
      <w:r>
        <w:t>Confirmed. The exact-code crosswalk missed pooled colorectal studies and did not include newer pan-cancer source data. We expanded the audit using Kather et al., Saldanha et al., Arslan et al. and a clearly labelled ovarian preprint. Of 41 screen-positive mutation pairs, 38 were previously supported, 2 had been evaluated without statistical support, and only THYM–GTF2I was not identified in the reviewed predictive-model literature. All 'atlas-nominated' novelty language was removed. The revised Table S10a records evidence class, cancer scope, prior metric, source and note for every pair.</w:t>
      </w:r>
    </w:p>
    <w:p>
      <w:pPr>
        <w:pStyle w:val="Heading1"/>
      </w:pPr>
      <w:r>
        <w:t>Audit comment: PLS lacked a simple exportable baseline</w:t>
      </w:r>
    </w:p>
    <w:p>
      <w:r>
        <w:t>Addressed with a same-fold repeated nested benchmark of the 24 highlighted models against ridge Gaussian or logistic regression. After correction of the binary decision-rule asymmetry described below, median ridge-minus-PLS differences were 0.014 Q² for continuous models and 0.004 AUROC for binary models; the corresponding symmetrically thresholded binary balanced-accuracy difference was 0.005. We therefore make no claim of uniform PLS superiority. Because the benchmark is conditional on PLS-based endpoint highlighting, the prespecified PLS atlas is retained rather than adding post-selection method switching. Ridge was selected as the baseline because its fitted coefficients are portable without retaining training embeddings; primary and secondary paired results are supplied in Table S10e and CSV.</w:t>
      </w:r>
    </w:p>
    <w:p>
      <w:pPr>
        <w:pStyle w:val="Heading1"/>
      </w:pPr>
      <w:r>
        <w:t>4. The binary modelling and ridge comparison use asymmetric decision rules</w:t>
      </w:r>
    </w:p>
    <w:p>
      <w:r>
        <w:t>Confirmed and corrected. The prespecified atlas continues to use the fitted PLS–LDA class rule with observed training-fold priors, but that rule is no longer compared against a ridge classifier given an optimised balanced-accuracy threshold. We reran all 12 highlighted binary comparisons across five repeats. PLS–LDA and ridge now receive identical outer folds and identical inner folds. Within each outer training set, each method's operating threshold is selected from its own inner out-of-fold continuous scores by the identical rule of maximising balanced accuracy; the outer test fold remains untouched. PLS component count and ridge penalty are also selected within the outer training data. Threshold-independent AUROC is now the primary binary algorithm-comparison metric, with symmetrically thresholded balanced accuracy reported as a secondary metric. The median ridge-minus-PLS AUROC difference was 0.004 (IQR -0.001 to 0.010); one endpoint favoured ridge and 11 were uncertain. The median balanced-accuracy difference was 0.005 (IQR 0.001 to 0.012); one endpoint favoured ridge and 11 were uncertain. The complete 60 repeat-level comparisons record the fold symmetry and threshold rule in results/tables/binary_symmetric_pls_ridge_repeated_nested_cv.csv. Methods, Results, Discussion and Supplementary Table S10e were revised, and the earlier asymmetric comparison is no longer interpreted.</w:t>
      </w:r>
    </w:p>
    <w:p>
      <w:pPr>
        <w:pStyle w:val="Heading1"/>
      </w:pPr>
      <w:r>
        <w:t>5. The multiplicity framework is thoughtful but remains resolution-limited</w:t>
      </w:r>
    </w:p>
    <w:p>
      <w:r>
        <w:t>Addressed at the analysis and reporting levels. We now state unambiguously that every patient-label permutation reruns the complete nested modelling process: training-fold centering, inner five-fold selection of 1–10 components, outer-fold refitting and held-out prediction. No scaling parameter, selected component count or outer prediction is reused from the observed-label model. For every completed permutation test we added exact two-sided 95% Clopper–Pearson Monte Carlo bounds for the underlying null exceedance probability. Among completed 999-permutation tests, 308 had zero exceedances; their finite empirical p-value is 0.001 but the interval is 0–0.003686. Conservatively early-stopped tests retain p=1 and are explicitly marked as censored rather than given a precision interval. Before generating high-resolution results, we locked TGCT TGF-beta Response, THYM Th17 Cells, THCA Lymphocyte Infiltration Signature Score, BRCA Wound Healing, COAD APC, THYM GTF2I, COAD strict MSI-H and UCEC any-called-fusion; the registry was recorded in Git commit ac30ccb before the result table existed. We continued their saved deterministic permutation streams from 999 to 9,999 complete-process permutations. 8/8 had zero exceedances; refined p-values were all 0.0001. These refined values are reported as a targeted precision sensitivity and were not substituted into the prespecified FDR screen. We also added outcome-wide and single atlas-wide BH sensitivities. Of 323 locally controlled candidates, 320 passed one BH correction across all 2,073 eligible tests. The manuscript now says explicitly that the aggregate candidate count is not itself a single global 5% FDR result. Figures and tables are ordered by predictive effect magnitude, with repeated and site-grouped stability reported alongside; tied permutation q-values are not used for ranking. Full endpoint-level uncertainty, atlas-wide q-values, the locked target registry and 9,999-permutation results are supplied in machine-readable files and Supplementary Table S10f.</w:t>
      </w:r>
    </w:p>
    <w:p>
      <w:pPr>
        <w:pStyle w:val="Heading1"/>
      </w:pPr>
      <w:r>
        <w:t>6. The minimum binary class requirement is too permissive for headline and distributed models</w:t>
      </w:r>
    </w:p>
    <w:p>
      <w:r>
        <w:t>Agreed. We retained the prespecified 20-per-class rule only for an inclusive, fully reported atlas screen, and added a separate ≥50-per-class evidence standard. Of 459 eligible binary cancer–endpoint pairs, 244 (53.2%) met the stricter rule. Of 104 screen-positive binary models, 87 (83.7%) met it; the remaining 17 are now labelled exploratory/limited evidence and excluded from default TITANPred inference. None of the main highlighted binary models is limited evidence. For all 104 candidates we released all 2,600 repeated outer-fold class counts, all 2,600 outer-fit component selections with reconstructed inner-fold class minima, repeat-specific PR-AUC, TCGA-prevalence PPV/NPV, and score/call stability. The smallest outer test fold contained 4 positive and 6 negative patients; within the limited subset the exact inner partitions contained as few as 12 positive training and 3 positive validation patients. For all 17 limited models we ran fixed-outer-test learning curves at 50%, 75% and 100% of the training data. Median balanced accuracy was 0.603, 0.640 and 0.636; median AUROC was 0.679, 0.730 and 0.738. Supplementary Table S10g and Figure S3 show endpoint-level counts, PR-AUC, predictive values, components, learning curves and repeat stability. The registry and inference output expose the evidence tier, default status and reliability metadata; explicit opt-in to a limited model emits a warning. PPV/NPV are labelled cohort-specific and the binary score remains explicitly uncalibrated and not a probability.</w:t>
      </w:r>
    </w:p>
    <w:p>
      <w:pPr>
        <w:pStyle w:val="Heading1"/>
      </w:pPr>
      <w:r>
        <w:t>Audit comment: the Introduction did not state the gap</w:t>
      </w:r>
    </w:p>
    <w:p>
      <w:r>
        <w:t>Addressed. The Background now states explicitly that breadth is not the gap after the large pan-cancer studies by Fu, Kather, Saldanha and especially Arslan. It defines the narrower gap as a reproducible patient-level benchmark using one fixed pretrained representation, deterministic slide aggregation, one nested validation framework, complete negative and ineligible reporting, target-level site sensitivity and compact fitted research models.</w:t>
      </w:r>
    </w:p>
    <w:p>
      <w:pPr>
        <w:pStyle w:val="Heading1"/>
      </w:pPr>
      <w:r>
        <w:t>Audit comment: binary percentiles could be mistaken for probabilities and small classes were not visible</w:t>
      </w:r>
    </w:p>
    <w:p>
      <w:r>
        <w:t>Addressed by relabelling rather than adding an unevaluated post-hoc calibration layer. Binary displays use 'TCGA out-of-fold score rank (not probability)', retain the raw uncalibrated LDA score and class call, and show training class counts and prevalence, balanced accuracy, AUROC, PR-AUC, TCGA-prevalence PPV/NPV, fold minima, component variability and repeat stability. Models below 50 patients in either class are no longer merely warned: they are excluded from default inference, marked exploratory/limited evidence throughout, and require explicit opt-in that emits a warning. Proper probability calibration remains future work requiring independently evaluated or fully nested calibration.</w:t>
      </w:r>
    </w:p>
    <w:p>
      <w:pPr>
        <w:pStyle w:val="Heading1"/>
      </w:pPr>
      <w:r>
        <w:t>1. Across-cancer multiplicity and permutation resolution</w:t>
      </w:r>
    </w:p>
    <w:p>
      <w:r>
        <w:t>Addressed. Every effect-eligible endpoint is refined toward 999 complete-process patient-label permutations with a conservative stopping boundary of 49 exceedances, minimum completed-test resolution 0.001 and exact attempted counts retained. The prespecified within-cancer/family q-value, across-cancer family q-value, outcome-wide q-value and single atlas-wide q-value are now reported in separate machine-readable fields. Exact Monte Carlo intervals and the targeted 9,999-permutation refinement make the remaining resolution limitation explicit. The abstract, figures and Discussion distinguish locally controlled candidates from the 320/323 that also pass the single atlas-wide sensitivity; non-passage is not treated as evidence of absence.</w:t>
      </w:r>
    </w:p>
    <w:p>
      <w:pPr>
        <w:pStyle w:val="Heading1"/>
      </w:pPr>
      <w:r>
        <w:t>2. External validation is the principal unresolved limitation</w:t>
      </w:r>
    </w:p>
    <w:p>
      <w:r>
        <w:t>We agree that this is the central unresolved limitation. The official TITAN release provided the TCGA embeddings used here, but our audit found no compatible non-TCGA precomputed TITAN representation with the required outcomes; no independent patient entered analysis. CPTAC-UCEC is a realistic future cohort because its official TCIA collection reports 250 subjects, 887 pathology slides (approximately 154 GB) and linked molecular resources, but de novo TITAN extraction and exact endpoint harmonisation are required and were not performed. We therefore adopted the reviewer's computational-resource fallback throughout: 'deployment', 'patient molecular profile' and 'prediction report' language was removed; Figure 7 is a 'research-software demonstration'; and all numerical outputs are labelled internally derived TCGA estimates. The abstract, intended use, Discussion and Conclusions state that there is no external performance evidence or basis for clinical interpretation. To prevent future target or threshold cherry-picking, we prospectively locked three UCEC artifacts before inspecting any external features or outcomes: TP53 mutation, genome doubling and continuous aneuploidy score. Their exact SHA-256 hashes, endpoint-compatibility rules and metrics are in new main-text Table 4, Supplementary Table S6c, docs/EXTERNAL_VALIDATION_PROTOCOL.md and data/reference/external_validation_locked_targets.csv. The future protocol requires exact TITAN extraction, identical patient pooling, no refitting, recalibration or threshold adjustment, and reporting of every target including failures and non-evaluable endpoints. We explicitly state that locking a protocol is not external validation.</w:t>
      </w:r>
    </w:p>
    <w:p>
      <w:pPr>
        <w:pStyle w:val="Heading1"/>
      </w:pPr>
      <w:r>
        <w:t>Additional site-sensitivity coverage across endpoint families</w:t>
      </w:r>
    </w:p>
    <w:p>
      <w:r>
        <w:t>Tissue-source-site-grouped validation is attempted for every within-cancer screen-positive continuous and binary endpoint, not only mutations. It was feasible for 323 models. Figure 6, Table S10b and the complete machine-readable tables report target-level attenuation across immune, genomic-context, MSI, aneuploidy, fusion, pathway and mutation families.</w:t>
      </w:r>
    </w:p>
    <w:p>
      <w:pPr>
        <w:pStyle w:val="Heading1"/>
      </w:pPr>
      <w:r>
        <w:t>4. Reproducibility materials must be deposited before submission</w:t>
      </w:r>
    </w:p>
    <w:p>
      <w:r>
        <w:t>The analysis repository (https://github.com/tkcaccia/titan-prediction) remains public and contains the analysis plan, source URLs/checksums, software commit, eligibility tables, code, out-of-fold outputs, literature crosswalk, model registry and locked external-evaluation protocol. At the authors' request, the TITANPred repository (https://github.com/tkcaccia/TITANPred) is now private. The manuscript no longer claims that the package or 323 fitted objects are publicly downloadable. A public model release, if permitted, and a persistent DOI remain future release decisions; reviewers can be granted controlled access when authorised.</w:t>
      </w:r>
    </w:p>
    <w:p>
      <w:pPr>
        <w:pStyle w:val="Heading1"/>
      </w:pPr>
      <w:r>
        <w:t>5. Distinguish cancer genes from functional driver alleles</w:t>
      </w:r>
    </w:p>
    <w:p>
      <w:r>
        <w:t>Addressed throughout. Mutation targets are described as qualifying protein-altering PASS mutations in tissue-specific consensus cancer genes; the manuscript explicitly states that not every allele is functionally validated.</w:t>
      </w:r>
    </w:p>
    <w:p>
      <w:pPr>
        <w:pStyle w:val="Heading1"/>
      </w:pPr>
      <w:r>
        <w:t>6. Preserve effect-size-first interpretation of PLS2</w:t>
      </w:r>
    </w:p>
    <w:p>
      <w:r>
        <w:t>Addressed. The PLS1–PLS2 comparison is now confined to the Supplementary Methods, results and Figures S1–S2. It remains restricted to coherent inflammatory blocks, uses identical patients and folds, and is interpreted by cancer-level ΔQ² with bootstrap intervals rather than win counts. Binary molecular endpoints retain one-at-a-time PLS–LDA as the primary analysis.</w:t>
      </w:r>
    </w:p>
    <w:p>
      <w:pPr>
        <w:pStyle w:val="Heading1"/>
      </w:pPr>
      <w:r>
        <w:t>7. Complete submission-specific fields</w:t>
      </w:r>
    </w:p>
    <w:p>
      <w:r>
        <w:t>Partly outstanding. Aamilah Ismail and Martin Ocharo are listed as shared co-first authors, with Martin Ocharo second in the author order and assigned to affiliations 1 and 2. Brendon Price is included in the middle of the author list with the Division of Anatomical Pathology, University of Cape Town and National Health Laboratory Service affiliation. Silvano Piazza and Dinesh Gupta are listed immediately before Stefano Cacciatore. Silvano Piazza has dual affiliations with the ICGEB Computational Biology Group in Trieste and the Bioinformatics Facility, CIBIO, University of Trento; Dinesh Gupta has the ICGEB New Delhi affiliation. The remaining supplied author names, affiliations, available email addresses and corresponding-author details have been entered. Email addresses for Martin Ocharo, Brendon Price, Ekene Emmanuel Nweke, Silvano Piazza and Dinesh Gupta were not supplied. Funding, competing interests and contribution statements still require author confirmation and remain visibly marked where applicable. No scientific values are placeholder text.</w:t>
      </w:r>
    </w:p>
    <w:p>
      <w:pPr>
        <w:pStyle w:val="Heading1"/>
      </w:pPr>
      <w:r>
        <w:t>8. Presentation and algorithm-comparison claims</w:t>
      </w:r>
    </w:p>
    <w:p>
      <w:r>
        <w:t>Addressed. High-resolution figures and machine-readable tables accompany the Word documents. Runtime and speed claims were removed. A focused same-fold ridge benchmark was added because it directly tests whether PLS materially outperforms a simpler portable linear model; it is reported with effect magnitudes, uncertainty and selection-conditioning caveats.</w:t>
      </w:r>
    </w:p>
    <w:p>
      <w:pPr>
        <w:pStyle w:val="Heading1"/>
      </w:pPr>
      <w:r>
        <w:t>Additional change: distinguish replication from predictors not identified in the reviewed literature</w:t>
      </w:r>
    </w:p>
    <w:p>
      <w:r>
        <w:t>The Discussion uses an expanded primary-study audit, maps pooled colorectal evidence to COAD and READ, gives prior AUROC and current balanced accuracy side by side without treating the metrics as directly comparable, and distinguishes previously supported, previously evaluated-but-not-supported, and not-identified categories. Only THYM–GTF2I was not identified in the reviewed predictive-model literature, and even that result is not claimed as biological or definitive bibliographic novelty. The broader landscape audit covers MSI, continuous biomarkers, expression, gene fusion, HRD and tumour-microenvironment prediction, including external-validation examples.</w:t>
      </w:r>
    </w:p>
    <w:p>
      <w:pPr>
        <w:pStyle w:val="Heading1"/>
      </w:pPr>
      <w:r>
        <w:t>Additional change: clarify model portability without training-data release</w:t>
      </w:r>
    </w:p>
    <w:p>
      <w:r>
        <w:t>The Background, Methods, Discussion and Conclusions explain that fitted PLS and PLS–LDA models contain compact learned transformations and coefficients and can be applied without distributing patient-level training embeddings or outcomes. Licensing, privacy, governance and external-validation limitations are retained.</w:t>
      </w:r>
    </w:p>
    <w:p>
      <w:pPr>
        <w:pStyle w:val="Heading1"/>
      </w:pPr>
      <w:r>
        <w:t>Additional change: multiple slides and molecular specimen matching</w:t>
      </w:r>
    </w:p>
    <w:p>
      <w:r>
        <w:t>The primary predictor is now the feature-wise mean of every eligible diagnostic slide per patient; 843 multi-slide patients are retained in a single validation fold. We also audited every molecular source and excluded non-primary TCGA sample types before aggregation. A matched first-slide sensitivity quantifies dependence on the pooling rule.</w:t>
      </w:r>
    </w:p>
    <w:p>
      <w:pPr>
        <w:pStyle w:val="Heading1"/>
      </w:pPr>
      <w:r>
        <w:t>Additional change: molecular missingness, wild-type status and aliquots</w:t>
      </w:r>
    </w:p>
    <w:p>
      <w:r>
        <w:t>Mutation wild type is now assigned only among 8,476 patients matched to an MC3 primary-tumour profile; 919 embedding patients without a profile are excluded. The nine accepted protein-altering MC3 variant classes are explicit and a cancer-level variant-class audit is released. Fusion negatives are defined only within the study sample list. Source-specific missingness, multiple aliquots and aggregation rules are written to audit tables and reported in Methods and Supplementary Material.</w:t>
      </w:r>
    </w:p>
    <w:p>
      <w:pPr>
        <w:pStyle w:val="Heading1"/>
      </w:pPr>
      <w:r>
        <w:t>Additional change: TITAN pretraining and TCGA relationship</w:t>
      </w:r>
    </w:p>
    <w:p>
      <w:r>
        <w:t>The manuscript now documents that the published Mass-340K pretraining corpus excluded TCGA and PANDA, while TCGA was used for downstream evaluation in the original TITAN study. We therefore describe this work as a secondary TCGA benchmark and model resource, neither a pretraining-overlap analysis nor independent external validation.</w:t>
      </w:r>
    </w:p>
    <w:p>
      <w:pPr>
        <w:pStyle w:val="Heading1"/>
      </w:pPr>
      <w:r>
        <w:t>Additional change: complete performance and prediction examples</w:t>
      </w:r>
    </w:p>
    <w:p>
      <w:r>
        <w:t>Highlighted binary models now report sensitivity, specificity, balanced accuracy and AUROC; highlighted continuous models report Q², RMSE and Spearman correlation, with patient-cluster bootstrap intervals. Research-use provenance includes feature checksums and ranges, class coding and priors, decision rule, calibration status, external-validation status and intended use. Figure 4 compares held-out predictions directly with observed data. The two illustrative COAD research-software outputs are supplied as separate PDF attachments (Additional files 2 and 3) and are labelled internally derived TCGA estimates.</w:t>
      </w:r>
    </w:p>
    <w:p>
      <w:pPr>
        <w:pStyle w:val="Heading1"/>
      </w:pPr>
      <w:r>
        <w:t>Additional change: rSVD-only PLS decomposition</w:t>
      </w:r>
    </w:p>
    <w:p>
      <w:r>
        <w:t>All primary, permutation, repeated, site-grouped, slide-pooling, PLS1–PLS2 and final-model fits use CPU rSVD with 10 oversampling vectors, two power iterations and fixed seeds. Solver identity and controls are recorded in screening, sensitivity and model-registry metadata and verified against saved-model diagnostics.</w:t>
      </w:r>
    </w:p>
    <w:p>
      <w:pPr>
        <w:pStyle w:val="Heading1"/>
      </w:pPr>
      <w:r>
        <w:t>Additional change: terminology and global multiplicity</w:t>
      </w:r>
    </w:p>
    <w:p>
      <w:r>
        <w:t>Tier labels are replaced in the narrative and display headings by within-cancer higher-effect, moderate-effect and screen-negative categories. The abstract, Results and Discussion report explicitly that 219 continuous and 39 cancer–mutation pairs passed the across-cancer family correction and that 320/323 local candidates passed a single BH correction across all eligible atlas tests.</w:t>
      </w:r>
    </w:p>
    <w:p>
      <w:pPr>
        <w:pStyle w:val="Heading1"/>
      </w:pPr>
      <w:r>
        <w:t>Additional change: TRIPOD+AI and fairness reporting</w:t>
      </w:r>
    </w:p>
    <w:p>
      <w:r>
        <w:t>Supplementary Table S12 maps every TRIPOD+AI item to the manuscript or repository. Participant characteristics from the TCGA Clinical Data Resource are now reported overall and by cancer; the Methods and Discussion state that no resampling or calibrated probability output was used, no formal power calculation was performed, treatment endpoints were not modelled, and demographic subgroup performance was not evaluated. Tissue-source-site sensitivity is not presented as a substitute for representative external subgroup evaluation.</w:t>
      </w:r>
    </w:p>
    <w:p>
      <w:pPr>
        <w:pStyle w:val="Heading1"/>
      </w:pPr>
      <w:r>
        <w:t>Additional change: selection-conditioned uncertainty</w:t>
      </w:r>
    </w:p>
    <w:p>
      <w:r>
        <w:t>The Discussion now states that repeated nested-CV estimates and patient-cluster bootstrap intervals are conditional on endpoint selection in the same TCGA benchmark. They do not remove winner's-curse optimism and are not presented as external-performance intervals.</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Response to reviewer — TITAN benchmark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