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immune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a transparent endpoint-by-endpoint benchmark using a fixed pretrained representation, complete negative reporting and portable fitted linear models. The authors appropriately refrain from clinical claims and label every value as an internally derived TCGA estimate. Without an independent cohort, the work should be evaluated as a computational pathology resource rather than a translational prediction study.</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Tissue-source-site sensitivity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predictive effect, repeated and site-grouped stability are reported alongside, and tied minimum q-values are not used for ranking.</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patient-cluster bootstrap intervals. The Discussion correctly clarifies that these intervals are conditional on endpoint selection in the same TCGA benchmark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Tissue-source-site sensitivity and confounding</w:t>
      </w:r>
    </w:p>
    <w:p>
      <w:pPr>
        <w:spacing w:after="120" w:line="264" w:lineRule="auto"/>
      </w:pPr>
      <w:r>
        <w:rPr>
          <w:rFonts w:ascii="Calibri" w:hAnsi="Calibri"/>
          <w:b w:val="0"/>
          <w:i w:val="0"/>
          <w:color w:val="000000"/>
          <w:sz w:val="22"/>
        </w:rPr>
        <w:t>The revised manuscript now makes the site result visible rather than reducing it to a median robustness statistic. Main Figure 6 shows every target, the largest attenuations and the new within-cancer submitting-site classifiers; Main Table 3 reports grouped performance beside highlighted models. Overall, 83/323 screen-positive models (25.7%) fell below their original effect threshold. READ–APC and COAD–APC declined to balanced accuracies 0.495 and 0.543. The public analysis registry and inference output expose the grouped metric, delta, site count, threshold-retention status and prominent warning for every model. The complete fold audit reports patients, sites and class counts in all 1,613 outer folds and confirms that inner component selection also kept tissue-source sites intact.</w:t>
      </w:r>
    </w:p>
    <w:p>
      <w:pPr>
        <w:spacing w:after="120" w:line="264" w:lineRule="auto"/>
      </w:pPr>
      <w:r>
        <w:rPr>
          <w:rFonts w:ascii="Calibri" w:hAnsi="Calibri"/>
          <w:b w:val="0"/>
          <w:i w:val="0"/>
          <w:color w:val="000000"/>
          <w:sz w:val="22"/>
        </w:rPr>
        <w:t>The dedicated repeated nested analysis predicted tissue-source site from TITAN representations in 27/32 evaluable cancers, with median multiclass macro balanced accuracy 0.628. This quantifies substantial confounding potential. The manuscript appropriately calls the endpoint analysis 'TCGA tissue-source-site-grouped internal validation' and does not interpret retained performance as proof of scanner, laboratory or institutional transportability. Tissue-source site remains an imperfect proxy, and smaller grouped folds can account for part—but not all—of the attenuation.</w:t>
      </w:r>
    </w:p>
    <w:p>
      <w:pPr>
        <w:pStyle w:val="Heading2"/>
        <w:keepNext/>
      </w:pPr>
      <w:r>
        <w:t>5. Symmetric binary PLS–ridge comparison</w:t>
      </w:r>
    </w:p>
    <w:p>
      <w:pPr>
        <w:spacing w:after="120" w:line="264" w:lineRule="auto"/>
      </w:pPr>
      <w:r>
        <w:rPr>
          <w:rFonts w:ascii="Calibri" w:hAnsi="Calibri"/>
          <w:b w:val="0"/>
          <w:i w:val="0"/>
          <w:color w:val="000000"/>
          <w:sz w:val="22"/>
        </w:rPr>
        <w:t>The revised 12-model binary comparison removes the earlier operating-rule advantage given to ridge. PLS–LDA and ridge now use identical outer partitions and identical inner partitions. Within each outer training set, both operating thresholds are selected from method-specific inner out-of-fold scores by maximising balanced accuracy. Threshold-independent AUROC is the primary binary algorithm-comparison metric: the median ridge-minus-PLS difference is 0.004 (IQR -0.001 to 0.010); one endpoint favours ridge and 11 are uncertain. Under symmetric thresholding, the median balanced-accuracy difference is 0.005 (IQR 0.001 to 0.012); again one endpoint favours ridge and 11 are uncertain. The primary atlas appropriately retains its prespecified observed-prior PLS–LDA rule and is distinguished from this conditional method benchmark.</w:t>
      </w:r>
    </w:p>
    <w:p>
      <w:pPr>
        <w:spacing w:after="120" w:line="264" w:lineRule="auto"/>
      </w:pPr>
      <w:r>
        <w:rPr>
          <w:rFonts w:ascii="Calibri" w:hAnsi="Calibri"/>
          <w:b/>
          <w:i w:val="0"/>
          <w:color w:val="000000"/>
          <w:sz w:val="22"/>
        </w:rPr>
        <w:t>No additional algorithm-comparison correction is requested.</w:t>
      </w:r>
      <w:r>
        <w:rPr>
          <w:rFonts w:ascii="Calibri" w:hAnsi="Calibri"/>
          <w:b w:val="0"/>
          <w:i w:val="0"/>
          <w:color w:val="000000"/>
          <w:sz w:val="22"/>
        </w:rPr>
        <w:t xml:space="preserve"> Table S10e should retain both AUROC and the symmetrically thresholded balanced accuracy, and the manuscript should not interpret this selected 12-model subset as evidence of atlas-wide superiority for either method.</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pStyle w:val="Heading2"/>
        <w:keepNext/>
      </w:pPr>
      <w:r>
        <w:t>8.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9.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 continuous prediction with explicit held-out metrics. These corrected production figures should be retained.</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