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cover letter</w:t>
      </w:r>
    </w:p>
    <w:p>
      <w:r>
        <w:rPr>
          <w:b/>
        </w:rPr>
        <w:t xml:space="preserve">Date: </w:t>
      </w:r>
      <w:r>
        <w:t xml:space="preserve"> 20 September 2026</w:t>
      </w:r>
    </w:p>
    <w:p>
      <w:r>
        <w:rPr>
          <w:b/>
        </w:rPr>
        <w:t xml:space="preserve">To: </w:t>
      </w:r>
      <w:r>
        <w:t xml:space="preserve"> Editors, Journal of Translational Medicine</w:t>
      </w:r>
    </w:p>
    <w:p>
      <w:r>
        <w:rPr>
          <w:b/>
        </w:rPr>
        <w:t xml:space="preserve">Article type: </w:t>
      </w:r>
      <w:r>
        <w:t xml:space="preserve"> Research Article, Molecular Pathology</w:t>
      </w:r>
    </w:p>
    <w:p>
      <w:r>
        <w:rPr>
          <w:b/>
        </w:rPr>
        <w:t xml:space="preserve">Manuscript: </w:t>
      </w:r>
      <w:r>
        <w:t xml:space="preserve"> Patient-level comparison of three released pathology representation pipelines with a common PLS-based probe across TCGA cancers</w:t>
      </w:r>
    </w:p>
    <w:p>
      <w:r>
        <w:t>Dear Editors,</w:t>
      </w:r>
    </w:p>
    <w:p>
      <w:r>
        <w:t>We submit this manuscript for consideration in Journal of Translational Medicine. We compare three released pathology representation pipelines, TITAN, Giga-SSL and Prov-GigaPath, in a patient-level TCGA benchmark across 32 cancers. The study evaluates direct genomic alterations separately from sequencing-derived burdens, transcriptomic signatures, computationally inferred immune-cell fractions, composite genomic-context scores and same-H&amp;E reference phenotypes.</w:t>
      </w:r>
    </w:p>
    <w:p>
      <w:r>
        <w:t>The work provides a reproducible translational research prioritisation resource. Its principal contribution is the matched use of identical patients, outcomes and folds across the three representation pipelines, combined with patient-first slide pooling, alternative-partition analyses, grouping by TCGA tissue-source-site code and explicit reporting of negative, ineligible and sample-size-limited results. The supporting permutation/FDR-filtered TITAN screen adds deeper internal qualification for one representation. PathoFMPred provides a secondary research interface and registry for applying compatible fitted models; it does not add validation evidence.</w:t>
      </w:r>
    </w:p>
    <w:p>
      <w:r>
        <w:t>We believe the manuscript fits the journal's interests in Medical Bioinformatics, Molecular Pathology, Disease Biomarkers and Translational Imaging. It identifies tumour-feature associations that merit locked independent testing while showing where representation choice, downstream probe and cohort structure alter prioritisation. The study does not claim clinical validation, assay replacement or transportability beyond TCGA. We state the absence of an independent external cohort prominently and position every output as an internally derived research estimate.</w:t>
      </w:r>
    </w:p>
    <w:p>
      <w:r>
        <w:t>The accompanying manuscript, Supplementary Material, machine-readable companions and response document report the analysis scope, reference-label provenance, uncertainty limits, pathology-quality constraints, molecular-slide linkage, software access conditions and upstream representation terms. We hope that this transparent benchmark will support careful selection of candidates for independent translational validation.</w:t>
      </w:r>
    </w:p>
    <w:p>
      <w:r>
        <w:t>Sincerely,</w:t>
      </w:r>
    </w:p>
    <w:p>
      <w:r>
        <w:t>Stefano Cacciatore, PhD</w:t>
        <w:br/>
        <w:t>Corresponding author</w:t>
        <w:br/>
        <w:t>Bioinformatics Unit, International Centre for Genetic Engineering and Biotechnology</w:t>
        <w:br/>
        <w:t>Cape Town, South Africa</w:t>
        <w:br/>
        <w:t>stefano.cacciatore@icgeb.org</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Draft cover letter to Journal of Translational Medicine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48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48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