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immune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New main-text Table 1 compares patients, slides, endpoint classes, representation, patient aggregation, validation, site sensitivity, external validation, negative/ineligible reporting and fitted-predictor availability. The abstract and Discussion now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site sensitivity, continuous immune/genomic-context modelling and compact fitted-model distribution. The comparison is also released as data/reference/pan_cancer_benchmark_comparison.csv.</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tissue-source-site-grouped results; the largest target-level attenuations, including READ–APC (balanced accuracy 0.862 to 0.495) and COAD–APC (0.793 to 0.543); and the new within-cancer tissue-source-site prediction analysis. Main Table 3 now reports the grouped metric and warning status beside every highlighted model. The public analysis registry and access-controlled TITANPred registry contain the grouped metric, delta, number of sites, threshold-retention flag, near-chance flag, validation scope and warning for all 323 models; inference outputs and reports display these fields and prominently warn about site-sensitive models. We report that 83/323 models (25.7%) fell below the original threshold: 58/219 continuous and 25/104 binary. The fold audit provides all 1,613 outer-fold compositions with test/training patients, sites, positive and negative cases, site identifiers and seeds; selected APC folds appear in Table S10c. We confirmed from both the implementation and deterministic fold reconstruction that the tissue-source-site constraint was passed to inner component selection as well as outer evaluation, with no site overlap. In the new five-repeat nested PLS–LDA analysis, TITAN predicted tissue-source site in 27/32 evaluable cancers; median multiclass macro balanced accuracy was 0.628. We consistently call the endpoint sensitivity 'TCGA tissue-source-site-grouped internal validation' and state that tissue-source site is an imperfect proxy; neither retained performance nor site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Addressed with a same-fold repeated nested benchmark of the 24 highlighted models against ridge Gaussian or logistic regression. Median ridge-minus-PLS differences were 0.014 Q² for continuous and 0.007 balanced accuracy for binary models. Paired intervals favoured ridge for seven continuous and two binary models, PLS for two continuous and one binary model, and were uncertain for the remaining 12. We therefore state that PLS is competitive but not uniformly superior. Because the benchmark is conditional on PLS-based endpoint highlighting, the prespecified PLS workflow is retained rather than adding post-selection method switching. Ridge was selected as the baseline because its fitted coefficients are portable without retaining training embeddings; the full repeated results and uncertainty are supplied in Table S10e and CSV.</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site sensitivity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and tables now use 'TCGA out-of-fold score rank (not probability)', retain the raw uncalibrated LDA score and class call, and show training n, positive and negative counts, prevalence, repeated-CV balanced accuracy and AUROC. A warning is emitted and printed when either development class contains fewer than 50 patients. The 20-per-class modelling eligibility rule is unchanged. Proper probability calibration remains future work requiring independently evaluated or fully nested calibration.</w:t>
      </w:r>
    </w:p>
    <w:p>
      <w:pPr>
        <w:pStyle w:val="Heading1"/>
      </w:pPr>
      <w:r>
        <w:t>1. Across-cancer multiplicity and permutation resolution</w:t>
      </w:r>
    </w:p>
    <w:p>
      <w:r>
        <w:t>Addressed. Every effect-eligible endpoint is refined toward 999 patient-label permutations with a conservative stopping boundary of 49 exceedances, minimum completed-test resolution 0.001, and exact attempted counts retained. Both the prespecified within-cancer family q-value and the stricter across-cancer family q-value are reported. The abstract, figures and Discussion state that 219 continuous and 39 cancer–mutation pairs passed the stricter correction; all remaining within-cancer results are framed as cancer-specific discovery candidates. We now also state explicitly that the 0.001 resolution limits attainable q-values in large global families, so non-passage is not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a 'research-software demonstration';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new main-text Table 4, Supplementary Table S6c, docs/EXTERNAL_VALIDATION_PROTOCOL.md and data/reference/external_validation_locked_targets.csv.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Tissue-source-site-grouped validation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patient-cluster bootstrap intervals. Research-use provenance includes feature checksums and ranges, class coding and priors, decision rule, calibration status, external-validation status and intended use. Figure 4 compares held-out predictions directly with observed data. The two illustrative COAD research-software outputs are supplied as separate PDF attachments (Additional files 2 and 3) and are labelled internally derived TCGA estimates.</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Additional change: terminology and global multiplicity</w:t>
      </w:r>
    </w:p>
    <w:p>
      <w:r>
        <w:t>Tier labels are replaced in the narrative and display headings by within-cancer higher-effect, moderate-effect and screen-negative categories. The abstract, Results and Discussion report explicitly that 219 continuous and 39 cancer–mutation pairs passed the stricter across-cancer correction.</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Discussion now states that repeated nested-CV estimates and patient-cluster bootstrap intervals are conditional on endpoint selection in the same TCGA benchmark. They do not remove winner's-curse optimism and are not presented as external-performance intervals.</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