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systematic patient-level benchmark and reusable model resource for molecular and immune prediction from pretrained TITAN whole-slide representations across 32 TCGA cancers</w:t>
      </w:r>
    </w:p>
    <w:p>
      <w:r>
        <w:t>This document is Additional file 1. The COAD example A (TCGA-AA-A01F) and example B (TCGA-AA-3972) TITANPred research-software outputs are supplied as separate PDF attachments (Additional files 2 and 3, respectively).</w:t>
      </w:r>
    </w:p>
    <w:p>
      <w:pPr>
        <w:pStyle w:val="Heading1"/>
      </w:pPr>
      <w:r>
        <w:t>Supplementary Methods</w:t>
      </w:r>
    </w:p>
    <w:p>
      <w:r>
        <w:t>The executable analysis plan, source manifest, eligibility catalogues, checkpoint-capable scripts and released out-of-fold prediction tables are available in the public companion analysis repository. The separate access-controlled TITANPred R package contains the fitted research models, model registry, reference distributions and research-software output template; it is currently private and is not claimed as a public artifact release. Large local restart checkpoints are not redistributed. Tables below are concise views; complete machine-readable CSV files are authoritative.</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Higher effect</w:t>
            </w:r>
          </w:p>
        </w:tc>
        <w:tc>
          <w:tcPr>
            <w:tcW w:type="dxa" w:w="1392"/>
          </w:tcPr>
          <w:p>
            <w:r>
              <w:rPr>
                <w:b/>
                <w:sz w:val="17"/>
              </w:rPr>
              <w:t>Moderate effect</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Cancer–endpoint</w:t>
            </w:r>
          </w:p>
        </w:tc>
        <w:tc>
          <w:tcPr>
            <w:tcW w:type="dxa" w:w="1392"/>
          </w:tcPr>
          <w:p>
            <w:r>
              <w:rPr>
                <w:b/>
                <w:sz w:val="17"/>
              </w:rPr>
              <w:t>n</w:t>
            </w:r>
          </w:p>
        </w:tc>
        <w:tc>
          <w:tcPr>
            <w:tcW w:type="dxa" w:w="1392"/>
          </w:tcPr>
          <w:p>
            <w:r>
              <w:rPr>
                <w:b/>
                <w:sz w:val="17"/>
              </w:rPr>
              <w:t>Primary metric (95% CI)</w:t>
            </w:r>
          </w:p>
        </w:tc>
        <w:tc>
          <w:tcPr>
            <w:tcW w:type="dxa" w:w="1392"/>
          </w:tcPr>
          <w:p>
            <w:r>
              <w:rPr>
                <w:b/>
                <w:sz w:val="17"/>
              </w:rPr>
              <w:t>Sensitivity/specificity (95% CI)</w:t>
            </w:r>
          </w:p>
        </w:tc>
        <w:tc>
          <w:tcPr>
            <w:tcW w:type="dxa" w:w="1392"/>
          </w:tcPr>
          <w:p>
            <w:r>
              <w:rPr>
                <w:b/>
                <w:sz w:val="17"/>
              </w:rPr>
              <w:t>Other metrics (95% CI)</w:t>
            </w:r>
          </w:p>
        </w:tc>
        <w:tc>
          <w:tcPr>
            <w:tcW w:type="dxa" w:w="1392"/>
          </w:tcPr>
          <w:p>
            <w:r>
              <w:rPr>
                <w:b/>
                <w:sz w:val="17"/>
              </w:rPr>
              <w:t>TSS-grouped metric/status</w:t>
            </w:r>
          </w:p>
        </w:tc>
      </w:tr>
      <w:tr>
        <w:trPr>
          <w:cantSplit/>
        </w:trPr>
        <w:tc>
          <w:tcPr>
            <w:tcW w:type="dxa" w:w="1392"/>
            <w:vAlign w:val="center"/>
          </w:tcPr>
          <w:p>
            <w:r>
              <w:rPr>
                <w:sz w:val="16"/>
              </w:rPr>
              <w:t>binary</w:t>
            </w:r>
          </w:p>
        </w:tc>
        <w:tc>
          <w:tcPr>
            <w:tcW w:type="dxa" w:w="1392"/>
            <w:vAlign w:val="center"/>
          </w:tcPr>
          <w:p>
            <w:r>
              <w:rPr>
                <w:sz w:val="16"/>
              </w:rPr>
              <w:t>COAD–APC</w:t>
            </w:r>
          </w:p>
        </w:tc>
        <w:tc>
          <w:tcPr>
            <w:tcW w:type="dxa" w:w="1392"/>
            <w:vAlign w:val="center"/>
          </w:tcPr>
          <w:p>
            <w:r>
              <w:rPr>
                <w:sz w:val="16"/>
              </w:rPr>
              <w:t>382</w:t>
            </w:r>
          </w:p>
        </w:tc>
        <w:tc>
          <w:tcPr>
            <w:tcW w:type="dxa" w:w="1392"/>
            <w:vAlign w:val="center"/>
          </w:tcPr>
          <w:p>
            <w:r>
              <w:rPr>
                <w:sz w:val="16"/>
              </w:rPr>
              <w:t>BA 0.794 (0.756–0.830)</w:t>
            </w:r>
          </w:p>
        </w:tc>
        <w:tc>
          <w:tcPr>
            <w:tcW w:type="dxa" w:w="1392"/>
            <w:vAlign w:val="center"/>
          </w:tcPr>
          <w:p>
            <w:r>
              <w:rPr>
                <w:sz w:val="16"/>
              </w:rPr>
              <w:t>Se 0.883 (0.838–0.923); Sp 0.705 (0.642–0.765)</w:t>
            </w:r>
          </w:p>
        </w:tc>
        <w:tc>
          <w:tcPr>
            <w:tcW w:type="dxa" w:w="1392"/>
            <w:vAlign w:val="center"/>
          </w:tcPr>
          <w:p>
            <w:r>
              <w:rPr>
                <w:sz w:val="16"/>
              </w:rPr>
              <w:t>AUROC 0.848 (0.805–0.885)</w:t>
            </w:r>
          </w:p>
        </w:tc>
        <w:tc>
          <w:tcPr>
            <w:tcW w:type="dxa" w:w="1392"/>
            <w:vAlign w:val="center"/>
          </w:tcPr>
          <w:p>
            <w:r>
              <w:rPr>
                <w:sz w:val="16"/>
              </w:rPr>
              <w:t>balanced accuracy 0.543; site-sensitive: near chance or worse</w:t>
            </w:r>
          </w:p>
        </w:tc>
      </w:tr>
      <w:tr>
        <w:trPr>
          <w:cantSplit/>
        </w:trPr>
        <w:tc>
          <w:tcPr>
            <w:tcW w:type="dxa" w:w="1392"/>
            <w:vAlign w:val="center"/>
          </w:tcPr>
          <w:p>
            <w:r>
              <w:rPr>
                <w:sz w:val="16"/>
              </w:rPr>
              <w:t>binary</w:t>
            </w:r>
          </w:p>
        </w:tc>
        <w:tc>
          <w:tcPr>
            <w:tcW w:type="dxa" w:w="1392"/>
            <w:vAlign w:val="center"/>
          </w:tcPr>
          <w:p>
            <w:r>
              <w:rPr>
                <w:sz w:val="16"/>
              </w:rPr>
              <w:t>COAD–TP53</w:t>
            </w:r>
          </w:p>
        </w:tc>
        <w:tc>
          <w:tcPr>
            <w:tcW w:type="dxa" w:w="1392"/>
            <w:vAlign w:val="center"/>
          </w:tcPr>
          <w:p>
            <w:r>
              <w:rPr>
                <w:sz w:val="16"/>
              </w:rPr>
              <w:t>382</w:t>
            </w:r>
          </w:p>
        </w:tc>
        <w:tc>
          <w:tcPr>
            <w:tcW w:type="dxa" w:w="1392"/>
            <w:vAlign w:val="center"/>
          </w:tcPr>
          <w:p>
            <w:r>
              <w:rPr>
                <w:sz w:val="16"/>
              </w:rPr>
              <w:t>BA 0.778 (0.740–0.814)</w:t>
            </w:r>
          </w:p>
        </w:tc>
        <w:tc>
          <w:tcPr>
            <w:tcW w:type="dxa" w:w="1392"/>
            <w:vAlign w:val="center"/>
          </w:tcPr>
          <w:p>
            <w:r>
              <w:rPr>
                <w:sz w:val="16"/>
              </w:rPr>
              <w:t>Se 0.779 (0.720–0.834); Sp 0.777 (0.723–0.827)</w:t>
            </w:r>
          </w:p>
        </w:tc>
        <w:tc>
          <w:tcPr>
            <w:tcW w:type="dxa" w:w="1392"/>
            <w:vAlign w:val="center"/>
          </w:tcPr>
          <w:p>
            <w:r>
              <w:rPr>
                <w:sz w:val="16"/>
              </w:rPr>
              <w:t>AUROC 0.854 (0.815–0.889)</w:t>
            </w:r>
          </w:p>
        </w:tc>
        <w:tc>
          <w:tcPr>
            <w:tcW w:type="dxa" w:w="1392"/>
            <w:vAlign w:val="center"/>
          </w:tcPr>
          <w:p>
            <w:r>
              <w:rPr>
                <w:sz w:val="16"/>
              </w:rPr>
              <w:t>balanced accuracy 0.648; retained original effect threshold</w:t>
            </w:r>
          </w:p>
        </w:tc>
      </w:tr>
      <w:tr>
        <w:trPr>
          <w:cantSplit/>
        </w:trPr>
        <w:tc>
          <w:tcPr>
            <w:tcW w:type="dxa" w:w="1392"/>
            <w:vAlign w:val="center"/>
          </w:tcPr>
          <w:p>
            <w:r>
              <w:rPr>
                <w:sz w:val="16"/>
              </w:rPr>
              <w:t>binary</w:t>
            </w:r>
          </w:p>
        </w:tc>
        <w:tc>
          <w:tcPr>
            <w:tcW w:type="dxa" w:w="1392"/>
            <w:vAlign w:val="center"/>
          </w:tcPr>
          <w:p>
            <w:r>
              <w:rPr>
                <w:sz w:val="16"/>
              </w:rPr>
              <w:t>LGG–IDH1</w:t>
            </w:r>
          </w:p>
        </w:tc>
        <w:tc>
          <w:tcPr>
            <w:tcW w:type="dxa" w:w="1392"/>
            <w:vAlign w:val="center"/>
          </w:tcPr>
          <w:p>
            <w:r>
              <w:rPr>
                <w:sz w:val="16"/>
              </w:rPr>
              <w:t>485</w:t>
            </w:r>
          </w:p>
        </w:tc>
        <w:tc>
          <w:tcPr>
            <w:tcW w:type="dxa" w:w="1392"/>
            <w:vAlign w:val="center"/>
          </w:tcPr>
          <w:p>
            <w:r>
              <w:rPr>
                <w:sz w:val="16"/>
              </w:rPr>
              <w:t>BA 0.782 (0.740–0.823)</w:t>
            </w:r>
          </w:p>
        </w:tc>
        <w:tc>
          <w:tcPr>
            <w:tcW w:type="dxa" w:w="1392"/>
            <w:vAlign w:val="center"/>
          </w:tcPr>
          <w:p>
            <w:r>
              <w:rPr>
                <w:sz w:val="16"/>
              </w:rPr>
              <w:t>Se 0.940 (0.921–0.957); Sp 0.624 (0.540–0.702)</w:t>
            </w:r>
          </w:p>
        </w:tc>
        <w:tc>
          <w:tcPr>
            <w:tcW w:type="dxa" w:w="1392"/>
            <w:vAlign w:val="center"/>
          </w:tcPr>
          <w:p>
            <w:r>
              <w:rPr>
                <w:sz w:val="16"/>
              </w:rPr>
              <w:t>AUROC 0.853 (0.807–0.898)</w:t>
            </w:r>
          </w:p>
        </w:tc>
        <w:tc>
          <w:tcPr>
            <w:tcW w:type="dxa" w:w="1392"/>
            <w:vAlign w:val="center"/>
          </w:tcPr>
          <w:p>
            <w:r>
              <w:rPr>
                <w:sz w:val="16"/>
              </w:rPr>
              <w:t>balanced accuracy 0.793; retained original effect threshold</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485</w:t>
            </w:r>
          </w:p>
        </w:tc>
        <w:tc>
          <w:tcPr>
            <w:tcW w:type="dxa" w:w="1392"/>
            <w:vAlign w:val="center"/>
          </w:tcPr>
          <w:p>
            <w:r>
              <w:rPr>
                <w:sz w:val="16"/>
              </w:rPr>
              <w:t>BA 0.862 (0.833–0.888)</w:t>
            </w:r>
          </w:p>
        </w:tc>
        <w:tc>
          <w:tcPr>
            <w:tcW w:type="dxa" w:w="1392"/>
            <w:vAlign w:val="center"/>
          </w:tcPr>
          <w:p>
            <w:r>
              <w:rPr>
                <w:sz w:val="16"/>
              </w:rPr>
              <w:t>Se 0.839 (0.795–0.877); Sp 0.885 (0.848–0.920)</w:t>
            </w:r>
          </w:p>
        </w:tc>
        <w:tc>
          <w:tcPr>
            <w:tcW w:type="dxa" w:w="1392"/>
            <w:vAlign w:val="center"/>
          </w:tcPr>
          <w:p>
            <w:r>
              <w:rPr>
                <w:sz w:val="16"/>
              </w:rPr>
              <w:t>AUROC 0.908 (0.880–0.932)</w:t>
            </w:r>
          </w:p>
        </w:tc>
        <w:tc>
          <w:tcPr>
            <w:tcW w:type="dxa" w:w="1392"/>
            <w:vAlign w:val="center"/>
          </w:tcPr>
          <w:p>
            <w:r>
              <w:rPr>
                <w:sz w:val="16"/>
              </w:rPr>
              <w:t>balanced accuracy 0.841; retained original effect threshold</w:t>
            </w:r>
          </w:p>
        </w:tc>
      </w:tr>
      <w:tr>
        <w:trPr>
          <w:cantSplit/>
        </w:trPr>
        <w:tc>
          <w:tcPr>
            <w:tcW w:type="dxa" w:w="1392"/>
            <w:vAlign w:val="center"/>
          </w:tcPr>
          <w:p>
            <w:r>
              <w:rPr>
                <w:sz w:val="16"/>
              </w:rPr>
              <w:t>binary</w:t>
            </w:r>
          </w:p>
        </w:tc>
        <w:tc>
          <w:tcPr>
            <w:tcW w:type="dxa" w:w="1392"/>
            <w:vAlign w:val="center"/>
          </w:tcPr>
          <w:p>
            <w:r>
              <w:rPr>
                <w:sz w:val="16"/>
              </w:rPr>
              <w:t>READ–APC</w:t>
            </w:r>
          </w:p>
        </w:tc>
        <w:tc>
          <w:tcPr>
            <w:tcW w:type="dxa" w:w="1392"/>
            <w:vAlign w:val="center"/>
          </w:tcPr>
          <w:p>
            <w:r>
              <w:rPr>
                <w:sz w:val="16"/>
              </w:rPr>
              <w:t>135</w:t>
            </w:r>
          </w:p>
        </w:tc>
        <w:tc>
          <w:tcPr>
            <w:tcW w:type="dxa" w:w="1392"/>
            <w:vAlign w:val="center"/>
          </w:tcPr>
          <w:p>
            <w:r>
              <w:rPr>
                <w:sz w:val="16"/>
              </w:rPr>
              <w:t>BA 0.827 (0.771–0.882)</w:t>
            </w:r>
          </w:p>
        </w:tc>
        <w:tc>
          <w:tcPr>
            <w:tcW w:type="dxa" w:w="1392"/>
            <w:vAlign w:val="center"/>
          </w:tcPr>
          <w:p>
            <w:r>
              <w:rPr>
                <w:sz w:val="16"/>
              </w:rPr>
              <w:t>Se 0.874 (0.810–0.931); Sp 0.780 (0.688–0.873)</w:t>
            </w:r>
          </w:p>
        </w:tc>
        <w:tc>
          <w:tcPr>
            <w:tcW w:type="dxa" w:w="1392"/>
            <w:vAlign w:val="center"/>
          </w:tcPr>
          <w:p>
            <w:r>
              <w:rPr>
                <w:sz w:val="16"/>
              </w:rPr>
              <w:t>AUROC 0.874 (0.818–0.926)</w:t>
            </w:r>
          </w:p>
        </w:tc>
        <w:tc>
          <w:tcPr>
            <w:tcW w:type="dxa" w:w="1392"/>
            <w:vAlign w:val="center"/>
          </w:tcPr>
          <w:p>
            <w:r>
              <w:rPr>
                <w:sz w:val="16"/>
              </w:rPr>
              <w:t>balanced accuracy 0.495; site-sensitive: near chance or worse</w:t>
            </w:r>
          </w:p>
        </w:tc>
      </w:tr>
      <w:tr>
        <w:trPr>
          <w:cantSplit/>
        </w:trPr>
        <w:tc>
          <w:tcPr>
            <w:tcW w:type="dxa" w:w="1392"/>
            <w:vAlign w:val="center"/>
          </w:tcPr>
          <w:p>
            <w:r>
              <w:rPr>
                <w:sz w:val="16"/>
              </w:rPr>
              <w:t>binary</w:t>
            </w:r>
          </w:p>
        </w:tc>
        <w:tc>
          <w:tcPr>
            <w:tcW w:type="dxa" w:w="1392"/>
            <w:vAlign w:val="center"/>
          </w:tcPr>
          <w:p>
            <w:r>
              <w:rPr>
                <w:sz w:val="16"/>
              </w:rPr>
              <w:t>READ–TP53</w:t>
            </w:r>
          </w:p>
        </w:tc>
        <w:tc>
          <w:tcPr>
            <w:tcW w:type="dxa" w:w="1392"/>
            <w:vAlign w:val="center"/>
          </w:tcPr>
          <w:p>
            <w:r>
              <w:rPr>
                <w:sz w:val="16"/>
              </w:rPr>
              <w:t>135</w:t>
            </w:r>
          </w:p>
        </w:tc>
        <w:tc>
          <w:tcPr>
            <w:tcW w:type="dxa" w:w="1392"/>
            <w:vAlign w:val="center"/>
          </w:tcPr>
          <w:p>
            <w:r>
              <w:rPr>
                <w:sz w:val="16"/>
              </w:rPr>
              <w:t>BA 0.858 (0.801–0.910)</w:t>
            </w:r>
          </w:p>
        </w:tc>
        <w:tc>
          <w:tcPr>
            <w:tcW w:type="dxa" w:w="1392"/>
            <w:vAlign w:val="center"/>
          </w:tcPr>
          <w:p>
            <w:r>
              <w:rPr>
                <w:sz w:val="16"/>
              </w:rPr>
              <w:t>Se 0.912 (0.855–0.966); Sp 0.803 (0.704–0.890)</w:t>
            </w:r>
          </w:p>
        </w:tc>
        <w:tc>
          <w:tcPr>
            <w:tcW w:type="dxa" w:w="1392"/>
            <w:vAlign w:val="center"/>
          </w:tcPr>
          <w:p>
            <w:r>
              <w:rPr>
                <w:sz w:val="16"/>
              </w:rPr>
              <w:t>AUROC 0.912 (0.860–0.956)</w:t>
            </w:r>
          </w:p>
        </w:tc>
        <w:tc>
          <w:tcPr>
            <w:tcW w:type="dxa" w:w="1392"/>
            <w:vAlign w:val="center"/>
          </w:tcPr>
          <w:p>
            <w:r>
              <w:rPr>
                <w:sz w:val="16"/>
              </w:rPr>
              <w:t>balanced accuracy 0.679; retained original effect threshold</w:t>
            </w:r>
          </w:p>
        </w:tc>
      </w:tr>
      <w:tr>
        <w:trPr>
          <w:cantSplit/>
        </w:trPr>
        <w:tc>
          <w:tcPr>
            <w:tcW w:type="dxa" w:w="1392"/>
            <w:vAlign w:val="center"/>
          </w:tcPr>
          <w:p>
            <w:r>
              <w:rPr>
                <w:sz w:val="16"/>
              </w:rPr>
              <w:t>binary</w:t>
            </w:r>
          </w:p>
        </w:tc>
        <w:tc>
          <w:tcPr>
            <w:tcW w:type="dxa" w:w="1392"/>
            <w:vAlign w:val="center"/>
          </w:tcPr>
          <w:p>
            <w:r>
              <w:rPr>
                <w:sz w:val="16"/>
              </w:rPr>
              <w:t>THCA–BRAF</w:t>
            </w:r>
          </w:p>
        </w:tc>
        <w:tc>
          <w:tcPr>
            <w:tcW w:type="dxa" w:w="1392"/>
            <w:vAlign w:val="center"/>
          </w:tcPr>
          <w:p>
            <w:r>
              <w:rPr>
                <w:sz w:val="16"/>
              </w:rPr>
              <w:t>490</w:t>
            </w:r>
          </w:p>
        </w:tc>
        <w:tc>
          <w:tcPr>
            <w:tcW w:type="dxa" w:w="1392"/>
            <w:vAlign w:val="center"/>
          </w:tcPr>
          <w:p>
            <w:r>
              <w:rPr>
                <w:sz w:val="16"/>
              </w:rPr>
              <w:t>BA 0.837 (0.805–0.866)</w:t>
            </w:r>
          </w:p>
        </w:tc>
        <w:tc>
          <w:tcPr>
            <w:tcW w:type="dxa" w:w="1392"/>
            <w:vAlign w:val="center"/>
          </w:tcPr>
          <w:p>
            <w:r>
              <w:rPr>
                <w:sz w:val="16"/>
              </w:rPr>
              <w:t>Se 0.926 (0.897–0.952); Sp 0.747 (0.688–0.801)</w:t>
            </w:r>
          </w:p>
        </w:tc>
        <w:tc>
          <w:tcPr>
            <w:tcW w:type="dxa" w:w="1392"/>
            <w:vAlign w:val="center"/>
          </w:tcPr>
          <w:p>
            <w:r>
              <w:rPr>
                <w:sz w:val="16"/>
              </w:rPr>
              <w:t>AUROC 0.894 (0.862–0.924)</w:t>
            </w:r>
          </w:p>
        </w:tc>
        <w:tc>
          <w:tcPr>
            <w:tcW w:type="dxa" w:w="1392"/>
            <w:vAlign w:val="center"/>
          </w:tcPr>
          <w:p>
            <w:r>
              <w:rPr>
                <w:sz w:val="16"/>
              </w:rPr>
              <w:t>balanced accuracy 0.827; retained original effect threshold</w:t>
            </w:r>
          </w:p>
        </w:tc>
      </w:tr>
      <w:tr>
        <w:trPr>
          <w:cantSplit/>
        </w:trPr>
        <w:tc>
          <w:tcPr>
            <w:tcW w:type="dxa" w:w="1392"/>
            <w:vAlign w:val="center"/>
          </w:tcPr>
          <w:p>
            <w:r>
              <w:rPr>
                <w:sz w:val="16"/>
              </w:rPr>
              <w:t>binary</w:t>
            </w:r>
          </w:p>
        </w:tc>
        <w:tc>
          <w:tcPr>
            <w:tcW w:type="dxa" w:w="1392"/>
            <w:vAlign w:val="center"/>
          </w:tcPr>
          <w:p>
            <w:r>
              <w:rPr>
                <w:sz w:val="16"/>
              </w:rPr>
              <w:t>THYM–GTF2I</w:t>
            </w:r>
          </w:p>
        </w:tc>
        <w:tc>
          <w:tcPr>
            <w:tcW w:type="dxa" w:w="1392"/>
            <w:vAlign w:val="center"/>
          </w:tcPr>
          <w:p>
            <w:r>
              <w:rPr>
                <w:sz w:val="16"/>
              </w:rPr>
              <w:t>120</w:t>
            </w:r>
          </w:p>
        </w:tc>
        <w:tc>
          <w:tcPr>
            <w:tcW w:type="dxa" w:w="1392"/>
            <w:vAlign w:val="center"/>
          </w:tcPr>
          <w:p>
            <w:r>
              <w:rPr>
                <w:sz w:val="16"/>
              </w:rPr>
              <w:t>BA 0.859 (0.803–0.905)</w:t>
            </w:r>
          </w:p>
        </w:tc>
        <w:tc>
          <w:tcPr>
            <w:tcW w:type="dxa" w:w="1392"/>
            <w:vAlign w:val="center"/>
          </w:tcPr>
          <w:p>
            <w:r>
              <w:rPr>
                <w:sz w:val="16"/>
              </w:rPr>
              <w:t>Se 0.878 (0.804–0.940); Sp 0.839 (0.748–0.916)</w:t>
            </w:r>
          </w:p>
        </w:tc>
        <w:tc>
          <w:tcPr>
            <w:tcW w:type="dxa" w:w="1392"/>
            <w:vAlign w:val="center"/>
          </w:tcPr>
          <w:p>
            <w:r>
              <w:rPr>
                <w:sz w:val="16"/>
              </w:rPr>
              <w:t>AUROC 0.907 (0.852–0.955)</w:t>
            </w:r>
          </w:p>
        </w:tc>
        <w:tc>
          <w:tcPr>
            <w:tcW w:type="dxa" w:w="1392"/>
            <w:vAlign w:val="center"/>
          </w:tcPr>
          <w:p>
            <w:r>
              <w:rPr>
                <w:sz w:val="16"/>
              </w:rPr>
              <w:t>balanced accuracy 0.850; retained original effect threshold</w:t>
            </w:r>
          </w:p>
        </w:tc>
      </w:tr>
      <w:tr>
        <w:trPr>
          <w:cantSplit/>
        </w:trPr>
        <w:tc>
          <w:tcPr>
            <w:tcW w:type="dxa" w:w="1392"/>
            <w:vAlign w:val="center"/>
          </w:tcPr>
          <w:p>
            <w:r>
              <w:rPr>
                <w:sz w:val="16"/>
              </w:rPr>
              <w:t>binary</w:t>
            </w:r>
          </w:p>
        </w:tc>
        <w:tc>
          <w:tcPr>
            <w:tcW w:type="dxa" w:w="1392"/>
            <w:vAlign w:val="center"/>
          </w:tcPr>
          <w:p>
            <w:r>
              <w:rPr>
                <w:sz w:val="16"/>
              </w:rPr>
              <w:t>UCEC–Any called fusion</w:t>
            </w:r>
          </w:p>
        </w:tc>
        <w:tc>
          <w:tcPr>
            <w:tcW w:type="dxa" w:w="1392"/>
            <w:vAlign w:val="center"/>
          </w:tcPr>
          <w:p>
            <w:r>
              <w:rPr>
                <w:sz w:val="16"/>
              </w:rPr>
              <w:t>153</w:t>
            </w:r>
          </w:p>
        </w:tc>
        <w:tc>
          <w:tcPr>
            <w:tcW w:type="dxa" w:w="1392"/>
            <w:vAlign w:val="center"/>
          </w:tcPr>
          <w:p>
            <w:r>
              <w:rPr>
                <w:sz w:val="16"/>
              </w:rPr>
              <w:t>BA 0.781 (0.724–0.839)</w:t>
            </w:r>
          </w:p>
        </w:tc>
        <w:tc>
          <w:tcPr>
            <w:tcW w:type="dxa" w:w="1392"/>
            <w:vAlign w:val="center"/>
          </w:tcPr>
          <w:p>
            <w:r>
              <w:rPr>
                <w:sz w:val="16"/>
              </w:rPr>
              <w:t>Se 0.770 (0.683–0.850); Sp 0.792 (0.706–0.868)</w:t>
            </w:r>
          </w:p>
        </w:tc>
        <w:tc>
          <w:tcPr>
            <w:tcW w:type="dxa" w:w="1392"/>
            <w:vAlign w:val="center"/>
          </w:tcPr>
          <w:p>
            <w:r>
              <w:rPr>
                <w:sz w:val="16"/>
              </w:rPr>
              <w:t>AUROC 0.830 (0.770–0.889)</w:t>
            </w:r>
          </w:p>
        </w:tc>
        <w:tc>
          <w:tcPr>
            <w:tcW w:type="dxa" w:w="1392"/>
            <w:vAlign w:val="center"/>
          </w:tcPr>
          <w:p>
            <w:r>
              <w:rPr>
                <w:sz w:val="16"/>
              </w:rPr>
              <w:t>balanced accuracy 0.818; retained original effect threshold</w:t>
            </w:r>
          </w:p>
        </w:tc>
      </w:tr>
      <w:tr>
        <w:trPr>
          <w:cantSplit/>
        </w:trPr>
        <w:tc>
          <w:tcPr>
            <w:tcW w:type="dxa" w:w="1392"/>
            <w:vAlign w:val="center"/>
          </w:tcPr>
          <w:p>
            <w:r>
              <w:rPr>
                <w:sz w:val="16"/>
              </w:rPr>
              <w:t>binary</w:t>
            </w:r>
          </w:p>
        </w:tc>
        <w:tc>
          <w:tcPr>
            <w:tcW w:type="dxa" w:w="1392"/>
            <w:vAlign w:val="center"/>
          </w:tcPr>
          <w:p>
            <w:r>
              <w:rPr>
                <w:sz w:val="16"/>
              </w:rPr>
              <w:t>COAD–MSI-H strict (MANTIS &gt;0.6)</w:t>
            </w:r>
          </w:p>
        </w:tc>
        <w:tc>
          <w:tcPr>
            <w:tcW w:type="dxa" w:w="1392"/>
            <w:vAlign w:val="center"/>
          </w:tcPr>
          <w:p>
            <w:r>
              <w:rPr>
                <w:sz w:val="16"/>
              </w:rPr>
              <w:t>374</w:t>
            </w:r>
          </w:p>
        </w:tc>
        <w:tc>
          <w:tcPr>
            <w:tcW w:type="dxa" w:w="1392"/>
            <w:vAlign w:val="center"/>
          </w:tcPr>
          <w:p>
            <w:r>
              <w:rPr>
                <w:sz w:val="16"/>
              </w:rPr>
              <w:t>BA 0.782 (0.725–0.833)</w:t>
            </w:r>
          </w:p>
        </w:tc>
        <w:tc>
          <w:tcPr>
            <w:tcW w:type="dxa" w:w="1392"/>
            <w:vAlign w:val="center"/>
          </w:tcPr>
          <w:p>
            <w:r>
              <w:rPr>
                <w:sz w:val="16"/>
              </w:rPr>
              <w:t>Se 0.600 (0.489–0.702); Sp 0.964 (0.946–0.980)</w:t>
            </w:r>
          </w:p>
        </w:tc>
        <w:tc>
          <w:tcPr>
            <w:tcW w:type="dxa" w:w="1392"/>
            <w:vAlign w:val="center"/>
          </w:tcPr>
          <w:p>
            <w:r>
              <w:rPr>
                <w:sz w:val="16"/>
              </w:rPr>
              <w:t>AUROC 0.915 (0.874–0.953)</w:t>
            </w:r>
          </w:p>
        </w:tc>
        <w:tc>
          <w:tcPr>
            <w:tcW w:type="dxa" w:w="1392"/>
            <w:vAlign w:val="center"/>
          </w:tcPr>
          <w:p>
            <w:r>
              <w:rPr>
                <w:sz w:val="16"/>
              </w:rPr>
              <w:t>balanced accuracy 0.741; retained original effect threshold</w:t>
            </w:r>
          </w:p>
        </w:tc>
      </w:tr>
      <w:tr>
        <w:trPr>
          <w:cantSplit/>
        </w:trPr>
        <w:tc>
          <w:tcPr>
            <w:tcW w:type="dxa" w:w="1392"/>
            <w:vAlign w:val="center"/>
          </w:tcPr>
          <w:p>
            <w:r>
              <w:rPr>
                <w:sz w:val="16"/>
              </w:rPr>
              <w:t>binary</w:t>
            </w:r>
          </w:p>
        </w:tc>
        <w:tc>
          <w:tcPr>
            <w:tcW w:type="dxa" w:w="1392"/>
            <w:vAlign w:val="center"/>
          </w:tcPr>
          <w:p>
            <w:r>
              <w:rPr>
                <w:sz w:val="16"/>
              </w:rPr>
              <w:t>LGG–HIPPO</w:t>
            </w:r>
          </w:p>
        </w:tc>
        <w:tc>
          <w:tcPr>
            <w:tcW w:type="dxa" w:w="1392"/>
            <w:vAlign w:val="center"/>
          </w:tcPr>
          <w:p>
            <w:r>
              <w:rPr>
                <w:sz w:val="16"/>
              </w:rPr>
              <w:t>481</w:t>
            </w:r>
          </w:p>
        </w:tc>
        <w:tc>
          <w:tcPr>
            <w:tcW w:type="dxa" w:w="1392"/>
            <w:vAlign w:val="center"/>
          </w:tcPr>
          <w:p>
            <w:r>
              <w:rPr>
                <w:sz w:val="16"/>
              </w:rPr>
              <w:t>BA 0.818 (0.777–0.860)</w:t>
            </w:r>
          </w:p>
        </w:tc>
        <w:tc>
          <w:tcPr>
            <w:tcW w:type="dxa" w:w="1392"/>
            <w:vAlign w:val="center"/>
          </w:tcPr>
          <w:p>
            <w:r>
              <w:rPr>
                <w:sz w:val="16"/>
              </w:rPr>
              <w:t>Se 0.941 (0.920–0.960); Sp 0.694 (0.612–0.771)</w:t>
            </w:r>
          </w:p>
        </w:tc>
        <w:tc>
          <w:tcPr>
            <w:tcW w:type="dxa" w:w="1392"/>
            <w:vAlign w:val="center"/>
          </w:tcPr>
          <w:p>
            <w:r>
              <w:rPr>
                <w:sz w:val="16"/>
              </w:rPr>
              <w:t>AUROC 0.887 (0.844–0.924)</w:t>
            </w:r>
          </w:p>
        </w:tc>
        <w:tc>
          <w:tcPr>
            <w:tcW w:type="dxa" w:w="1392"/>
            <w:vAlign w:val="center"/>
          </w:tcPr>
          <w:p>
            <w:r>
              <w:rPr>
                <w:sz w:val="16"/>
              </w:rPr>
              <w:t>balanced accuracy 0.809; retained original effect threshold</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481</w:t>
            </w:r>
          </w:p>
        </w:tc>
        <w:tc>
          <w:tcPr>
            <w:tcW w:type="dxa" w:w="1392"/>
            <w:vAlign w:val="center"/>
          </w:tcPr>
          <w:p>
            <w:r>
              <w:rPr>
                <w:sz w:val="16"/>
              </w:rPr>
              <w:t>BA 0.825 (0.796–0.856)</w:t>
            </w:r>
          </w:p>
        </w:tc>
        <w:tc>
          <w:tcPr>
            <w:tcW w:type="dxa" w:w="1392"/>
            <w:vAlign w:val="center"/>
          </w:tcPr>
          <w:p>
            <w:r>
              <w:rPr>
                <w:sz w:val="16"/>
              </w:rPr>
              <w:t>Se 0.803 (0.758–0.848); Sp 0.847 (0.807–0.889)</w:t>
            </w:r>
          </w:p>
        </w:tc>
        <w:tc>
          <w:tcPr>
            <w:tcW w:type="dxa" w:w="1392"/>
            <w:vAlign w:val="center"/>
          </w:tcPr>
          <w:p>
            <w:r>
              <w:rPr>
                <w:sz w:val="16"/>
              </w:rPr>
              <w:t>AUROC 0.883 (0.852–0.914)</w:t>
            </w:r>
          </w:p>
        </w:tc>
        <w:tc>
          <w:tcPr>
            <w:tcW w:type="dxa" w:w="1392"/>
            <w:vAlign w:val="center"/>
          </w:tcPr>
          <w:p>
            <w:r>
              <w:rPr>
                <w:sz w:val="16"/>
              </w:rPr>
              <w:t>balanced accuracy 0.819; retained original effect threshold</w:t>
            </w:r>
          </w:p>
        </w:tc>
      </w:tr>
      <w:tr>
        <w:trPr>
          <w:cantSplit/>
        </w:trPr>
        <w:tc>
          <w:tcPr>
            <w:tcW w:type="dxa" w:w="1392"/>
            <w:vAlign w:val="center"/>
          </w:tcPr>
          <w:p>
            <w:r>
              <w:rPr>
                <w:sz w:val="16"/>
              </w:rPr>
              <w:t>continuous</w:t>
            </w:r>
          </w:p>
        </w:tc>
        <w:tc>
          <w:tcPr>
            <w:tcW w:type="dxa" w:w="1392"/>
            <w:vAlign w:val="center"/>
          </w:tcPr>
          <w:p>
            <w:r>
              <w:rPr>
                <w:sz w:val="16"/>
              </w:rPr>
              <w:t>BRCA–Proliferation</w:t>
            </w:r>
          </w:p>
        </w:tc>
        <w:tc>
          <w:tcPr>
            <w:tcW w:type="dxa" w:w="1392"/>
            <w:vAlign w:val="center"/>
          </w:tcPr>
          <w:p>
            <w:r>
              <w:rPr>
                <w:sz w:val="16"/>
              </w:rPr>
              <w:t>1039</w:t>
            </w:r>
          </w:p>
        </w:tc>
        <w:tc>
          <w:tcPr>
            <w:tcW w:type="dxa" w:w="1392"/>
            <w:vAlign w:val="center"/>
          </w:tcPr>
          <w:p>
            <w:r>
              <w:rPr>
                <w:sz w:val="16"/>
              </w:rPr>
              <w:t>Q² 0.515 (0.467–0.560)</w:t>
            </w:r>
          </w:p>
        </w:tc>
        <w:tc>
          <w:tcPr>
            <w:tcW w:type="dxa" w:w="1392"/>
            <w:vAlign w:val="center"/>
          </w:tcPr>
          <w:p>
            <w:r>
              <w:rPr>
                <w:sz w:val="16"/>
              </w:rPr>
              <w:t>Not applicable</w:t>
            </w:r>
          </w:p>
        </w:tc>
        <w:tc>
          <w:tcPr>
            <w:tcW w:type="dxa" w:w="1392"/>
            <w:vAlign w:val="center"/>
          </w:tcPr>
          <w:p>
            <w:r>
              <w:rPr>
                <w:sz w:val="16"/>
              </w:rPr>
              <w:t>RMSE 0.441 (0.418–0.466); ρ 0.740 (0.710–0.770)</w:t>
            </w:r>
          </w:p>
        </w:tc>
        <w:tc>
          <w:tcPr>
            <w:tcW w:type="dxa" w:w="1392"/>
            <w:vAlign w:val="center"/>
          </w:tcPr>
          <w:p>
            <w:r>
              <w:rPr>
                <w:sz w:val="16"/>
              </w:rPr>
              <w:t>Q2 0.498; retained original effect threshold</w:t>
            </w:r>
          </w:p>
        </w:tc>
      </w:tr>
      <w:tr>
        <w:trPr>
          <w:cantSplit/>
        </w:trPr>
        <w:tc>
          <w:tcPr>
            <w:tcW w:type="dxa" w:w="1392"/>
            <w:vAlign w:val="center"/>
          </w:tcPr>
          <w:p>
            <w:r>
              <w:rPr>
                <w:sz w:val="16"/>
              </w:rPr>
              <w:t>continuous</w:t>
            </w:r>
          </w:p>
        </w:tc>
        <w:tc>
          <w:tcPr>
            <w:tcW w:type="dxa" w:w="1392"/>
            <w:vAlign w:val="center"/>
          </w:tcPr>
          <w:p>
            <w:r>
              <w:rPr>
                <w:sz w:val="16"/>
              </w:rPr>
              <w:t>BRCA–Wound Healing</w:t>
            </w:r>
          </w:p>
        </w:tc>
        <w:tc>
          <w:tcPr>
            <w:tcW w:type="dxa" w:w="1392"/>
            <w:vAlign w:val="center"/>
          </w:tcPr>
          <w:p>
            <w:r>
              <w:rPr>
                <w:sz w:val="16"/>
              </w:rPr>
              <w:t>1039</w:t>
            </w:r>
          </w:p>
        </w:tc>
        <w:tc>
          <w:tcPr>
            <w:tcW w:type="dxa" w:w="1392"/>
            <w:vAlign w:val="center"/>
          </w:tcPr>
          <w:p>
            <w:r>
              <w:rPr>
                <w:sz w:val="16"/>
              </w:rPr>
              <w:t>Q² 0.528 (0.483–0.569)</w:t>
            </w:r>
          </w:p>
        </w:tc>
        <w:tc>
          <w:tcPr>
            <w:tcW w:type="dxa" w:w="1392"/>
            <w:vAlign w:val="center"/>
          </w:tcPr>
          <w:p>
            <w:r>
              <w:rPr>
                <w:sz w:val="16"/>
              </w:rPr>
              <w:t>Not applicable</w:t>
            </w:r>
          </w:p>
        </w:tc>
        <w:tc>
          <w:tcPr>
            <w:tcW w:type="dxa" w:w="1392"/>
            <w:vAlign w:val="center"/>
          </w:tcPr>
          <w:p>
            <w:r>
              <w:rPr>
                <w:sz w:val="16"/>
              </w:rPr>
              <w:t>RMSE 0.111 (0.106–0.116); ρ 0.724 (0.694–0.753)</w:t>
            </w:r>
          </w:p>
        </w:tc>
        <w:tc>
          <w:tcPr>
            <w:tcW w:type="dxa" w:w="1392"/>
            <w:vAlign w:val="center"/>
          </w:tcPr>
          <w:p>
            <w:r>
              <w:rPr>
                <w:sz w:val="16"/>
              </w:rPr>
              <w:t>Q2 0.508; retained original effect threshold</w:t>
            </w:r>
          </w:p>
        </w:tc>
      </w:tr>
      <w:tr>
        <w:trPr>
          <w:cantSplit/>
        </w:trPr>
        <w:tc>
          <w:tcPr>
            <w:tcW w:type="dxa" w:w="1392"/>
            <w:vAlign w:val="center"/>
          </w:tcPr>
          <w:p>
            <w:r>
              <w:rPr>
                <w:sz w:val="16"/>
              </w:rPr>
              <w:t>continuous</w:t>
            </w:r>
          </w:p>
        </w:tc>
        <w:tc>
          <w:tcPr>
            <w:tcW w:type="dxa" w:w="1392"/>
            <w:vAlign w:val="center"/>
          </w:tcPr>
          <w:p>
            <w:r>
              <w:rPr>
                <w:sz w:val="16"/>
              </w:rPr>
              <w:t>KIRP–Proliferation</w:t>
            </w:r>
          </w:p>
        </w:tc>
        <w:tc>
          <w:tcPr>
            <w:tcW w:type="dxa" w:w="1392"/>
            <w:vAlign w:val="center"/>
          </w:tcPr>
          <w:p>
            <w:r>
              <w:rPr>
                <w:sz w:val="16"/>
              </w:rPr>
              <w:t>261</w:t>
            </w:r>
          </w:p>
        </w:tc>
        <w:tc>
          <w:tcPr>
            <w:tcW w:type="dxa" w:w="1392"/>
            <w:vAlign w:val="center"/>
          </w:tcPr>
          <w:p>
            <w:r>
              <w:rPr>
                <w:sz w:val="16"/>
              </w:rPr>
              <w:t>Q² 0.499 (0.386–0.585)</w:t>
            </w:r>
          </w:p>
        </w:tc>
        <w:tc>
          <w:tcPr>
            <w:tcW w:type="dxa" w:w="1392"/>
            <w:vAlign w:val="center"/>
          </w:tcPr>
          <w:p>
            <w:r>
              <w:rPr>
                <w:sz w:val="16"/>
              </w:rPr>
              <w:t>Not applicable</w:t>
            </w:r>
          </w:p>
        </w:tc>
        <w:tc>
          <w:tcPr>
            <w:tcW w:type="dxa" w:w="1392"/>
            <w:vAlign w:val="center"/>
          </w:tcPr>
          <w:p>
            <w:r>
              <w:rPr>
                <w:sz w:val="16"/>
              </w:rPr>
              <w:t>RMSE 0.400 (0.364–0.429); ρ 0.605 (0.521–0.688)</w:t>
            </w:r>
          </w:p>
        </w:tc>
        <w:tc>
          <w:tcPr>
            <w:tcW w:type="dxa" w:w="1392"/>
            <w:vAlign w:val="center"/>
          </w:tcPr>
          <w:p>
            <w:r>
              <w:rPr>
                <w:sz w:val="16"/>
              </w:rPr>
              <w:t>Q2 0.516; retained original effect threshold</w:t>
            </w:r>
          </w:p>
        </w:tc>
      </w:tr>
      <w:tr>
        <w:trPr>
          <w:cantSplit/>
        </w:trPr>
        <w:tc>
          <w:tcPr>
            <w:tcW w:type="dxa" w:w="1392"/>
            <w:vAlign w:val="center"/>
          </w:tcPr>
          <w:p>
            <w:r>
              <w:rPr>
                <w:sz w:val="16"/>
              </w:rPr>
              <w:t>continuous</w:t>
            </w:r>
          </w:p>
        </w:tc>
        <w:tc>
          <w:tcPr>
            <w:tcW w:type="dxa" w:w="1392"/>
            <w:vAlign w:val="center"/>
          </w:tcPr>
          <w:p>
            <w:r>
              <w:rPr>
                <w:sz w:val="16"/>
              </w:rPr>
              <w:t>LUAD–Proliferation</w:t>
            </w:r>
          </w:p>
        </w:tc>
        <w:tc>
          <w:tcPr>
            <w:tcW w:type="dxa" w:w="1392"/>
            <w:vAlign w:val="center"/>
          </w:tcPr>
          <w:p>
            <w:r>
              <w:rPr>
                <w:sz w:val="16"/>
              </w:rPr>
              <w:t>410</w:t>
            </w:r>
          </w:p>
        </w:tc>
        <w:tc>
          <w:tcPr>
            <w:tcW w:type="dxa" w:w="1392"/>
            <w:vAlign w:val="center"/>
          </w:tcPr>
          <w:p>
            <w:r>
              <w:rPr>
                <w:sz w:val="16"/>
              </w:rPr>
              <w:t>Q² 0.524 (0.443–0.591)</w:t>
            </w:r>
          </w:p>
        </w:tc>
        <w:tc>
          <w:tcPr>
            <w:tcW w:type="dxa" w:w="1392"/>
            <w:vAlign w:val="center"/>
          </w:tcPr>
          <w:p>
            <w:r>
              <w:rPr>
                <w:sz w:val="16"/>
              </w:rPr>
              <w:t>Not applicable</w:t>
            </w:r>
          </w:p>
        </w:tc>
        <w:tc>
          <w:tcPr>
            <w:tcW w:type="dxa" w:w="1392"/>
            <w:vAlign w:val="center"/>
          </w:tcPr>
          <w:p>
            <w:r>
              <w:rPr>
                <w:sz w:val="16"/>
              </w:rPr>
              <w:t>RMSE 0.450 (0.413–0.486); ρ 0.729 (0.674–0.777)</w:t>
            </w:r>
          </w:p>
        </w:tc>
        <w:tc>
          <w:tcPr>
            <w:tcW w:type="dxa" w:w="1392"/>
            <w:vAlign w:val="center"/>
          </w:tcPr>
          <w:p>
            <w:r>
              <w:rPr>
                <w:sz w:val="16"/>
              </w:rPr>
              <w:t>Q2 0.490; retained original effect threshold</w:t>
            </w:r>
          </w:p>
        </w:tc>
      </w:tr>
      <w:tr>
        <w:trPr>
          <w:cantSplit/>
        </w:trPr>
        <w:tc>
          <w:tcPr>
            <w:tcW w:type="dxa" w:w="1392"/>
            <w:vAlign w:val="center"/>
          </w:tcPr>
          <w:p>
            <w:r>
              <w:rPr>
                <w:sz w:val="16"/>
              </w:rPr>
              <w:t>continuous</w:t>
            </w:r>
          </w:p>
        </w:tc>
        <w:tc>
          <w:tcPr>
            <w:tcW w:type="dxa" w:w="1392"/>
            <w:vAlign w:val="center"/>
          </w:tcPr>
          <w:p>
            <w:r>
              <w:rPr>
                <w:sz w:val="16"/>
              </w:rPr>
              <w:t>SARC–Macrophage Regulation</w:t>
            </w:r>
          </w:p>
        </w:tc>
        <w:tc>
          <w:tcPr>
            <w:tcW w:type="dxa" w:w="1392"/>
            <w:vAlign w:val="center"/>
          </w:tcPr>
          <w:p>
            <w:r>
              <w:rPr>
                <w:sz w:val="16"/>
              </w:rPr>
              <w:t>218</w:t>
            </w:r>
          </w:p>
        </w:tc>
        <w:tc>
          <w:tcPr>
            <w:tcW w:type="dxa" w:w="1392"/>
            <w:vAlign w:val="center"/>
          </w:tcPr>
          <w:p>
            <w:r>
              <w:rPr>
                <w:sz w:val="16"/>
              </w:rPr>
              <w:t>Q² 0.502 (0.401–0.584)</w:t>
            </w:r>
          </w:p>
        </w:tc>
        <w:tc>
          <w:tcPr>
            <w:tcW w:type="dxa" w:w="1392"/>
            <w:vAlign w:val="center"/>
          </w:tcPr>
          <w:p>
            <w:r>
              <w:rPr>
                <w:sz w:val="16"/>
              </w:rPr>
              <w:t>Not applicable</w:t>
            </w:r>
          </w:p>
        </w:tc>
        <w:tc>
          <w:tcPr>
            <w:tcW w:type="dxa" w:w="1392"/>
            <w:vAlign w:val="center"/>
          </w:tcPr>
          <w:p>
            <w:r>
              <w:rPr>
                <w:sz w:val="16"/>
              </w:rPr>
              <w:t>RMSE 0.629 (0.577–0.678); ρ 0.697 (0.622–0.759)</w:t>
            </w:r>
          </w:p>
        </w:tc>
        <w:tc>
          <w:tcPr>
            <w:tcW w:type="dxa" w:w="1392"/>
            <w:vAlign w:val="center"/>
          </w:tcPr>
          <w:p>
            <w:r>
              <w:rPr>
                <w:sz w:val="16"/>
              </w:rPr>
              <w:t>Q2 0.479; retained original effect threshold</w:t>
            </w:r>
          </w:p>
        </w:tc>
      </w:tr>
      <w:tr>
        <w:trPr>
          <w:cantSplit/>
        </w:trPr>
        <w:tc>
          <w:tcPr>
            <w:tcW w:type="dxa" w:w="1392"/>
            <w:vAlign w:val="center"/>
          </w:tcPr>
          <w:p>
            <w:r>
              <w:rPr>
                <w:sz w:val="16"/>
              </w:rPr>
              <w:t>continuous</w:t>
            </w:r>
          </w:p>
        </w:tc>
        <w:tc>
          <w:tcPr>
            <w:tcW w:type="dxa" w:w="1392"/>
            <w:vAlign w:val="center"/>
          </w:tcPr>
          <w:p>
            <w:r>
              <w:rPr>
                <w:sz w:val="16"/>
              </w:rPr>
              <w:t>TGCT–TGF-beta Response</w:t>
            </w:r>
          </w:p>
        </w:tc>
        <w:tc>
          <w:tcPr>
            <w:tcW w:type="dxa" w:w="1392"/>
            <w:vAlign w:val="center"/>
          </w:tcPr>
          <w:p>
            <w:r>
              <w:rPr>
                <w:sz w:val="16"/>
              </w:rPr>
              <w:t>148</w:t>
            </w:r>
          </w:p>
        </w:tc>
        <w:tc>
          <w:tcPr>
            <w:tcW w:type="dxa" w:w="1392"/>
            <w:vAlign w:val="center"/>
          </w:tcPr>
          <w:p>
            <w:r>
              <w:rPr>
                <w:sz w:val="16"/>
              </w:rPr>
              <w:t>Q² 0.670 (0.573–0.741)</w:t>
            </w:r>
          </w:p>
        </w:tc>
        <w:tc>
          <w:tcPr>
            <w:tcW w:type="dxa" w:w="1392"/>
            <w:vAlign w:val="center"/>
          </w:tcPr>
          <w:p>
            <w:r>
              <w:rPr>
                <w:sz w:val="16"/>
              </w:rPr>
              <w:t>Not applicable</w:t>
            </w:r>
          </w:p>
        </w:tc>
        <w:tc>
          <w:tcPr>
            <w:tcW w:type="dxa" w:w="1392"/>
            <w:vAlign w:val="center"/>
          </w:tcPr>
          <w:p>
            <w:r>
              <w:rPr>
                <w:sz w:val="16"/>
              </w:rPr>
              <w:t>RMSE 0.303 (0.269–0.337); ρ 0.791 (0.713–0.842)</w:t>
            </w:r>
          </w:p>
        </w:tc>
        <w:tc>
          <w:tcPr>
            <w:tcW w:type="dxa" w:w="1392"/>
            <w:vAlign w:val="center"/>
          </w:tcPr>
          <w:p>
            <w:r>
              <w:rPr>
                <w:sz w:val="16"/>
              </w:rPr>
              <w:t>Q2 0.596; retained original effect threshold</w:t>
            </w:r>
          </w:p>
        </w:tc>
      </w:tr>
      <w:tr>
        <w:trPr>
          <w:cantSplit/>
        </w:trPr>
        <w:tc>
          <w:tcPr>
            <w:tcW w:type="dxa" w:w="1392"/>
            <w:vAlign w:val="center"/>
          </w:tcPr>
          <w:p>
            <w:r>
              <w:rPr>
                <w:sz w:val="16"/>
              </w:rPr>
              <w:t>continuous</w:t>
            </w:r>
          </w:p>
        </w:tc>
        <w:tc>
          <w:tcPr>
            <w:tcW w:type="dxa" w:w="1392"/>
            <w:vAlign w:val="center"/>
          </w:tcPr>
          <w:p>
            <w:r>
              <w:rPr>
                <w:sz w:val="16"/>
              </w:rPr>
              <w:t>TGCT–Wound Healing</w:t>
            </w:r>
          </w:p>
        </w:tc>
        <w:tc>
          <w:tcPr>
            <w:tcW w:type="dxa" w:w="1392"/>
            <w:vAlign w:val="center"/>
          </w:tcPr>
          <w:p>
            <w:r>
              <w:rPr>
                <w:sz w:val="16"/>
              </w:rPr>
              <w:t>148</w:t>
            </w:r>
          </w:p>
        </w:tc>
        <w:tc>
          <w:tcPr>
            <w:tcW w:type="dxa" w:w="1392"/>
            <w:vAlign w:val="center"/>
          </w:tcPr>
          <w:p>
            <w:r>
              <w:rPr>
                <w:sz w:val="16"/>
              </w:rPr>
              <w:t>Q² 0.511 (0.360–0.620)</w:t>
            </w:r>
          </w:p>
        </w:tc>
        <w:tc>
          <w:tcPr>
            <w:tcW w:type="dxa" w:w="1392"/>
            <w:vAlign w:val="center"/>
          </w:tcPr>
          <w:p>
            <w:r>
              <w:rPr>
                <w:sz w:val="16"/>
              </w:rPr>
              <w:t>Not applicable</w:t>
            </w:r>
          </w:p>
        </w:tc>
        <w:tc>
          <w:tcPr>
            <w:tcW w:type="dxa" w:w="1392"/>
            <w:vAlign w:val="center"/>
          </w:tcPr>
          <w:p>
            <w:r>
              <w:rPr>
                <w:sz w:val="16"/>
              </w:rPr>
              <w:t>RMSE 0.136 (0.122–0.151); ρ 0.668 (0.549–0.764)</w:t>
            </w:r>
          </w:p>
        </w:tc>
        <w:tc>
          <w:tcPr>
            <w:tcW w:type="dxa" w:w="1392"/>
            <w:vAlign w:val="center"/>
          </w:tcPr>
          <w:p>
            <w:r>
              <w:rPr>
                <w:sz w:val="16"/>
              </w:rPr>
              <w:t>Q2 0.359; retained original effect threshold</w:t>
            </w:r>
          </w:p>
        </w:tc>
      </w:tr>
      <w:tr>
        <w:trPr>
          <w:cantSplit/>
        </w:trPr>
        <w:tc>
          <w:tcPr>
            <w:tcW w:type="dxa" w:w="1392"/>
            <w:vAlign w:val="center"/>
          </w:tcPr>
          <w:p>
            <w:r>
              <w:rPr>
                <w:sz w:val="16"/>
              </w:rPr>
              <w:t>continuous</w:t>
            </w:r>
          </w:p>
        </w:tc>
        <w:tc>
          <w:tcPr>
            <w:tcW w:type="dxa" w:w="1392"/>
            <w:vAlign w:val="center"/>
          </w:tcPr>
          <w:p>
            <w:r>
              <w:rPr>
                <w:sz w:val="16"/>
              </w:rPr>
              <w:t>THCA–Lymphocyte Infiltration Signature Score</w:t>
            </w:r>
          </w:p>
        </w:tc>
        <w:tc>
          <w:tcPr>
            <w:tcW w:type="dxa" w:w="1392"/>
            <w:vAlign w:val="center"/>
          </w:tcPr>
          <w:p>
            <w:r>
              <w:rPr>
                <w:sz w:val="16"/>
              </w:rPr>
              <w:t>498</w:t>
            </w:r>
          </w:p>
        </w:tc>
        <w:tc>
          <w:tcPr>
            <w:tcW w:type="dxa" w:w="1392"/>
            <w:vAlign w:val="center"/>
          </w:tcPr>
          <w:p>
            <w:r>
              <w:rPr>
                <w:sz w:val="16"/>
              </w:rPr>
              <w:t>Q² 0.577 (0.511–0.636)</w:t>
            </w:r>
          </w:p>
        </w:tc>
        <w:tc>
          <w:tcPr>
            <w:tcW w:type="dxa" w:w="1392"/>
            <w:vAlign w:val="center"/>
          </w:tcPr>
          <w:p>
            <w:r>
              <w:rPr>
                <w:sz w:val="16"/>
              </w:rPr>
              <w:t>Not applicable</w:t>
            </w:r>
          </w:p>
        </w:tc>
        <w:tc>
          <w:tcPr>
            <w:tcW w:type="dxa" w:w="1392"/>
            <w:vAlign w:val="center"/>
          </w:tcPr>
          <w:p>
            <w:r>
              <w:rPr>
                <w:sz w:val="16"/>
              </w:rPr>
              <w:t>RMSE 0.781 (0.722–0.844); ρ 0.742 (0.693–0.786)</w:t>
            </w:r>
          </w:p>
        </w:tc>
        <w:tc>
          <w:tcPr>
            <w:tcW w:type="dxa" w:w="1392"/>
            <w:vAlign w:val="center"/>
          </w:tcPr>
          <w:p>
            <w:r>
              <w:rPr>
                <w:sz w:val="16"/>
              </w:rPr>
              <w:t>Q2 0.544; retained original effect threshold</w:t>
            </w:r>
          </w:p>
        </w:tc>
      </w:tr>
      <w:tr>
        <w:trPr>
          <w:cantSplit/>
        </w:trPr>
        <w:tc>
          <w:tcPr>
            <w:tcW w:type="dxa" w:w="1392"/>
            <w:vAlign w:val="center"/>
          </w:tcPr>
          <w:p>
            <w:r>
              <w:rPr>
                <w:sz w:val="16"/>
              </w:rPr>
              <w:t>continuous</w:t>
            </w:r>
          </w:p>
        </w:tc>
        <w:tc>
          <w:tcPr>
            <w:tcW w:type="dxa" w:w="1392"/>
            <w:vAlign w:val="center"/>
          </w:tcPr>
          <w:p>
            <w:r>
              <w:rPr>
                <w:sz w:val="16"/>
              </w:rPr>
              <w:t>THCA–Macrophage Regulation</w:t>
            </w:r>
          </w:p>
        </w:tc>
        <w:tc>
          <w:tcPr>
            <w:tcW w:type="dxa" w:w="1392"/>
            <w:vAlign w:val="center"/>
          </w:tcPr>
          <w:p>
            <w:r>
              <w:rPr>
                <w:sz w:val="16"/>
              </w:rPr>
              <w:t>498</w:t>
            </w:r>
          </w:p>
        </w:tc>
        <w:tc>
          <w:tcPr>
            <w:tcW w:type="dxa" w:w="1392"/>
            <w:vAlign w:val="center"/>
          </w:tcPr>
          <w:p>
            <w:r>
              <w:rPr>
                <w:sz w:val="16"/>
              </w:rPr>
              <w:t>Q² 0.509 (0.438–0.580)</w:t>
            </w:r>
          </w:p>
        </w:tc>
        <w:tc>
          <w:tcPr>
            <w:tcW w:type="dxa" w:w="1392"/>
            <w:vAlign w:val="center"/>
          </w:tcPr>
          <w:p>
            <w:r>
              <w:rPr>
                <w:sz w:val="16"/>
              </w:rPr>
              <w:t>Not applicable</w:t>
            </w:r>
          </w:p>
        </w:tc>
        <w:tc>
          <w:tcPr>
            <w:tcW w:type="dxa" w:w="1392"/>
            <w:vAlign w:val="center"/>
          </w:tcPr>
          <w:p>
            <w:r>
              <w:rPr>
                <w:sz w:val="16"/>
              </w:rPr>
              <w:t>RMSE 0.453 (0.418–0.492); ρ 0.704 (0.653–0.754)</w:t>
            </w:r>
          </w:p>
        </w:tc>
        <w:tc>
          <w:tcPr>
            <w:tcW w:type="dxa" w:w="1392"/>
            <w:vAlign w:val="center"/>
          </w:tcPr>
          <w:p>
            <w:r>
              <w:rPr>
                <w:sz w:val="16"/>
              </w:rPr>
              <w:t>Q2 0.466; retained original effect threshold</w:t>
            </w:r>
          </w:p>
        </w:tc>
      </w:tr>
      <w:tr>
        <w:trPr>
          <w:cantSplit/>
        </w:trPr>
        <w:tc>
          <w:tcPr>
            <w:tcW w:type="dxa" w:w="1392"/>
            <w:vAlign w:val="center"/>
          </w:tcPr>
          <w:p>
            <w:r>
              <w:rPr>
                <w:sz w:val="16"/>
              </w:rPr>
              <w:t>continuous</w:t>
            </w:r>
          </w:p>
        </w:tc>
        <w:tc>
          <w:tcPr>
            <w:tcW w:type="dxa" w:w="1392"/>
            <w:vAlign w:val="center"/>
          </w:tcPr>
          <w:p>
            <w:r>
              <w:rPr>
                <w:sz w:val="16"/>
              </w:rPr>
              <w:t>THCA–TGF-beta Response</w:t>
            </w:r>
          </w:p>
        </w:tc>
        <w:tc>
          <w:tcPr>
            <w:tcW w:type="dxa" w:w="1392"/>
            <w:vAlign w:val="center"/>
          </w:tcPr>
          <w:p>
            <w:r>
              <w:rPr>
                <w:sz w:val="16"/>
              </w:rPr>
              <w:t>498</w:t>
            </w:r>
          </w:p>
        </w:tc>
        <w:tc>
          <w:tcPr>
            <w:tcW w:type="dxa" w:w="1392"/>
            <w:vAlign w:val="center"/>
          </w:tcPr>
          <w:p>
            <w:r>
              <w:rPr>
                <w:sz w:val="16"/>
              </w:rPr>
              <w:t>Q² 0.524 (0.458–0.587)</w:t>
            </w:r>
          </w:p>
        </w:tc>
        <w:tc>
          <w:tcPr>
            <w:tcW w:type="dxa" w:w="1392"/>
            <w:vAlign w:val="center"/>
          </w:tcPr>
          <w:p>
            <w:r>
              <w:rPr>
                <w:sz w:val="16"/>
              </w:rPr>
              <w:t>Not applicable</w:t>
            </w:r>
          </w:p>
        </w:tc>
        <w:tc>
          <w:tcPr>
            <w:tcW w:type="dxa" w:w="1392"/>
            <w:vAlign w:val="center"/>
          </w:tcPr>
          <w:p>
            <w:r>
              <w:rPr>
                <w:sz w:val="16"/>
              </w:rPr>
              <w:t>RMSE 0.233 (0.214–0.249); ρ 0.707 (0.658–0.752)</w:t>
            </w:r>
          </w:p>
        </w:tc>
        <w:tc>
          <w:tcPr>
            <w:tcW w:type="dxa" w:w="1392"/>
            <w:vAlign w:val="center"/>
          </w:tcPr>
          <w:p>
            <w:r>
              <w:rPr>
                <w:sz w:val="16"/>
              </w:rPr>
              <w:t>Q2 0.533; retained original effect threshold</w:t>
            </w:r>
          </w:p>
        </w:tc>
      </w:tr>
      <w:tr>
        <w:trPr>
          <w:cantSplit/>
        </w:trPr>
        <w:tc>
          <w:tcPr>
            <w:tcW w:type="dxa" w:w="1392"/>
            <w:vAlign w:val="center"/>
          </w:tcPr>
          <w:p>
            <w:r>
              <w:rPr>
                <w:sz w:val="16"/>
              </w:rPr>
              <w:t>continuous</w:t>
            </w:r>
          </w:p>
        </w:tc>
        <w:tc>
          <w:tcPr>
            <w:tcW w:type="dxa" w:w="1392"/>
            <w:vAlign w:val="center"/>
          </w:tcPr>
          <w:p>
            <w:r>
              <w:rPr>
                <w:sz w:val="16"/>
              </w:rPr>
              <w:t>THCA–Th1 Cells</w:t>
            </w:r>
          </w:p>
        </w:tc>
        <w:tc>
          <w:tcPr>
            <w:tcW w:type="dxa" w:w="1392"/>
            <w:vAlign w:val="center"/>
          </w:tcPr>
          <w:p>
            <w:r>
              <w:rPr>
                <w:sz w:val="16"/>
              </w:rPr>
              <w:t>498</w:t>
            </w:r>
          </w:p>
        </w:tc>
        <w:tc>
          <w:tcPr>
            <w:tcW w:type="dxa" w:w="1392"/>
            <w:vAlign w:val="center"/>
          </w:tcPr>
          <w:p>
            <w:r>
              <w:rPr>
                <w:sz w:val="16"/>
              </w:rPr>
              <w:t>Q² 0.514 (0.444–0.573)</w:t>
            </w:r>
          </w:p>
        </w:tc>
        <w:tc>
          <w:tcPr>
            <w:tcW w:type="dxa" w:w="1392"/>
            <w:vAlign w:val="center"/>
          </w:tcPr>
          <w:p>
            <w:r>
              <w:rPr>
                <w:sz w:val="16"/>
              </w:rPr>
              <w:t>Not applicable</w:t>
            </w:r>
          </w:p>
        </w:tc>
        <w:tc>
          <w:tcPr>
            <w:tcW w:type="dxa" w:w="1392"/>
            <w:vAlign w:val="center"/>
          </w:tcPr>
          <w:p>
            <w:r>
              <w:rPr>
                <w:sz w:val="16"/>
              </w:rPr>
              <w:t>RMSE 508.154 (472.842–543.826); ρ 0.704 (0.653–0.752)</w:t>
            </w:r>
          </w:p>
        </w:tc>
        <w:tc>
          <w:tcPr>
            <w:tcW w:type="dxa" w:w="1392"/>
            <w:vAlign w:val="center"/>
          </w:tcPr>
          <w:p>
            <w:r>
              <w:rPr>
                <w:sz w:val="16"/>
              </w:rPr>
              <w:t>Q2 0.417; retained original effect threshold</w:t>
            </w:r>
          </w:p>
        </w:tc>
      </w:tr>
      <w:tr>
        <w:trPr>
          <w:cantSplit/>
        </w:trPr>
        <w:tc>
          <w:tcPr>
            <w:tcW w:type="dxa" w:w="1392"/>
            <w:vAlign w:val="center"/>
          </w:tcPr>
          <w:p>
            <w:r>
              <w:rPr>
                <w:sz w:val="16"/>
              </w:rPr>
              <w:t>continuous</w:t>
            </w:r>
          </w:p>
        </w:tc>
        <w:tc>
          <w:tcPr>
            <w:tcW w:type="dxa" w:w="1392"/>
            <w:vAlign w:val="center"/>
          </w:tcPr>
          <w:p>
            <w:r>
              <w:rPr>
                <w:sz w:val="16"/>
              </w:rPr>
              <w:t>THYM–Th17 Cells</w:t>
            </w:r>
          </w:p>
        </w:tc>
        <w:tc>
          <w:tcPr>
            <w:tcW w:type="dxa" w:w="1392"/>
            <w:vAlign w:val="center"/>
          </w:tcPr>
          <w:p>
            <w:r>
              <w:rPr>
                <w:sz w:val="16"/>
              </w:rPr>
              <w:t>117</w:t>
            </w:r>
          </w:p>
        </w:tc>
        <w:tc>
          <w:tcPr>
            <w:tcW w:type="dxa" w:w="1392"/>
            <w:vAlign w:val="center"/>
          </w:tcPr>
          <w:p>
            <w:r>
              <w:rPr>
                <w:sz w:val="16"/>
              </w:rPr>
              <w:t>Q² 0.594 (0.455–0.698)</w:t>
            </w:r>
          </w:p>
        </w:tc>
        <w:tc>
          <w:tcPr>
            <w:tcW w:type="dxa" w:w="1392"/>
            <w:vAlign w:val="center"/>
          </w:tcPr>
          <w:p>
            <w:r>
              <w:rPr>
                <w:sz w:val="16"/>
              </w:rPr>
              <w:t>Not applicable</w:t>
            </w:r>
          </w:p>
        </w:tc>
        <w:tc>
          <w:tcPr>
            <w:tcW w:type="dxa" w:w="1392"/>
            <w:vAlign w:val="center"/>
          </w:tcPr>
          <w:p>
            <w:r>
              <w:rPr>
                <w:sz w:val="16"/>
              </w:rPr>
              <w:t>RMSE 1743.443 (1514.535–1979.481); ρ 0.738 (0.636–0.811)</w:t>
            </w:r>
          </w:p>
        </w:tc>
        <w:tc>
          <w:tcPr>
            <w:tcW w:type="dxa" w:w="1392"/>
            <w:vAlign w:val="center"/>
          </w:tcPr>
          <w:p>
            <w:r>
              <w:rPr>
                <w:sz w:val="16"/>
              </w:rPr>
              <w:t>Q2 0.572; retained original effect threshold</w:t>
            </w:r>
          </w:p>
        </w:tc>
      </w:tr>
    </w:tbl>
    <w:p/>
    <w:p>
      <w:pPr>
        <w:pStyle w:val="Heading1"/>
      </w:pPr>
      <w:r>
        <w:t>Table S6b. Highlighted-model research-use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a7ca2bb49606; feature-schema SHA-256 prefix: 87db12d75e44; TITAN-file SHA-256 prefix: d3d91fb0f83a; fastPLS 0.99.20 (dcf45cc), cpu/rsvd; rSVD oversampling 10, power 2; analysis fingerprint prefix: 65f5c4e5df41; external validation: none; patient training rows retained: FALSE; TSS-grouped sites: 24; delta: -0.250; status: site-sensitive: near chance or worse; inner site separation: TRUE;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e1a75fee3e5f; feature-schema SHA-256 prefix: 87db12d75e44; TITAN-file SHA-256 prefix: d3d91fb0f83a; fastPLS 0.99.20 (dcf45cc), cpu/rsvd; rSVD oversampling 10, power 2; analysis fingerprint prefix: 65f5c4e5df41; external validation: none; patient training rows retained: FALSE; TSS-grouped sites: 24; delta: -0.131; status: retained original effect threshold; inner site separation: TRUE;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0e97cd3e1009; feature-schema SHA-256 prefix: 87db12d75e44; TITAN-file SHA-256 prefix: d3d91fb0f83a; fastPLS 0.99.20 (dcf45cc), cpu/rsvd; rSVD oversampling 10, power 2; analysis fingerprint prefix: 65f5c4e5df41; external validation: none; patient training rows retained: FALSE; TSS-grouped sites: 25; delta: 0.008; status: retained original effect threshold; inner site separation: TRUE;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6d0791d73892; feature-schema SHA-256 prefix: 87db12d75e44; TITAN-file SHA-256 prefix: d3d91fb0f83a; fastPLS 0.99.20 (dcf45cc), cpu/rsvd; rSVD oversampling 10, power 2; analysis fingerprint prefix: 65f5c4e5df41; external validation: none; patient training rows retained: FALSE; TSS-grouped sites: 25; delta: -0.005; status: retained original effect threshold; inner site separation: TRUE;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408e1bf3d1c9; feature-schema SHA-256 prefix: 87db12d75e44; TITAN-file SHA-256 prefix: d3d91fb0f83a; fastPLS 0.99.20 (dcf45cc), cpu/rsvd; rSVD oversampling 10, power 2; analysis fingerprint prefix: 65f5c4e5df41; external validation: none; patient training rows retained: FALSE; TSS-grouped sites: 13; delta: -0.367; status: site-sensitive: near chance or worse; inner site separation: TRUE;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1a02b5708718; feature-schema SHA-256 prefix: 87db12d75e44; TITAN-file SHA-256 prefix: d3d91fb0f83a; fastPLS 0.99.20 (dcf45cc), cpu/rsvd; rSVD oversampling 10, power 2; analysis fingerprint prefix: 65f5c4e5df41; external validation: none; patient training rows retained: FALSE; TSS-grouped sites: 13; delta: -0.182; status: retained original effect threshold; inner site separation: TRUE;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647632c45fe6; feature-schema SHA-256 prefix: 87db12d75e44; TITAN-file SHA-256 prefix: d3d91fb0f83a; fastPLS 0.99.20 (dcf45cc), cpu/rsvd; rSVD oversampling 10, power 2; analysis fingerprint prefix: 65f5c4e5df41; external validation: none; patient training rows retained: FALSE; TSS-grouped sites: 22; delta: -0.003; status: retained original effect threshold; inner site separation: TRUE;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2aa4d109fa05; feature-schema SHA-256 prefix: 87db12d75e44; TITAN-file SHA-256 prefix: d3d91fb0f83a; fastPLS 0.99.20 (dcf45cc), cpu/rsvd; rSVD oversampling 10, power 2; analysis fingerprint prefix: 65f5c4e5df41; external validation: none; patient training rows retained: FALSE; TSS-grouped sites: 19; delta: -0.033; status: retained original effect threshold; inner site separation: TRUE;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5897dc5ed116; feature-schema SHA-256 prefix: 87db12d75e44; TITAN-file SHA-256 prefix: d3d91fb0f83a; fastPLS 0.99.20 (dcf45cc), cpu/rsvd; rSVD oversampling 10, power 2; analysis fingerprint prefix: 65f5c4e5df41; external validation: none; patient training rows retained: FALSE; TSS-grouped sites: 28; delta: 0.026; status: retained original effect threshold; inner site separation: TRUE;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2a686277f4ff; feature-schema SHA-256 prefix: 87db12d75e44; TITAN-file SHA-256 prefix: d3d91fb0f83a; fastPLS 0.99.20 (dcf45cc), cpu/rsvd; rSVD oversampling 10, power 2; analysis fingerprint prefix: 65f5c4e5df41; external validation: none; patient training rows retained: FALSE; TSS-grouped sites: 24; delta: -0.043; status: retained original effect threshold; inner site separation: TRUE;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73796a90b1a7; feature-schema SHA-256 prefix: 87db12d75e44; TITAN-file SHA-256 prefix: d3d91fb0f83a; fastPLS 0.99.20 (dcf45cc), cpu/rsvd; rSVD oversampling 10, power 2; analysis fingerprint prefix: 65f5c4e5df41; external validation: none; patient training rows retained: FALSE; TSS-grouped sites: 25; delta: -0.001; status: retained original effect threshold; inner site separation: TRUE;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c0f4b40d061c; feature-schema SHA-256 prefix: 87db12d75e44; TITAN-file SHA-256 prefix: d3d91fb0f83a; fastPLS 0.99.20 (dcf45cc), cpu/rsvd; rSVD oversampling 10, power 2; analysis fingerprint prefix: 65f5c4e5df41; external validation: none; patient training rows retained: FALSE; TSS-grouped sites: 25; delta: -0.003; status: retained original effect threshold; inner site separation: TRUE;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19eb3f61269d; feature-schema SHA-256 prefix: 87db12d75e44; TITAN-file SHA-256 prefix: d3d91fb0f83a; fastPLS 0.99.20 (dcf45cc), cpu/rsvd; rSVD oversampling 10, power 2; analysis fingerprint prefix: 65f5c4e5df41; external validation: none; patient training rows retained: FALSE; TSS-grouped sites: 39; delta: -0.012; status: retained original effect threshold; inner site separation: TRUE;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c6e1489ddea6; feature-schema SHA-256 prefix: 87db12d75e44; TITAN-file SHA-256 prefix: d3d91fb0f83a; fastPLS 0.99.20 (dcf45cc), cpu/rsvd; rSVD oversampling 10, power 2; analysis fingerprint prefix: 65f5c4e5df41; external validation: none; patient training rows retained: FALSE; TSS-grouped sites: 39; delta: -0.019; status: retained original effect threshold; inner site separation: TRUE;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9f1146197e22; feature-schema SHA-256 prefix: 87db12d75e44; TITAN-file SHA-256 prefix: d3d91fb0f83a; fastPLS 0.99.20 (dcf45cc), cpu/rsvd; rSVD oversampling 10, power 2; analysis fingerprint prefix: 65f5c4e5df41; external validation: none; patient training rows retained: FALSE; TSS-grouped sites: 31; delta: 0.001; status: retained original effect threshold; inner site separation: TRUE;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983823318773; feature-schema SHA-256 prefix: 87db12d75e44; TITAN-file SHA-256 prefix: d3d91fb0f83a; fastPLS 0.99.20 (dcf45cc), cpu/rsvd; rSVD oversampling 10, power 2; analysis fingerprint prefix: 65f5c4e5df41; external validation: none; patient training rows retained: FALSE; TSS-grouped sites: 33; delta: -0.023; status: retained original effect threshold; inner site separation: TRUE;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de6aa38b757c; feature-schema SHA-256 prefix: 87db12d75e44; TITAN-file SHA-256 prefix: d3d91fb0f83a; fastPLS 0.99.20 (dcf45cc), cpu/rsvd; rSVD oversampling 10, power 2; analysis fingerprint prefix: 65f5c4e5df41; external validation: none; patient training rows retained: FALSE; TSS-grouped sites: 33; delta: -0.041; status: retained original effect threshold; inner site separation: TRUE;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cdb75440526b; feature-schema SHA-256 prefix: 87db12d75e44; TITAN-file SHA-256 prefix: d3d91fb0f83a; fastPLS 0.99.20 (dcf45cc), cpu/rsvd; rSVD oversampling 10, power 2; analysis fingerprint prefix: 65f5c4e5df41; external validation: none; patient training rows retained: FALSE; TSS-grouped sites: 15; delta: -0.073; status: retained original effect threshold; inner site separation: TRUE;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add707aade3d; feature-schema SHA-256 prefix: 87db12d75e44; TITAN-file SHA-256 prefix: d3d91fb0f83a; fastPLS 0.99.20 (dcf45cc), cpu/rsvd; rSVD oversampling 10, power 2; analysis fingerprint prefix: 65f5c4e5df41; external validation: none; patient training rows retained: FALSE; TSS-grouped sites: 15; delta: -0.144; status: retained original effect threshold; inner site separation: TRUE;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5352b0f87178; feature-schema SHA-256 prefix: 87db12d75e44; TITAN-file SHA-256 prefix: d3d91fb0f83a; fastPLS 0.99.20 (dcf45cc), cpu/rsvd; rSVD oversampling 10, power 2; analysis fingerprint prefix: 65f5c4e5df41; external validation: none; patient training rows retained: FALSE; TSS-grouped sites: 22; delta: -0.036; status: retained original effect threshold; inner site separation: TRUE;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380b7be00506; feature-schema SHA-256 prefix: 87db12d75e44; TITAN-file SHA-256 prefix: d3d91fb0f83a; fastPLS 0.99.20 (dcf45cc), cpu/rsvd; rSVD oversampling 10, power 2; analysis fingerprint prefix: 65f5c4e5df41; external validation: none; patient training rows retained: FALSE; TSS-grouped sites: 22; delta: -0.034; status: retained original effect threshold; inner site separation: TRUE;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bafd2f5704f7; feature-schema SHA-256 prefix: 87db12d75e44; TITAN-file SHA-256 prefix: d3d91fb0f83a; fastPLS 0.99.20 (dcf45cc), cpu/rsvd; rSVD oversampling 10, power 2; analysis fingerprint prefix: 65f5c4e5df41; external validation: none; patient training rows retained: FALSE; TSS-grouped sites: 22; delta: 0.011; status: retained original effect threshold; inner site separation: TRUE;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b0c6ac60c40f; feature-schema SHA-256 prefix: 87db12d75e44; TITAN-file SHA-256 prefix: d3d91fb0f83a; fastPLS 0.99.20 (dcf45cc), cpu/rsvd; rSVD oversampling 10, power 2; analysis fingerprint prefix: 65f5c4e5df41; external validation: none; patient training rows retained: FALSE; TSS-grouped sites: 22; delta: -0.086; status: retained original effect threshold; inner site separation: TRUE;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f1f0ba2de6a5; feature-schema SHA-256 prefix: 87db12d75e44; TITAN-file SHA-256 prefix: d3d91fb0f83a; fastPLS 0.99.20 (dcf45cc), cpu/rsvd; rSVD oversampling 10, power 2; analysis fingerprint prefix: 65f5c4e5df41; external validation: none; patient training rows retained: FALSE; TSS-grouped sites: 19; delta: -0.066; status: retained original effect threshold; inner site separation: TRUE; local artifact; public release requires upstream permission</w:t>
            </w:r>
          </w:p>
        </w:tc>
      </w:tr>
    </w:tbl>
    <w:p/>
    <w:p>
      <w:pPr>
        <w:pStyle w:val="Heading1"/>
      </w:pPr>
      <w:r>
        <w:t>Table S6c. Prospectively locked subset for future independent evaluation</w:t>
      </w:r>
    </w:p>
    <w:p>
      <w:r>
        <w:t>These three models were selected after the internal TCGA screen but before inspection of any external features, outcomes or predictions. The external analysis has not been performed. No refitting, recalibration, class-prior change, threshold adjustment or outcome optimisation is permitted. Every target must be reported, including failure or non-evaluability.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Order</w:t>
            </w:r>
          </w:p>
        </w:tc>
        <w:tc>
          <w:tcPr>
            <w:tcW w:type="dxa" w:w="1624"/>
          </w:tcPr>
          <w:p>
            <w:r>
              <w:rPr>
                <w:b/>
                <w:sz w:val="17"/>
              </w:rPr>
              <w:t>Target/type</w:t>
            </w:r>
          </w:p>
        </w:tc>
        <w:tc>
          <w:tcPr>
            <w:tcW w:type="dxa" w:w="1624"/>
          </w:tcPr>
          <w:p>
            <w:r>
              <w:rPr>
                <w:b/>
                <w:sz w:val="17"/>
              </w:rPr>
              <w:t>Model SHA-256</w:t>
            </w:r>
          </w:p>
        </w:tc>
        <w:tc>
          <w:tcPr>
            <w:tcW w:type="dxa" w:w="1624"/>
          </w:tcPr>
          <w:p>
            <w:r>
              <w:rPr>
                <w:b/>
                <w:sz w:val="17"/>
              </w:rPr>
              <w:t>Internal TCGA evidence</w:t>
            </w:r>
          </w:p>
        </w:tc>
        <w:tc>
          <w:tcPr>
            <w:tcW w:type="dxa" w:w="1624"/>
          </w:tcPr>
          <w:p>
            <w:r>
              <w:rPr>
                <w:b/>
                <w:sz w:val="17"/>
              </w:rPr>
              <w:t>External metrics</w:t>
            </w:r>
          </w:p>
        </w:tc>
        <w:tc>
          <w:tcPr>
            <w:tcW w:type="dxa" w:w="1624"/>
          </w:tcPr>
          <w:p>
            <w:r>
              <w:rPr>
                <w:b/>
                <w:sz w:val="17"/>
              </w:rPr>
              <w:t>Compatibility and reporting rule</w:t>
            </w:r>
          </w:p>
        </w:tc>
      </w:tr>
      <w:tr>
        <w:trPr>
          <w:cantSplit/>
        </w:trPr>
        <w:tc>
          <w:tcPr>
            <w:tcW w:type="dxa" w:w="1624"/>
            <w:vAlign w:val="center"/>
          </w:tcPr>
          <w:p>
            <w:r>
              <w:rPr>
                <w:sz w:val="16"/>
              </w:rPr>
              <w:t>1</w:t>
            </w:r>
          </w:p>
        </w:tc>
        <w:tc>
          <w:tcPr>
            <w:tcW w:type="dxa" w:w="1624"/>
            <w:vAlign w:val="center"/>
          </w:tcPr>
          <w:p>
            <w:r>
              <w:rPr>
                <w:sz w:val="16"/>
              </w:rPr>
              <w:t>UCEC–TP53 (common mutation)</w:t>
            </w:r>
          </w:p>
        </w:tc>
        <w:tc>
          <w:tcPr>
            <w:tcW w:type="dxa" w:w="1624"/>
            <w:vAlign w:val="center"/>
          </w:tcPr>
          <w:p>
            <w:r>
              <w:rPr>
                <w:sz w:val="16"/>
              </w:rPr>
              <w:t>c39ba2caeefc148e67412647f3e1835dbcd719088a4d379b53068482ebb2ede0</w:t>
            </w:r>
          </w:p>
        </w:tc>
        <w:tc>
          <w:tcPr>
            <w:tcW w:type="dxa" w:w="1624"/>
            <w:vAlign w:val="center"/>
          </w:tcPr>
          <w:p>
            <w:r>
              <w:rPr>
                <w:sz w:val="16"/>
              </w:rPr>
              <w:t>balanced accuracy 0.744; AUROC 0.821; sensitivity 0.612; specificity 0.877; site-grouped balanced accuracy 0.740</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Protein-altering somatic TP53 status must be reconstructed without reference to TITAN predictions; if a sufficiently concordant definition cannot be produced the target is reported as non-evaluable. Report all eligible patients, missingness, exclusions, metric estimates and failure/non-evaluable status. Status: Not performed.</w:t>
            </w:r>
          </w:p>
        </w:tc>
      </w:tr>
      <w:tr>
        <w:trPr>
          <w:cantSplit/>
        </w:trPr>
        <w:tc>
          <w:tcPr>
            <w:tcW w:type="dxa" w:w="1624"/>
            <w:vAlign w:val="center"/>
          </w:tcPr>
          <w:p>
            <w:r>
              <w:rPr>
                <w:sz w:val="16"/>
              </w:rPr>
              <w:t>2</w:t>
            </w:r>
          </w:p>
        </w:tc>
        <w:tc>
          <w:tcPr>
            <w:tcW w:type="dxa" w:w="1624"/>
            <w:vAlign w:val="center"/>
          </w:tcPr>
          <w:p>
            <w:r>
              <w:rPr>
                <w:sz w:val="16"/>
              </w:rPr>
              <w:t>UCEC–Genome doubling (binary genomic instability)</w:t>
            </w:r>
          </w:p>
        </w:tc>
        <w:tc>
          <w:tcPr>
            <w:tcW w:type="dxa" w:w="1624"/>
            <w:vAlign w:val="center"/>
          </w:tcPr>
          <w:p>
            <w:r>
              <w:rPr>
                <w:sz w:val="16"/>
              </w:rPr>
              <w:t>8f9fd73578189bab5d5c88bb8005415a07b93a662f2b0adb893f0b04e1cc3604</w:t>
            </w:r>
          </w:p>
        </w:tc>
        <w:tc>
          <w:tcPr>
            <w:tcW w:type="dxa" w:w="1624"/>
            <w:vAlign w:val="center"/>
          </w:tcPr>
          <w:p>
            <w:r>
              <w:rPr>
                <w:sz w:val="16"/>
              </w:rPr>
              <w:t>balanced accuracy 0.722; AUROC 0.833; sensitivity 0.544; specificity 0.900; site-grouped balanced accuracy 0.722</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Genome-doubling status must use the same copy-number/ploidy definition or be reported as non-evaluable; no surrogate threshold may be selected from external predictions. Report all eligible patients, missingness, exclusions, metric estimates and failure/non-evaluable status. Status: Not performed.</w:t>
            </w:r>
          </w:p>
        </w:tc>
      </w:tr>
      <w:tr>
        <w:trPr>
          <w:cantSplit/>
        </w:trPr>
        <w:tc>
          <w:tcPr>
            <w:tcW w:type="dxa" w:w="1624"/>
            <w:vAlign w:val="center"/>
          </w:tcPr>
          <w:p>
            <w:r>
              <w:rPr>
                <w:sz w:val="16"/>
              </w:rPr>
              <w:t>3</w:t>
            </w:r>
          </w:p>
        </w:tc>
        <w:tc>
          <w:tcPr>
            <w:tcW w:type="dxa" w:w="1624"/>
            <w:vAlign w:val="center"/>
          </w:tcPr>
          <w:p>
            <w:r>
              <w:rPr>
                <w:sz w:val="16"/>
              </w:rPr>
              <w:t>UCEC–Aneuploidy score (continuous genomic context)</w:t>
            </w:r>
          </w:p>
        </w:tc>
        <w:tc>
          <w:tcPr>
            <w:tcW w:type="dxa" w:w="1624"/>
            <w:vAlign w:val="center"/>
          </w:tcPr>
          <w:p>
            <w:r>
              <w:rPr>
                <w:sz w:val="16"/>
              </w:rPr>
              <w:t>0c520d8a9d57dd5af109416c5b82ffb0f0862e3505cd9888965fdeee4aa60f3b</w:t>
            </w:r>
          </w:p>
        </w:tc>
        <w:tc>
          <w:tcPr>
            <w:tcW w:type="dxa" w:w="1624"/>
            <w:vAlign w:val="center"/>
          </w:tcPr>
          <w:p>
            <w:r>
              <w:rPr>
                <w:sz w:val="16"/>
              </w:rPr>
              <w:t>Q2 0.347; RMSE 5.763; Spearman correlation 0.596; site-grouped Q2 0.328</w:t>
            </w:r>
          </w:p>
        </w:tc>
        <w:tc>
          <w:tcPr>
            <w:tcW w:type="dxa" w:w="1624"/>
            <w:vAlign w:val="center"/>
          </w:tcPr>
          <w:p>
            <w:r>
              <w:rPr>
                <w:sz w:val="16"/>
              </w:rPr>
              <w:t>Primary: Q2; secondary: RMSE; Spearman correlation; calibration intercept and slope; 95% confidence intervals</w:t>
            </w:r>
          </w:p>
        </w:tc>
        <w:tc>
          <w:tcPr>
            <w:tcW w:type="dxa" w:w="1624"/>
            <w:vAlign w:val="center"/>
          </w:tcPr>
          <w:p>
            <w:r>
              <w:rPr>
                <w:sz w:val="16"/>
              </w:rPr>
              <w:t>Aneuploidy score must be reconstructed with the Taylor et al. arm-level definition without reference to TITAN predictions or be reported as non-evaluable. Report all eligible patients, missingness, exclusions, metric estimates and failure/non-evaluable status. Status: Not performed.</w:t>
            </w:r>
          </w:p>
        </w:tc>
      </w:tr>
    </w:tbl>
    <w:p/>
    <w:p>
      <w:pPr>
        <w:pStyle w:val="Heading1"/>
      </w:pPr>
      <w:r>
        <w:t>Table S7. Top continuous results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moderate effect</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moderate effect</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moderate effect</w:t>
            </w:r>
          </w:p>
        </w:tc>
      </w:tr>
    </w:tbl>
    <w:p/>
    <w:p>
      <w:pPr>
        <w:pStyle w:val="Heading1"/>
      </w:pPr>
      <w:r>
        <w:t>Table S8. Top binary results</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Endpoint</w:t>
            </w:r>
          </w:p>
        </w:tc>
        <w:tc>
          <w:tcPr>
            <w:tcW w:type="dxa" w:w="1218"/>
          </w:tcPr>
          <w:p>
            <w:r>
              <w:rPr>
                <w:b/>
                <w:sz w:val="17"/>
              </w:rPr>
              <w:t>Family</w:t>
            </w:r>
          </w:p>
        </w:tc>
        <w:tc>
          <w:tcPr>
            <w:tcW w:type="dxa" w:w="1218"/>
          </w:tcPr>
          <w:p>
            <w:r>
              <w:rPr>
                <w:b/>
                <w:sz w:val="17"/>
              </w:rPr>
              <w:t>n</w:t>
            </w:r>
          </w:p>
        </w:tc>
        <w:tc>
          <w:tcPr>
            <w:tcW w:type="dxa" w:w="1218"/>
          </w:tcPr>
          <w:p>
            <w:r>
              <w:rPr>
                <w:b/>
                <w:sz w:val="17"/>
              </w:rPr>
              <w:t>Positive</w:t>
            </w:r>
          </w:p>
        </w:tc>
        <w:tc>
          <w:tcPr>
            <w:tcW w:type="dxa" w:w="1218"/>
          </w:tcPr>
          <w:p>
            <w:r>
              <w:rPr>
                <w:b/>
                <w:sz w:val="17"/>
              </w:rPr>
              <w:t>Balanced accuracy</w:t>
            </w:r>
          </w:p>
        </w:tc>
        <w:tc>
          <w:tcPr>
            <w:tcW w:type="dxa" w:w="1218"/>
          </w:tcPr>
          <w:p>
            <w:r>
              <w:rPr>
                <w:b/>
                <w:sz w:val="17"/>
              </w:rPr>
              <w:t>q</w:t>
            </w:r>
          </w:p>
        </w:tc>
        <w:tc>
          <w:tcPr>
            <w:tcW w:type="dxa" w:w="1218"/>
          </w:tcPr>
          <w:p>
            <w:r>
              <w:rPr>
                <w:b/>
                <w:sz w:val="17"/>
              </w:rPr>
              <w:t>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driver_mutation</w:t>
            </w:r>
          </w:p>
        </w:tc>
        <w:tc>
          <w:tcPr>
            <w:tcW w:type="dxa" w:w="1218"/>
            <w:vAlign w:val="center"/>
          </w:tcPr>
          <w:p>
            <w:r>
              <w:rPr>
                <w:sz w:val="16"/>
              </w:rPr>
              <w:t>120</w:t>
            </w:r>
          </w:p>
        </w:tc>
        <w:tc>
          <w:tcPr>
            <w:tcW w:type="dxa" w:w="1218"/>
            <w:vAlign w:val="center"/>
          </w:tcPr>
          <w:p>
            <w:r>
              <w:rPr>
                <w:sz w:val="16"/>
              </w:rPr>
              <w:t>59</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135</w:t>
            </w:r>
          </w:p>
        </w:tc>
        <w:tc>
          <w:tcPr>
            <w:tcW w:type="dxa" w:w="1218"/>
            <w:vAlign w:val="center"/>
          </w:tcPr>
          <w:p>
            <w:r>
              <w:rPr>
                <w:sz w:val="16"/>
              </w:rPr>
              <w:t>65</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135</w:t>
            </w:r>
          </w:p>
        </w:tc>
        <w:tc>
          <w:tcPr>
            <w:tcW w:type="dxa" w:w="1218"/>
            <w:vAlign w:val="center"/>
          </w:tcPr>
          <w:p>
            <w:r>
              <w:rPr>
                <w:sz w:val="16"/>
              </w:rPr>
              <w:t>66</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232</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289</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248</w:t>
            </w:r>
          </w:p>
        </w:tc>
        <w:tc>
          <w:tcPr>
            <w:tcW w:type="dxa" w:w="1218"/>
            <w:vAlign w:val="center"/>
          </w:tcPr>
          <w:p>
            <w:r>
              <w:rPr>
                <w:sz w:val="16"/>
              </w:rPr>
              <w:t>0.822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379</w:t>
            </w:r>
          </w:p>
        </w:tc>
        <w:tc>
          <w:tcPr>
            <w:tcW w:type="dxa" w:w="1218"/>
            <w:vAlign w:val="center"/>
          </w:tcPr>
          <w:p>
            <w:r>
              <w:rPr>
                <w:sz w:val="16"/>
              </w:rPr>
              <w:t>0.811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196</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153</w:t>
            </w:r>
          </w:p>
        </w:tc>
        <w:tc>
          <w:tcPr>
            <w:tcW w:type="dxa" w:w="1218"/>
            <w:vAlign w:val="center"/>
          </w:tcPr>
          <w:p>
            <w:r>
              <w:rPr>
                <w:sz w:val="16"/>
              </w:rPr>
              <w:t>80</w:t>
            </w:r>
          </w:p>
        </w:tc>
        <w:tc>
          <w:tcPr>
            <w:tcW w:type="dxa" w:w="1218"/>
            <w:vAlign w:val="center"/>
          </w:tcPr>
          <w:p>
            <w:r>
              <w:rPr>
                <w:sz w:val="16"/>
              </w:rPr>
              <w:t>0.792</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375</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374</w:t>
            </w:r>
          </w:p>
        </w:tc>
        <w:tc>
          <w:tcPr>
            <w:tcW w:type="dxa" w:w="1218"/>
            <w:vAlign w:val="center"/>
          </w:tcPr>
          <w:p>
            <w:r>
              <w:rPr>
                <w:sz w:val="16"/>
              </w:rPr>
              <w:t>57</w:t>
            </w:r>
          </w:p>
        </w:tc>
        <w:tc>
          <w:tcPr>
            <w:tcW w:type="dxa" w:w="1218"/>
            <w:vAlign w:val="center"/>
          </w:tcPr>
          <w:p>
            <w:r>
              <w:rPr>
                <w:sz w:val="16"/>
              </w:rPr>
              <w:t>0.784</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161</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105</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181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468</w:t>
            </w:r>
          </w:p>
        </w:tc>
        <w:tc>
          <w:tcPr>
            <w:tcW w:type="dxa" w:w="1218"/>
            <w:vAlign w:val="center"/>
          </w:tcPr>
          <w:p>
            <w:r>
              <w:rPr>
                <w:sz w:val="16"/>
              </w:rPr>
              <w:t>218</w:t>
            </w:r>
          </w:p>
        </w:tc>
        <w:tc>
          <w:tcPr>
            <w:tcW w:type="dxa" w:w="1218"/>
            <w:vAlign w:val="center"/>
          </w:tcPr>
          <w:p>
            <w:r>
              <w:rPr>
                <w:sz w:val="16"/>
              </w:rPr>
              <w:t>0.754</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981</w:t>
            </w:r>
          </w:p>
        </w:tc>
        <w:tc>
          <w:tcPr>
            <w:tcW w:type="dxa" w:w="1218"/>
            <w:vAlign w:val="center"/>
          </w:tcPr>
          <w:p>
            <w:r>
              <w:rPr>
                <w:sz w:val="16"/>
              </w:rPr>
              <w:t>259</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391</w:t>
            </w:r>
          </w:p>
        </w:tc>
        <w:tc>
          <w:tcPr>
            <w:tcW w:type="dxa" w:w="1218"/>
            <w:vAlign w:val="center"/>
          </w:tcPr>
          <w:p>
            <w:r>
              <w:rPr>
                <w:sz w:val="16"/>
              </w:rPr>
              <w:t>74</w:t>
            </w:r>
          </w:p>
        </w:tc>
        <w:tc>
          <w:tcPr>
            <w:tcW w:type="dxa" w:w="1218"/>
            <w:vAlign w:val="center"/>
          </w:tcPr>
          <w:p>
            <w:r>
              <w:rPr>
                <w:sz w:val="16"/>
              </w:rPr>
              <w:t>0.744</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942</w:t>
            </w:r>
          </w:p>
        </w:tc>
        <w:tc>
          <w:tcPr>
            <w:tcW w:type="dxa" w:w="1218"/>
            <w:vAlign w:val="center"/>
          </w:tcPr>
          <w:p>
            <w:r>
              <w:rPr>
                <w:sz w:val="16"/>
              </w:rPr>
              <w:t>437</w:t>
            </w:r>
          </w:p>
        </w:tc>
        <w:tc>
          <w:tcPr>
            <w:tcW w:type="dxa" w:w="1218"/>
            <w:vAlign w:val="center"/>
          </w:tcPr>
          <w:p>
            <w:r>
              <w:rPr>
                <w:sz w:val="16"/>
              </w:rPr>
              <w:t>0.742</w:t>
            </w:r>
          </w:p>
        </w:tc>
        <w:tc>
          <w:tcPr>
            <w:tcW w:type="dxa" w:w="1218"/>
            <w:vAlign w:val="center"/>
          </w:tcPr>
          <w:p>
            <w:r>
              <w:rPr>
                <w:sz w:val="16"/>
              </w:rPr>
              <w:t>0.009</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403</w:t>
            </w:r>
          </w:p>
        </w:tc>
        <w:tc>
          <w:tcPr>
            <w:tcW w:type="dxa" w:w="1218"/>
            <w:vAlign w:val="center"/>
          </w:tcPr>
          <w:p>
            <w:r>
              <w:rPr>
                <w:sz w:val="16"/>
              </w:rPr>
              <w:t>0.740</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driver_mutation</w:t>
            </w:r>
          </w:p>
        </w:tc>
        <w:tc>
          <w:tcPr>
            <w:tcW w:type="dxa" w:w="1218"/>
            <w:vAlign w:val="center"/>
          </w:tcPr>
          <w:p>
            <w:r>
              <w:rPr>
                <w:sz w:val="16"/>
              </w:rPr>
              <w:t>981</w:t>
            </w:r>
          </w:p>
        </w:tc>
        <w:tc>
          <w:tcPr>
            <w:tcW w:type="dxa" w:w="1218"/>
            <w:vAlign w:val="center"/>
          </w:tcPr>
          <w:p>
            <w:r>
              <w:rPr>
                <w:sz w:val="16"/>
              </w:rPr>
              <w:t>96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131</w:t>
            </w:r>
          </w:p>
        </w:tc>
        <w:tc>
          <w:tcPr>
            <w:tcW w:type="dxa" w:w="1218"/>
            <w:vAlign w:val="center"/>
          </w:tcPr>
          <w:p>
            <w:r>
              <w:rPr>
                <w:sz w:val="16"/>
              </w:rPr>
              <w:t>0.729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driver_mutation</w:t>
            </w:r>
          </w:p>
        </w:tc>
        <w:tc>
          <w:tcPr>
            <w:tcW w:type="dxa" w:w="1218"/>
            <w:vAlign w:val="center"/>
          </w:tcPr>
          <w:p>
            <w:r>
              <w:rPr>
                <w:sz w:val="16"/>
              </w:rPr>
              <w:t>384</w:t>
            </w:r>
          </w:p>
        </w:tc>
        <w:tc>
          <w:tcPr>
            <w:tcW w:type="dxa" w:w="1218"/>
            <w:vAlign w:val="center"/>
          </w:tcPr>
          <w:p>
            <w:r>
              <w:rPr>
                <w:sz w:val="16"/>
              </w:rPr>
              <w:t>54</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STAD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371</w:t>
            </w:r>
          </w:p>
        </w:tc>
        <w:tc>
          <w:tcPr>
            <w:tcW w:type="dxa" w:w="1218"/>
            <w:vAlign w:val="center"/>
          </w:tcPr>
          <w:p>
            <w:r>
              <w:rPr>
                <w:sz w:val="16"/>
              </w:rPr>
              <w:t>63</w:t>
            </w:r>
          </w:p>
        </w:tc>
        <w:tc>
          <w:tcPr>
            <w:tcW w:type="dxa" w:w="1218"/>
            <w:vAlign w:val="center"/>
          </w:tcPr>
          <w:p>
            <w:r>
              <w:rPr>
                <w:sz w:val="16"/>
              </w:rPr>
              <w:t>0.728</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driver_mutation</w:t>
            </w:r>
          </w:p>
        </w:tc>
        <w:tc>
          <w:tcPr>
            <w:tcW w:type="dxa" w:w="1218"/>
            <w:vAlign w:val="center"/>
          </w:tcPr>
          <w:p>
            <w:r>
              <w:rPr>
                <w:sz w:val="16"/>
              </w:rPr>
              <w:t>487</w:t>
            </w:r>
          </w:p>
        </w:tc>
        <w:tc>
          <w:tcPr>
            <w:tcW w:type="dxa" w:w="1218"/>
            <w:vAlign w:val="center"/>
          </w:tcPr>
          <w:p>
            <w:r>
              <w:rPr>
                <w:sz w:val="16"/>
              </w:rPr>
              <w:t>261</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STAD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364</w:t>
            </w:r>
          </w:p>
        </w:tc>
        <w:tc>
          <w:tcPr>
            <w:tcW w:type="dxa" w:w="1218"/>
            <w:vAlign w:val="center"/>
          </w:tcPr>
          <w:p>
            <w:r>
              <w:rPr>
                <w:sz w:val="16"/>
              </w:rPr>
              <w:t>56</w:t>
            </w:r>
          </w:p>
        </w:tc>
        <w:tc>
          <w:tcPr>
            <w:tcW w:type="dxa" w:w="1218"/>
            <w:vAlign w:val="center"/>
          </w:tcPr>
          <w:p>
            <w:r>
              <w:rPr>
                <w:sz w:val="16"/>
              </w:rPr>
              <w:t>0.713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477</w:t>
            </w:r>
          </w:p>
        </w:tc>
        <w:tc>
          <w:tcPr>
            <w:tcW w:type="dxa" w:w="1218"/>
            <w:vAlign w:val="center"/>
          </w:tcPr>
          <w:p>
            <w:r>
              <w:rPr>
                <w:sz w:val="16"/>
              </w:rPr>
              <w:t>97</w:t>
            </w:r>
          </w:p>
        </w:tc>
        <w:tc>
          <w:tcPr>
            <w:tcW w:type="dxa" w:w="1218"/>
            <w:vAlign w:val="center"/>
          </w:tcPr>
          <w:p>
            <w:r>
              <w:rPr>
                <w:sz w:val="16"/>
              </w:rPr>
              <w:t>0.707</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39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62</w:t>
            </w:r>
          </w:p>
        </w:tc>
        <w:tc>
          <w:tcPr>
            <w:tcW w:type="dxa" w:w="1218"/>
            <w:vAlign w:val="center"/>
          </w:tcPr>
          <w:p>
            <w:r>
              <w:rPr>
                <w:sz w:val="16"/>
              </w:rPr>
              <w:t>0.700</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463</w:t>
            </w:r>
          </w:p>
        </w:tc>
        <w:tc>
          <w:tcPr>
            <w:tcW w:type="dxa" w:w="1218"/>
            <w:vAlign w:val="center"/>
          </w:tcPr>
          <w:p>
            <w:r>
              <w:rPr>
                <w:sz w:val="16"/>
              </w:rPr>
              <w:t>234</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998</w:t>
            </w:r>
          </w:p>
        </w:tc>
        <w:tc>
          <w:tcPr>
            <w:tcW w:type="dxa" w:w="1218"/>
            <w:vAlign w:val="center"/>
          </w:tcPr>
          <w:p>
            <w:r>
              <w:rPr>
                <w:sz w:val="16"/>
              </w:rPr>
              <w:t>438</w:t>
            </w:r>
          </w:p>
        </w:tc>
        <w:tc>
          <w:tcPr>
            <w:tcW w:type="dxa" w:w="1218"/>
            <w:vAlign w:val="center"/>
          </w:tcPr>
          <w:p>
            <w:r>
              <w:rPr>
                <w:sz w:val="16"/>
              </w:rPr>
              <w:t>0.699</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451</w:t>
            </w:r>
          </w:p>
        </w:tc>
        <w:tc>
          <w:tcPr>
            <w:tcW w:type="dxa" w:w="1218"/>
            <w:vAlign w:val="center"/>
          </w:tcPr>
          <w:p>
            <w:r>
              <w:rPr>
                <w:sz w:val="16"/>
              </w:rPr>
              <w:t>274</w:t>
            </w:r>
          </w:p>
        </w:tc>
        <w:tc>
          <w:tcPr>
            <w:tcW w:type="dxa" w:w="1218"/>
            <w:vAlign w:val="center"/>
          </w:tcPr>
          <w:p>
            <w:r>
              <w:rPr>
                <w:sz w:val="16"/>
              </w:rPr>
              <w:t>0.699</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KIRP</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243</w:t>
            </w:r>
          </w:p>
        </w:tc>
        <w:tc>
          <w:tcPr>
            <w:tcW w:type="dxa" w:w="1218"/>
            <w:vAlign w:val="center"/>
          </w:tcPr>
          <w:p>
            <w:r>
              <w:rPr>
                <w:sz w:val="16"/>
              </w:rPr>
              <w:t>31</w:t>
            </w:r>
          </w:p>
        </w:tc>
        <w:tc>
          <w:tcPr>
            <w:tcW w:type="dxa" w:w="1218"/>
            <w:vAlign w:val="center"/>
          </w:tcPr>
          <w:p>
            <w:r>
              <w:rPr>
                <w:sz w:val="16"/>
              </w:rPr>
              <w:t>0.698</w:t>
            </w:r>
          </w:p>
        </w:tc>
        <w:tc>
          <w:tcPr>
            <w:tcW w:type="dxa" w:w="1218"/>
            <w:vAlign w:val="center"/>
          </w:tcPr>
          <w:p>
            <w:r>
              <w:rPr>
                <w:sz w:val="16"/>
              </w:rPr>
              <w:t>0.006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487</w:t>
            </w:r>
          </w:p>
        </w:tc>
        <w:tc>
          <w:tcPr>
            <w:tcW w:type="dxa" w:w="1218"/>
            <w:vAlign w:val="center"/>
          </w:tcPr>
          <w:p>
            <w:r>
              <w:rPr>
                <w:sz w:val="16"/>
              </w:rPr>
              <w:t>236</w:t>
            </w:r>
          </w:p>
        </w:tc>
        <w:tc>
          <w:tcPr>
            <w:tcW w:type="dxa" w:w="1218"/>
            <w:vAlign w:val="center"/>
          </w:tcPr>
          <w:p>
            <w:r>
              <w:rPr>
                <w:sz w:val="16"/>
              </w:rPr>
              <w:t>0.695</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PCPG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158</w:t>
            </w:r>
          </w:p>
        </w:tc>
        <w:tc>
          <w:tcPr>
            <w:tcW w:type="dxa" w:w="1218"/>
            <w:vAlign w:val="center"/>
          </w:tcPr>
          <w:p>
            <w:r>
              <w:rPr>
                <w:sz w:val="16"/>
              </w:rPr>
              <w:t>52</w:t>
            </w:r>
          </w:p>
        </w:tc>
        <w:tc>
          <w:tcPr>
            <w:tcW w:type="dxa" w:w="1218"/>
            <w:vAlign w:val="center"/>
          </w:tcPr>
          <w:p>
            <w:r>
              <w:rPr>
                <w:sz w:val="16"/>
              </w:rPr>
              <w:t>0.694</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TGCT</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143</w:t>
            </w:r>
          </w:p>
        </w:tc>
        <w:tc>
          <w:tcPr>
            <w:tcW w:type="dxa" w:w="1218"/>
            <w:vAlign w:val="center"/>
          </w:tcPr>
          <w:p>
            <w:r>
              <w:rPr>
                <w:sz w:val="16"/>
              </w:rPr>
              <w:t>54</w:t>
            </w:r>
          </w:p>
        </w:tc>
        <w:tc>
          <w:tcPr>
            <w:tcW w:type="dxa" w:w="1218"/>
            <w:vAlign w:val="center"/>
          </w:tcPr>
          <w:p>
            <w:r>
              <w:rPr>
                <w:sz w:val="16"/>
              </w:rPr>
              <w:t>0.693</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135</w:t>
            </w:r>
          </w:p>
        </w:tc>
        <w:tc>
          <w:tcPr>
            <w:tcW w:type="dxa" w:w="1218"/>
            <w:vAlign w:val="center"/>
          </w:tcPr>
          <w:p>
            <w:r>
              <w:rPr>
                <w:sz w:val="16"/>
              </w:rPr>
              <w:t>0.692</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376</w:t>
            </w:r>
          </w:p>
        </w:tc>
        <w:tc>
          <w:tcPr>
            <w:tcW w:type="dxa" w:w="1218"/>
            <w:vAlign w:val="center"/>
          </w:tcPr>
          <w:p>
            <w:r>
              <w:rPr>
                <w:sz w:val="16"/>
              </w:rPr>
              <w:t>228</w:t>
            </w:r>
          </w:p>
        </w:tc>
        <w:tc>
          <w:tcPr>
            <w:tcW w:type="dxa" w:w="1218"/>
            <w:vAlign w:val="center"/>
          </w:tcPr>
          <w:p>
            <w:r>
              <w:rPr>
                <w:sz w:val="16"/>
              </w:rPr>
              <w:t>0.691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408</w:t>
            </w:r>
          </w:p>
        </w:tc>
        <w:tc>
          <w:tcPr>
            <w:tcW w:type="dxa" w:w="1218"/>
            <w:vAlign w:val="center"/>
          </w:tcPr>
          <w:p>
            <w:r>
              <w:rPr>
                <w:sz w:val="16"/>
              </w:rPr>
              <w:t>165</w:t>
            </w:r>
          </w:p>
        </w:tc>
        <w:tc>
          <w:tcPr>
            <w:tcW w:type="dxa" w:w="1218"/>
            <w:vAlign w:val="center"/>
          </w:tcPr>
          <w:p>
            <w:r>
              <w:rPr>
                <w:sz w:val="16"/>
              </w:rPr>
              <w:t>0.691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71</w:t>
            </w:r>
          </w:p>
        </w:tc>
        <w:tc>
          <w:tcPr>
            <w:tcW w:type="dxa" w:w="1218"/>
            <w:vAlign w:val="center"/>
          </w:tcPr>
          <w:p>
            <w:r>
              <w:rPr>
                <w:sz w:val="16"/>
              </w:rPr>
              <w:t>38</w:t>
            </w:r>
          </w:p>
        </w:tc>
        <w:tc>
          <w:tcPr>
            <w:tcW w:type="dxa" w:w="1218"/>
            <w:vAlign w:val="center"/>
          </w:tcPr>
          <w:p>
            <w:r>
              <w:rPr>
                <w:sz w:val="16"/>
              </w:rPr>
              <w:t>0.691</w:t>
            </w:r>
          </w:p>
        </w:tc>
        <w:tc>
          <w:tcPr>
            <w:tcW w:type="dxa" w:w="1218"/>
            <w:vAlign w:val="center"/>
          </w:tcPr>
          <w:p>
            <w:r>
              <w:rPr>
                <w:sz w:val="16"/>
              </w:rPr>
              <w:t>0.008</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449</w:t>
            </w:r>
          </w:p>
        </w:tc>
        <w:tc>
          <w:tcPr>
            <w:tcW w:type="dxa" w:w="1218"/>
            <w:vAlign w:val="center"/>
          </w:tcPr>
          <w:p>
            <w:r>
              <w:rPr>
                <w:sz w:val="16"/>
              </w:rPr>
              <w:t>264</w:t>
            </w:r>
          </w:p>
        </w:tc>
        <w:tc>
          <w:tcPr>
            <w:tcW w:type="dxa" w:w="1218"/>
            <w:vAlign w:val="center"/>
          </w:tcPr>
          <w:p>
            <w:r>
              <w:rPr>
                <w:sz w:val="16"/>
              </w:rPr>
              <w:t>0.687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PCPG</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155</w:t>
            </w:r>
          </w:p>
        </w:tc>
        <w:tc>
          <w:tcPr>
            <w:tcW w:type="dxa" w:w="1218"/>
            <w:vAlign w:val="center"/>
          </w:tcPr>
          <w:p>
            <w:r>
              <w:rPr>
                <w:sz w:val="16"/>
              </w:rPr>
              <w:t>23</w:t>
            </w:r>
          </w:p>
        </w:tc>
        <w:tc>
          <w:tcPr>
            <w:tcW w:type="dxa" w:w="1218"/>
            <w:vAlign w:val="center"/>
          </w:tcPr>
          <w:p>
            <w:r>
              <w:rPr>
                <w:sz w:val="16"/>
              </w:rPr>
              <w:t>0.686</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360</w:t>
            </w:r>
          </w:p>
        </w:tc>
        <w:tc>
          <w:tcPr>
            <w:tcW w:type="dxa" w:w="1218"/>
            <w:vAlign w:val="center"/>
          </w:tcPr>
          <w:p>
            <w:r>
              <w:rPr>
                <w:sz w:val="16"/>
              </w:rPr>
              <w:t>154</w:t>
            </w:r>
          </w:p>
        </w:tc>
        <w:tc>
          <w:tcPr>
            <w:tcW w:type="dxa" w:w="1218"/>
            <w:vAlign w:val="center"/>
          </w:tcPr>
          <w:p>
            <w:r>
              <w:rPr>
                <w:sz w:val="16"/>
              </w:rPr>
              <w:t>0.681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THCA</w:t>
            </w:r>
          </w:p>
        </w:tc>
        <w:tc>
          <w:tcPr>
            <w:tcW w:type="dxa" w:w="1218"/>
            <w:vAlign w:val="center"/>
          </w:tcPr>
          <w:p>
            <w:r>
              <w:rPr>
                <w:sz w:val="16"/>
              </w:rPr>
              <w:t>Fusion pair: CCDC6--RET</w:t>
            </w:r>
          </w:p>
        </w:tc>
        <w:tc>
          <w:tcPr>
            <w:tcW w:type="dxa" w:w="1218"/>
            <w:vAlign w:val="center"/>
          </w:tcPr>
          <w:p>
            <w:r>
              <w:rPr>
                <w:sz w:val="16"/>
              </w:rPr>
              <w:t>fusion</w:t>
            </w:r>
          </w:p>
        </w:tc>
        <w:tc>
          <w:tcPr>
            <w:tcW w:type="dxa" w:w="1218"/>
            <w:vAlign w:val="center"/>
          </w:tcPr>
          <w:p>
            <w:r>
              <w:rPr>
                <w:sz w:val="16"/>
              </w:rPr>
              <w:t>502</w:t>
            </w:r>
          </w:p>
        </w:tc>
        <w:tc>
          <w:tcPr>
            <w:tcW w:type="dxa" w:w="1218"/>
            <w:vAlign w:val="center"/>
          </w:tcPr>
          <w:p>
            <w:r>
              <w:rPr>
                <w:sz w:val="16"/>
              </w:rPr>
              <w:t>21</w:t>
            </w:r>
          </w:p>
        </w:tc>
        <w:tc>
          <w:tcPr>
            <w:tcW w:type="dxa" w:w="1218"/>
            <w:vAlign w:val="center"/>
          </w:tcPr>
          <w:p>
            <w:r>
              <w:rPr>
                <w:sz w:val="16"/>
              </w:rPr>
              <w:t>0.681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126</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96</w:t>
            </w:r>
          </w:p>
        </w:tc>
        <w:tc>
          <w:tcPr>
            <w:tcW w:type="dxa" w:w="1218"/>
            <w:vAlign w:val="center"/>
          </w:tcPr>
          <w:p>
            <w:r>
              <w:rPr>
                <w:sz w:val="16"/>
              </w:rPr>
              <w:t>66</w:t>
            </w:r>
          </w:p>
        </w:tc>
        <w:tc>
          <w:tcPr>
            <w:tcW w:type="dxa" w:w="1218"/>
            <w:vAlign w:val="center"/>
          </w:tcPr>
          <w:p>
            <w:r>
              <w:rPr>
                <w:sz w:val="16"/>
              </w:rPr>
              <w:t>0.677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371</w:t>
            </w:r>
          </w:p>
        </w:tc>
        <w:tc>
          <w:tcPr>
            <w:tcW w:type="dxa" w:w="1218"/>
            <w:vAlign w:val="center"/>
          </w:tcPr>
          <w:p>
            <w:r>
              <w:rPr>
                <w:sz w:val="16"/>
              </w:rPr>
              <w:t>179</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323</w:t>
            </w:r>
          </w:p>
        </w:tc>
        <w:tc>
          <w:tcPr>
            <w:tcW w:type="dxa" w:w="1218"/>
            <w:vAlign w:val="center"/>
          </w:tcPr>
          <w:p>
            <w:r>
              <w:rPr>
                <w:sz w:val="16"/>
              </w:rPr>
              <w:t>208</w:t>
            </w:r>
          </w:p>
        </w:tc>
        <w:tc>
          <w:tcPr>
            <w:tcW w:type="dxa" w:w="1218"/>
            <w:vAlign w:val="center"/>
          </w:tcPr>
          <w:p>
            <w:r>
              <w:rPr>
                <w:sz w:val="16"/>
              </w:rPr>
              <w:t>0.671</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driver_mutation</w:t>
            </w:r>
          </w:p>
        </w:tc>
        <w:tc>
          <w:tcPr>
            <w:tcW w:type="dxa" w:w="1218"/>
            <w:vAlign w:val="center"/>
          </w:tcPr>
          <w:p>
            <w:r>
              <w:rPr>
                <w:sz w:val="16"/>
              </w:rPr>
              <w:t>350</w:t>
            </w:r>
          </w:p>
        </w:tc>
        <w:tc>
          <w:tcPr>
            <w:tcW w:type="dxa" w:w="1218"/>
            <w:vAlign w:val="center"/>
          </w:tcPr>
          <w:p>
            <w:r>
              <w:rPr>
                <w:sz w:val="16"/>
              </w:rPr>
              <w:t>93</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238</w:t>
            </w:r>
          </w:p>
        </w:tc>
        <w:tc>
          <w:tcPr>
            <w:tcW w:type="dxa" w:w="1218"/>
            <w:vAlign w:val="center"/>
          </w:tcPr>
          <w:p>
            <w:r>
              <w:rPr>
                <w:sz w:val="16"/>
              </w:rPr>
              <w:t>112</w:t>
            </w:r>
          </w:p>
        </w:tc>
        <w:tc>
          <w:tcPr>
            <w:tcW w:type="dxa" w:w="1218"/>
            <w:vAlign w:val="center"/>
          </w:tcPr>
          <w:p>
            <w:r>
              <w:rPr>
                <w:sz w:val="16"/>
              </w:rPr>
              <w:t>0.659</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72</w:t>
            </w:r>
          </w:p>
        </w:tc>
        <w:tc>
          <w:tcPr>
            <w:tcW w:type="dxa" w:w="1218"/>
            <w:vAlign w:val="center"/>
          </w:tcPr>
          <w:p>
            <w:r>
              <w:rPr>
                <w:sz w:val="16"/>
              </w:rPr>
              <w:t>22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0.657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438</w:t>
            </w:r>
          </w:p>
        </w:tc>
        <w:tc>
          <w:tcPr>
            <w:tcW w:type="dxa" w:w="1218"/>
            <w:vAlign w:val="center"/>
          </w:tcPr>
          <w:p>
            <w:r>
              <w:rPr>
                <w:sz w:val="16"/>
              </w:rPr>
              <w:t>106</w:t>
            </w:r>
          </w:p>
        </w:tc>
        <w:tc>
          <w:tcPr>
            <w:tcW w:type="dxa" w:w="1218"/>
            <w:vAlign w:val="center"/>
          </w:tcPr>
          <w:p>
            <w:r>
              <w:rPr>
                <w:sz w:val="16"/>
              </w:rPr>
              <w:t>0.653</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44</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241</w:t>
            </w:r>
          </w:p>
        </w:tc>
        <w:tc>
          <w:tcPr>
            <w:tcW w:type="dxa" w:w="1218"/>
            <w:vAlign w:val="center"/>
          </w:tcPr>
          <w:p>
            <w:r>
              <w:rPr>
                <w:sz w:val="16"/>
              </w:rPr>
              <w:t>52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337</w:t>
            </w:r>
          </w:p>
        </w:tc>
        <w:tc>
          <w:tcPr>
            <w:tcW w:type="dxa" w:w="1218"/>
            <w:vAlign w:val="center"/>
          </w:tcPr>
          <w:p>
            <w:r>
              <w:rPr>
                <w:sz w:val="16"/>
              </w:rPr>
              <w:t>232</w:t>
            </w:r>
          </w:p>
        </w:tc>
        <w:tc>
          <w:tcPr>
            <w:tcW w:type="dxa" w:w="1218"/>
            <w:vAlign w:val="center"/>
          </w:tcPr>
          <w:p>
            <w:r>
              <w:rPr>
                <w:sz w:val="16"/>
              </w:rPr>
              <w:t>0.644</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184</w:t>
            </w:r>
          </w:p>
        </w:tc>
        <w:tc>
          <w:tcPr>
            <w:tcW w:type="dxa" w:w="1218"/>
            <w:vAlign w:val="center"/>
          </w:tcPr>
          <w:p>
            <w:r>
              <w:rPr>
                <w:sz w:val="16"/>
              </w:rPr>
              <w:t>0.643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222</w:t>
            </w:r>
          </w:p>
        </w:tc>
        <w:tc>
          <w:tcPr>
            <w:tcW w:type="dxa" w:w="1218"/>
            <w:vAlign w:val="center"/>
          </w:tcPr>
          <w:p>
            <w:r>
              <w:rPr>
                <w:sz w:val="16"/>
              </w:rPr>
              <w:t>146</w:t>
            </w:r>
          </w:p>
        </w:tc>
        <w:tc>
          <w:tcPr>
            <w:tcW w:type="dxa" w:w="1218"/>
            <w:vAlign w:val="center"/>
          </w:tcPr>
          <w:p>
            <w:r>
              <w:rPr>
                <w:sz w:val="16"/>
              </w:rPr>
              <w:t>0.643</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384</w:t>
            </w:r>
          </w:p>
        </w:tc>
        <w:tc>
          <w:tcPr>
            <w:tcW w:type="dxa" w:w="1218"/>
            <w:vAlign w:val="center"/>
          </w:tcPr>
          <w:p>
            <w:r>
              <w:rPr>
                <w:sz w:val="16"/>
              </w:rPr>
              <w:t>185</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70</w:t>
            </w:r>
          </w:p>
        </w:tc>
        <w:tc>
          <w:tcPr>
            <w:tcW w:type="dxa" w:w="1218"/>
            <w:vAlign w:val="center"/>
          </w:tcPr>
          <w:p>
            <w:r>
              <w:rPr>
                <w:sz w:val="16"/>
              </w:rPr>
              <w:t>0.639</w:t>
            </w:r>
          </w:p>
        </w:tc>
        <w:tc>
          <w:tcPr>
            <w:tcW w:type="dxa" w:w="1218"/>
            <w:vAlign w:val="center"/>
          </w:tcPr>
          <w:p>
            <w:r>
              <w:rPr>
                <w:sz w:val="16"/>
              </w:rPr>
              <w:t>0.002</w:t>
            </w:r>
          </w:p>
        </w:tc>
        <w:tc>
          <w:tcPr>
            <w:tcW w:type="dxa" w:w="1218"/>
            <w:vAlign w:val="center"/>
          </w:tcPr>
          <w:p>
            <w:r>
              <w:rPr>
                <w:sz w:val="16"/>
              </w:rPr>
              <w:t>within-cancer moderate effect</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0.793</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0.862</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BRAF</w:t>
            </w:r>
          </w:p>
        </w:tc>
        <w:tc>
          <w:tcPr>
            <w:tcW w:type="dxa" w:w="1392"/>
            <w:vAlign w:val="center"/>
          </w:tcPr>
          <w:p>
            <w:r>
              <w:rPr>
                <w:sz w:val="16"/>
              </w:rPr>
              <w:t>AUROC 0.702 [0.672–0.755]</w:t>
            </w:r>
          </w:p>
        </w:tc>
        <w:tc>
          <w:tcPr>
            <w:tcW w:type="dxa" w:w="1392"/>
            <w:vAlign w:val="center"/>
          </w:tcPr>
          <w:p>
            <w:r>
              <w:rPr>
                <w:sz w:val="16"/>
              </w:rPr>
              <w:t>0.651</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0.680</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PIK3CA</w:t>
            </w:r>
          </w:p>
        </w:tc>
        <w:tc>
          <w:tcPr>
            <w:tcW w:type="dxa" w:w="1392"/>
            <w:vAlign w:val="center"/>
          </w:tcPr>
          <w:p>
            <w:r>
              <w:rPr>
                <w:sz w:val="16"/>
              </w:rPr>
              <w:t>AUROC 0.621 [0.574–0.669]</w:t>
            </w:r>
          </w:p>
        </w:tc>
        <w:tc>
          <w:tcPr>
            <w:tcW w:type="dxa" w:w="1392"/>
            <w:vAlign w:val="center"/>
          </w:tcPr>
          <w:p>
            <w:r>
              <w:rPr>
                <w:sz w:val="16"/>
              </w:rPr>
              <w:t>0.534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0.543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S10a. Expanded literature audit for every screen-positive mutation predictor</w:t>
      </w:r>
    </w:p>
    <w:p>
      <w:r>
        <w:t>The audit maps pooled colorectal cohorts to COAD and READ where appropriate and distinguishes prior statistical support, prior evaluation without support, and a result not identified in the reviewed predictive-model literature. The last category is not a claim of biological novelty or an exhaustive proof of bibliographic novelty.</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Prior study/scope</w:t>
            </w:r>
          </w:p>
        </w:tc>
        <w:tc>
          <w:tcPr>
            <w:tcW w:type="dxa" w:w="1218"/>
          </w:tcPr>
          <w:p>
            <w:r>
              <w:rPr>
                <w:b/>
                <w:sz w:val="17"/>
              </w:rPr>
              <w:t>Prior result</w:t>
            </w:r>
          </w:p>
        </w:tc>
        <w:tc>
          <w:tcPr>
            <w:tcW w:type="dxa" w:w="1218"/>
          </w:tcPr>
          <w:p>
            <w:r>
              <w:rPr>
                <w:b/>
                <w:sz w:val="17"/>
              </w:rPr>
              <w:t>Current BA</w:t>
            </w:r>
          </w:p>
        </w:tc>
        <w:tc>
          <w:tcPr>
            <w:tcW w:type="dxa" w:w="1218"/>
          </w:tcPr>
          <w:p>
            <w:r>
              <w:rPr>
                <w:b/>
                <w:sz w:val="17"/>
              </w:rPr>
              <w:t>Current q</w:t>
            </w:r>
          </w:p>
        </w:tc>
        <w:tc>
          <w:tcPr>
            <w:tcW w:type="dxa" w:w="1218"/>
          </w:tcPr>
          <w:p>
            <w:r>
              <w:rPr>
                <w:b/>
                <w:sz w:val="17"/>
              </w:rPr>
              <w:t>Current 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not identified in reviewed predictive literature</w:t>
            </w:r>
          </w:p>
        </w:tc>
        <w:tc>
          <w:tcPr>
            <w:tcW w:type="dxa" w:w="1218"/>
            <w:vAlign w:val="center"/>
          </w:tcPr>
          <w:p>
            <w:r>
              <w:rPr>
                <w:sz w:val="16"/>
              </w:rPr>
              <w:t>None identified / exact cancer</w:t>
            </w:r>
          </w:p>
        </w:tc>
        <w:tc>
          <w:tcPr>
            <w:tcW w:type="dxa" w:w="1218"/>
            <w:vAlign w:val="center"/>
          </w:tcPr>
          <w:p>
            <w:r>
              <w:rPr>
                <w:sz w:val="16"/>
              </w:rPr>
              <w:t>No H&amp;E predictive model identified in the reviewed literature</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0.673 [0.664-0.690]; FDR q=1.51e-10</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0.743 [0.680-0.777]; corrected p=5.384e-05</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0.842 [0.810-0.859]; corrected p=5.892e-40</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0.854 [0.850-0.856]; corrected p=5.440e-41</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0.636 [0.624-0.653]; corrected p=0.0008781</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0.740 [0.705-0.759]; corrected p=1.677e-12</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0.661 [0.639-0.677]; FDR q=1.15e-9</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0.836 [0.790-0.867]; corrected p=5.057e-27</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0.771 [0.757-0.788]; corrected p=1.176e-20</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0.816 [0.789-0.858]; corrected p=1.183e-31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0.785 [0.756-0.814]; corrected p=4.575e-46</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0.839 [0.818-0.879]; corrected p=4.843e-46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0.761 [0.696-0.801]; corrected p=2.301e-10</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0.753 [0.740-0.775]; corrected p=1.421e-18</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0.809 [0.686-0.876]; corrected p=1.231e-09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0.679 [0.642-0.699]; corrected p=1.490e-09</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0.624 [0.583-0.663]; corrected p=0.002947</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0.666 [0.602-0.707]; corrected p=0.0001717</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0.648 [0.638-0.663]; corrected p=0.0001418</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Fernandes2025 / exact cancer</w:t>
            </w:r>
          </w:p>
        </w:tc>
        <w:tc>
          <w:tcPr>
            <w:tcW w:type="dxa" w:w="1218"/>
            <w:vAlign w:val="center"/>
          </w:tcPr>
          <w:p>
            <w:r>
              <w:rPr>
                <w:sz w:val="16"/>
              </w:rPr>
              <w:t>AUROC 0.82 +/- 0.02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0.768 [0.736-0.825]; corrected p=4.892e-10</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0.680 [0.638-0.702]; corrected p=0.004082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0.675 [0.640-0.722]; corrected p=2.176e-07</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0.712 [0.667-0.779]; corrected p=0.0008205</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0.738 [0.668-0.823]; corrected p=1.657e-13</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0.790 [0.723-0.829]; corrected p=1.747e-17</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0.608 [0.582-0.626]; corrected p=0.007657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0.825 [0.774-0.862]; corrected p=6.555e-05</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0.622 [0.612-0.629]; corrected p=1.264e-07</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0.653 [0.586-0.688]; corrected p=0.0001968</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0.579 [0.506-0.617]; corrected p=0.2864</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moderate effect</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0.672 [0.624-0.707]; corrected p=0.001334</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0.688 [0.662-0.703]; corrected p=0.006080</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0.620 [0.566-0.653]; corrected p=0.03226</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0.676 [0.644-0.695]; corrected p=0.0001350</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0.656 [0.632-0.674]; corrected p=2.281e-06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0.714 [0.695-0.749]; corrected p=2.788e-05</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0.703 [0.551-0.893]; corrected p=8.629e-05</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moderate effect</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0.631 [0.603-0.670]; corrected p=0.001578</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0.588 [0.528-0.629]; corrected p=0.05824</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moderate effect</w:t>
            </w:r>
          </w:p>
        </w:tc>
      </w:tr>
    </w:tbl>
    <w:p/>
    <w:p>
      <w:pPr>
        <w:pStyle w:val="Heading1"/>
      </w:pPr>
      <w:r>
        <w:t>Table S10b. Screen-positive models below the original effect threshold under site-grouped validation</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w:t>
            </w:r>
          </w:p>
        </w:tc>
        <w:tc>
          <w:tcPr>
            <w:tcW w:type="dxa" w:w="1083"/>
          </w:tcPr>
          <w:p>
            <w:r>
              <w:rPr>
                <w:b/>
                <w:sz w:val="17"/>
              </w:rPr>
              <w:t>Family</w:t>
            </w:r>
          </w:p>
        </w:tc>
        <w:tc>
          <w:tcPr>
            <w:tcW w:type="dxa" w:w="1083"/>
          </w:tcPr>
          <w:p>
            <w:r>
              <w:rPr>
                <w:b/>
                <w:sz w:val="17"/>
              </w:rPr>
              <w:t>Cancer</w:t>
            </w:r>
          </w:p>
        </w:tc>
        <w:tc>
          <w:tcPr>
            <w:tcW w:type="dxa" w:w="1083"/>
          </w:tcPr>
          <w:p>
            <w:r>
              <w:rPr>
                <w:b/>
                <w:sz w:val="17"/>
              </w:rPr>
              <w:t>Endpoint</w:t>
            </w:r>
          </w:p>
        </w:tc>
        <w:tc>
          <w:tcPr>
            <w:tcW w:type="dxa" w:w="1083"/>
          </w:tcPr>
          <w:p>
            <w:r>
              <w:rPr>
                <w:b/>
                <w:sz w:val="17"/>
              </w:rPr>
              <w:t>n</w:t>
            </w:r>
          </w:p>
        </w:tc>
        <w:tc>
          <w:tcPr>
            <w:tcW w:type="dxa" w:w="1083"/>
          </w:tcPr>
          <w:p>
            <w:r>
              <w:rPr>
                <w:b/>
                <w:sz w:val="17"/>
              </w:rPr>
              <w:t>Sites</w:t>
            </w:r>
          </w:p>
        </w:tc>
        <w:tc>
          <w:tcPr>
            <w:tcW w:type="dxa" w:w="1083"/>
          </w:tcPr>
          <w:p>
            <w:r>
              <w:rPr>
                <w:b/>
                <w:sz w:val="17"/>
              </w:rPr>
              <w:t>Random-fold metric</w:t>
            </w:r>
          </w:p>
        </w:tc>
        <w:tc>
          <w:tcPr>
            <w:tcW w:type="dxa" w:w="1083"/>
          </w:tcPr>
          <w:p>
            <w:r>
              <w:rPr>
                <w:b/>
                <w:sz w:val="17"/>
              </w:rPr>
              <w:t>Site-grouped metric</w:t>
            </w:r>
          </w:p>
        </w:tc>
        <w:tc>
          <w:tcPr>
            <w:tcW w:type="dxa" w:w="1083"/>
          </w:tcPr>
          <w:p>
            <w:r>
              <w:rPr>
                <w:b/>
                <w:sz w:val="17"/>
              </w:rPr>
              <w:t>Delta</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TCR Shannon</w:t>
            </w:r>
          </w:p>
        </w:tc>
        <w:tc>
          <w:tcPr>
            <w:tcW w:type="dxa" w:w="1083"/>
            <w:vAlign w:val="center"/>
          </w:tcPr>
          <w:p>
            <w:r>
              <w:rPr>
                <w:sz w:val="16"/>
              </w:rPr>
              <w:t>68</w:t>
            </w:r>
          </w:p>
        </w:tc>
        <w:tc>
          <w:tcPr>
            <w:tcW w:type="dxa" w:w="1083"/>
            <w:vAlign w:val="center"/>
          </w:tcPr>
          <w:p>
            <w:r>
              <w:rPr>
                <w:sz w:val="16"/>
              </w:rPr>
              <w:t>10</w:t>
            </w:r>
          </w:p>
        </w:tc>
        <w:tc>
          <w:tcPr>
            <w:tcW w:type="dxa" w:w="1083"/>
            <w:vAlign w:val="center"/>
          </w:tcPr>
          <w:p>
            <w:r>
              <w:rPr>
                <w:sz w:val="16"/>
              </w:rPr>
              <w:t>0.206</w:t>
            </w:r>
          </w:p>
        </w:tc>
        <w:tc>
          <w:tcPr>
            <w:tcW w:type="dxa" w:w="1083"/>
            <w:vAlign w:val="center"/>
          </w:tcPr>
          <w:p>
            <w:r>
              <w:rPr>
                <w:sz w:val="16"/>
              </w:rPr>
              <w:t>-0.551</w:t>
            </w:r>
          </w:p>
        </w:tc>
        <w:tc>
          <w:tcPr>
            <w:tcW w:type="dxa" w:w="1083"/>
            <w:vAlign w:val="center"/>
          </w:tcPr>
          <w:p>
            <w:r>
              <w:rPr>
                <w:sz w:val="16"/>
              </w:rPr>
              <w:t>-0.757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SNV Neoantigens</w:t>
            </w:r>
          </w:p>
        </w:tc>
        <w:tc>
          <w:tcPr>
            <w:tcW w:type="dxa" w:w="1083"/>
            <w:vAlign w:val="center"/>
          </w:tcPr>
          <w:p>
            <w:r>
              <w:rPr>
                <w:sz w:val="16"/>
              </w:rPr>
              <w:t>350</w:t>
            </w:r>
          </w:p>
        </w:tc>
        <w:tc>
          <w:tcPr>
            <w:tcW w:type="dxa" w:w="1083"/>
            <w:vAlign w:val="center"/>
          </w:tcPr>
          <w:p>
            <w:r>
              <w:rPr>
                <w:sz w:val="16"/>
              </w:rPr>
              <w:t>24</w:t>
            </w:r>
          </w:p>
        </w:tc>
        <w:tc>
          <w:tcPr>
            <w:tcW w:type="dxa" w:w="1083"/>
            <w:vAlign w:val="center"/>
          </w:tcPr>
          <w:p>
            <w:r>
              <w:rPr>
                <w:sz w:val="16"/>
              </w:rPr>
              <w:t>0.239</w:t>
            </w:r>
          </w:p>
        </w:tc>
        <w:tc>
          <w:tcPr>
            <w:tcW w:type="dxa" w:w="1083"/>
            <w:vAlign w:val="center"/>
          </w:tcPr>
          <w:p>
            <w:r>
              <w:rPr>
                <w:sz w:val="16"/>
              </w:rPr>
              <w:t>-0.013</w:t>
            </w:r>
          </w:p>
        </w:tc>
        <w:tc>
          <w:tcPr>
            <w:tcW w:type="dxa" w:w="1083"/>
            <w:vAlign w:val="center"/>
          </w:tcPr>
          <w:p>
            <w:r>
              <w:rPr>
                <w:sz w:val="16"/>
              </w:rPr>
              <w:t>-0.252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0.234</w:t>
            </w:r>
          </w:p>
        </w:tc>
        <w:tc>
          <w:tcPr>
            <w:tcW w:type="dxa" w:w="1083"/>
            <w:vAlign w:val="center"/>
          </w:tcPr>
          <w:p>
            <w:r>
              <w:rPr>
                <w:sz w:val="16"/>
              </w:rPr>
              <w:t>-0.003</w:t>
            </w:r>
          </w:p>
        </w:tc>
        <w:tc>
          <w:tcPr>
            <w:tcW w:type="dxa" w:w="1083"/>
            <w:vAlign w:val="center"/>
          </w:tcPr>
          <w:p>
            <w:r>
              <w:rPr>
                <w:sz w:val="16"/>
              </w:rPr>
              <w:t>-0.236</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MSIsensor score</w:t>
            </w:r>
          </w:p>
        </w:tc>
        <w:tc>
          <w:tcPr>
            <w:tcW w:type="dxa" w:w="1083"/>
            <w:vAlign w:val="center"/>
          </w:tcPr>
          <w:p>
            <w:r>
              <w:rPr>
                <w:sz w:val="16"/>
              </w:rPr>
              <w:t>411</w:t>
            </w:r>
          </w:p>
        </w:tc>
        <w:tc>
          <w:tcPr>
            <w:tcW w:type="dxa" w:w="1083"/>
            <w:vAlign w:val="center"/>
          </w:tcPr>
          <w:p>
            <w:r>
              <w:rPr>
                <w:sz w:val="16"/>
              </w:rPr>
              <w:t>24</w:t>
            </w:r>
          </w:p>
        </w:tc>
        <w:tc>
          <w:tcPr>
            <w:tcW w:type="dxa" w:w="1083"/>
            <w:vAlign w:val="center"/>
          </w:tcPr>
          <w:p>
            <w:r>
              <w:rPr>
                <w:sz w:val="16"/>
              </w:rPr>
              <w:t>0.254</w:t>
            </w:r>
          </w:p>
        </w:tc>
        <w:tc>
          <w:tcPr>
            <w:tcW w:type="dxa" w:w="1083"/>
            <w:vAlign w:val="center"/>
          </w:tcPr>
          <w:p>
            <w:r>
              <w:rPr>
                <w:sz w:val="16"/>
              </w:rPr>
              <w:t>0.026</w:t>
            </w:r>
          </w:p>
        </w:tc>
        <w:tc>
          <w:tcPr>
            <w:tcW w:type="dxa" w:w="1083"/>
            <w:vAlign w:val="center"/>
          </w:tcPr>
          <w:p>
            <w:r>
              <w:rPr>
                <w:sz w:val="16"/>
              </w:rPr>
              <w:t>-0.229</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UVM</w:t>
            </w:r>
          </w:p>
        </w:tc>
        <w:tc>
          <w:tcPr>
            <w:tcW w:type="dxa" w:w="1083"/>
            <w:vAlign w:val="center"/>
          </w:tcPr>
          <w:p>
            <w:r>
              <w:rPr>
                <w:sz w:val="16"/>
              </w:rPr>
              <w:t>Deleted arm count</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0.206</w:t>
            </w:r>
          </w:p>
        </w:tc>
        <w:tc>
          <w:tcPr>
            <w:tcW w:type="dxa" w:w="1083"/>
            <w:vAlign w:val="center"/>
          </w:tcPr>
          <w:p>
            <w:r>
              <w:rPr>
                <w:sz w:val="16"/>
              </w:rPr>
              <w:t>0.029</w:t>
            </w:r>
          </w:p>
        </w:tc>
        <w:tc>
          <w:tcPr>
            <w:tcW w:type="dxa" w:w="1083"/>
            <w:vAlign w:val="center"/>
          </w:tcPr>
          <w:p>
            <w:r>
              <w:rPr>
                <w:sz w:val="16"/>
              </w:rPr>
              <w:t>-0.176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CTA Score</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0.037</w:t>
            </w:r>
          </w:p>
        </w:tc>
        <w:tc>
          <w:tcPr>
            <w:tcW w:type="dxa" w:w="1083"/>
            <w:vAlign w:val="center"/>
          </w:tcPr>
          <w:p>
            <w:r>
              <w:rPr>
                <w:sz w:val="16"/>
              </w:rPr>
              <w:t>-0.189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Lymphocyte Infiltration Signature Score</w:t>
            </w:r>
          </w:p>
        </w:tc>
        <w:tc>
          <w:tcPr>
            <w:tcW w:type="dxa" w:w="1083"/>
            <w:vAlign w:val="center"/>
          </w:tcPr>
          <w:p>
            <w:r>
              <w:rPr>
                <w:sz w:val="16"/>
              </w:rPr>
              <w:t>417</w:t>
            </w:r>
          </w:p>
        </w:tc>
        <w:tc>
          <w:tcPr>
            <w:tcW w:type="dxa" w:w="1083"/>
            <w:vAlign w:val="center"/>
          </w:tcPr>
          <w:p>
            <w:r>
              <w:rPr>
                <w:sz w:val="16"/>
              </w:rPr>
              <w:t>24</w:t>
            </w:r>
          </w:p>
        </w:tc>
        <w:tc>
          <w:tcPr>
            <w:tcW w:type="dxa" w:w="1083"/>
            <w:vAlign w:val="center"/>
          </w:tcPr>
          <w:p>
            <w:r>
              <w:rPr>
                <w:sz w:val="16"/>
              </w:rPr>
              <w:t>0.285</w:t>
            </w:r>
          </w:p>
        </w:tc>
        <w:tc>
          <w:tcPr>
            <w:tcW w:type="dxa" w:w="1083"/>
            <w:vAlign w:val="center"/>
          </w:tcPr>
          <w:p>
            <w:r>
              <w:rPr>
                <w:sz w:val="16"/>
              </w:rPr>
              <w:t>0.048</w:t>
            </w:r>
          </w:p>
        </w:tc>
        <w:tc>
          <w:tcPr>
            <w:tcW w:type="dxa" w:w="1083"/>
            <w:vAlign w:val="center"/>
          </w:tcPr>
          <w:p>
            <w:r>
              <w:rPr>
                <w:sz w:val="16"/>
              </w:rPr>
              <w:t>-0.238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Wound Healing</w:t>
            </w:r>
          </w:p>
        </w:tc>
        <w:tc>
          <w:tcPr>
            <w:tcW w:type="dxa" w:w="1083"/>
            <w:vAlign w:val="center"/>
          </w:tcPr>
          <w:p>
            <w:r>
              <w:rPr>
                <w:sz w:val="16"/>
              </w:rPr>
              <w:t>462</w:t>
            </w:r>
          </w:p>
        </w:tc>
        <w:tc>
          <w:tcPr>
            <w:tcW w:type="dxa" w:w="1083"/>
            <w:vAlign w:val="center"/>
          </w:tcPr>
          <w:p>
            <w:r>
              <w:rPr>
                <w:sz w:val="16"/>
              </w:rPr>
              <w:t>35</w:t>
            </w:r>
          </w:p>
        </w:tc>
        <w:tc>
          <w:tcPr>
            <w:tcW w:type="dxa" w:w="1083"/>
            <w:vAlign w:val="center"/>
          </w:tcPr>
          <w:p>
            <w:r>
              <w:rPr>
                <w:sz w:val="16"/>
              </w:rPr>
              <w:t>0.203</w:t>
            </w:r>
          </w:p>
        </w:tc>
        <w:tc>
          <w:tcPr>
            <w:tcW w:type="dxa" w:w="1083"/>
            <w:vAlign w:val="center"/>
          </w:tcPr>
          <w:p>
            <w:r>
              <w:rPr>
                <w:sz w:val="16"/>
              </w:rPr>
              <w:t>0.066</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Nonsilent Mutation Rate</w:t>
            </w:r>
          </w:p>
        </w:tc>
        <w:tc>
          <w:tcPr>
            <w:tcW w:type="dxa" w:w="1083"/>
            <w:vAlign w:val="center"/>
          </w:tcPr>
          <w:p>
            <w:r>
              <w:rPr>
                <w:sz w:val="16"/>
              </w:rPr>
              <w:t>120</w:t>
            </w:r>
          </w:p>
        </w:tc>
        <w:tc>
          <w:tcPr>
            <w:tcW w:type="dxa" w:w="1083"/>
            <w:vAlign w:val="center"/>
          </w:tcPr>
          <w:p>
            <w:r>
              <w:rPr>
                <w:sz w:val="16"/>
              </w:rPr>
              <w:t>19</w:t>
            </w:r>
          </w:p>
        </w:tc>
        <w:tc>
          <w:tcPr>
            <w:tcW w:type="dxa" w:w="1083"/>
            <w:vAlign w:val="center"/>
          </w:tcPr>
          <w:p>
            <w:r>
              <w:rPr>
                <w:sz w:val="16"/>
              </w:rPr>
              <w:t>0.206</w:t>
            </w:r>
          </w:p>
        </w:tc>
        <w:tc>
          <w:tcPr>
            <w:tcW w:type="dxa" w:w="1083"/>
            <w:vAlign w:val="center"/>
          </w:tcPr>
          <w:p>
            <w:r>
              <w:rPr>
                <w:sz w:val="16"/>
              </w:rPr>
              <w:t>0.066</w:t>
            </w:r>
          </w:p>
        </w:tc>
        <w:tc>
          <w:tcPr>
            <w:tcW w:type="dxa" w:w="1083"/>
            <w:vAlign w:val="center"/>
          </w:tcPr>
          <w:p>
            <w:r>
              <w:rPr>
                <w:sz w:val="16"/>
              </w:rPr>
              <w:t>-0.140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Nonsilent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0.214</w:t>
            </w:r>
          </w:p>
        </w:tc>
        <w:tc>
          <w:tcPr>
            <w:tcW w:type="dxa" w:w="1083"/>
            <w:vAlign w:val="center"/>
          </w:tcPr>
          <w:p>
            <w:r>
              <w:rPr>
                <w:sz w:val="16"/>
              </w:rPr>
              <w:t>0.088</w:t>
            </w:r>
          </w:p>
        </w:tc>
        <w:tc>
          <w:tcPr>
            <w:tcW w:type="dxa" w:w="1083"/>
            <w:vAlign w:val="center"/>
          </w:tcPr>
          <w:p>
            <w:r>
              <w:rPr>
                <w:sz w:val="16"/>
              </w:rPr>
              <w:t>-0.127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CTA Score</w:t>
            </w:r>
          </w:p>
        </w:tc>
        <w:tc>
          <w:tcPr>
            <w:tcW w:type="dxa" w:w="1083"/>
            <w:vAlign w:val="center"/>
          </w:tcPr>
          <w:p>
            <w:r>
              <w:rPr>
                <w:sz w:val="16"/>
              </w:rPr>
              <w:t>323</w:t>
            </w:r>
          </w:p>
        </w:tc>
        <w:tc>
          <w:tcPr>
            <w:tcW w:type="dxa" w:w="1083"/>
            <w:vAlign w:val="center"/>
          </w:tcPr>
          <w:p>
            <w:r>
              <w:rPr>
                <w:sz w:val="16"/>
              </w:rPr>
              <w:t>21</w:t>
            </w:r>
          </w:p>
        </w:tc>
        <w:tc>
          <w:tcPr>
            <w:tcW w:type="dxa" w:w="1083"/>
            <w:vAlign w:val="center"/>
          </w:tcPr>
          <w:p>
            <w:r>
              <w:rPr>
                <w:sz w:val="16"/>
              </w:rPr>
              <w:t>0.210</w:t>
            </w:r>
          </w:p>
        </w:tc>
        <w:tc>
          <w:tcPr>
            <w:tcW w:type="dxa" w:w="1083"/>
            <w:vAlign w:val="center"/>
          </w:tcPr>
          <w:p>
            <w:r>
              <w:rPr>
                <w:sz w:val="16"/>
              </w:rPr>
              <w:t>0.097</w:t>
            </w:r>
          </w:p>
        </w:tc>
        <w:tc>
          <w:tcPr>
            <w:tcW w:type="dxa" w:w="1083"/>
            <w:vAlign w:val="center"/>
          </w:tcPr>
          <w:p>
            <w:r>
              <w:rPr>
                <w:sz w:val="16"/>
              </w:rPr>
              <w:t>-0.113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Stromal Fraction</w:t>
            </w:r>
          </w:p>
        </w:tc>
        <w:tc>
          <w:tcPr>
            <w:tcW w:type="dxa" w:w="1083"/>
            <w:vAlign w:val="center"/>
          </w:tcPr>
          <w:p>
            <w:r>
              <w:rPr>
                <w:sz w:val="16"/>
              </w:rPr>
              <w:t>104</w:t>
            </w:r>
          </w:p>
        </w:tc>
        <w:tc>
          <w:tcPr>
            <w:tcW w:type="dxa" w:w="1083"/>
            <w:vAlign w:val="center"/>
          </w:tcPr>
          <w:p>
            <w:r>
              <w:rPr>
                <w:sz w:val="16"/>
              </w:rPr>
              <w:t>17</w:t>
            </w:r>
          </w:p>
        </w:tc>
        <w:tc>
          <w:tcPr>
            <w:tcW w:type="dxa" w:w="1083"/>
            <w:vAlign w:val="center"/>
          </w:tcPr>
          <w:p>
            <w:r>
              <w:rPr>
                <w:sz w:val="16"/>
              </w:rPr>
              <w:t>0.278</w:t>
            </w:r>
          </w:p>
        </w:tc>
        <w:tc>
          <w:tcPr>
            <w:tcW w:type="dxa" w:w="1083"/>
            <w:vAlign w:val="center"/>
          </w:tcPr>
          <w:p>
            <w:r>
              <w:rPr>
                <w:sz w:val="16"/>
              </w:rPr>
              <w:t>0.101</w:t>
            </w:r>
          </w:p>
        </w:tc>
        <w:tc>
          <w:tcPr>
            <w:tcW w:type="dxa" w:w="1083"/>
            <w:vAlign w:val="center"/>
          </w:tcPr>
          <w:p>
            <w:r>
              <w:rPr>
                <w:sz w:val="16"/>
              </w:rPr>
              <w:t>-0.177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TIL Regional Fraction</w:t>
            </w:r>
          </w:p>
        </w:tc>
        <w:tc>
          <w:tcPr>
            <w:tcW w:type="dxa" w:w="1083"/>
            <w:vAlign w:val="center"/>
          </w:tcPr>
          <w:p>
            <w:r>
              <w:rPr>
                <w:sz w:val="16"/>
              </w:rPr>
              <w:t>251</w:t>
            </w:r>
          </w:p>
        </w:tc>
        <w:tc>
          <w:tcPr>
            <w:tcW w:type="dxa" w:w="1083"/>
            <w:vAlign w:val="center"/>
          </w:tcPr>
          <w:p>
            <w:r>
              <w:rPr>
                <w:sz w:val="16"/>
              </w:rPr>
              <w:t>22</w:t>
            </w:r>
          </w:p>
        </w:tc>
        <w:tc>
          <w:tcPr>
            <w:tcW w:type="dxa" w:w="1083"/>
            <w:vAlign w:val="center"/>
          </w:tcPr>
          <w:p>
            <w:r>
              <w:rPr>
                <w:sz w:val="16"/>
              </w:rPr>
              <w:t>0.352</w:t>
            </w:r>
          </w:p>
        </w:tc>
        <w:tc>
          <w:tcPr>
            <w:tcW w:type="dxa" w:w="1083"/>
            <w:vAlign w:val="center"/>
          </w:tcPr>
          <w:p>
            <w:r>
              <w:rPr>
                <w:sz w:val="16"/>
              </w:rPr>
              <w:t>0.101</w:t>
            </w:r>
          </w:p>
        </w:tc>
        <w:tc>
          <w:tcPr>
            <w:tcW w:type="dxa" w:w="1083"/>
            <w:vAlign w:val="center"/>
          </w:tcPr>
          <w:p>
            <w:r>
              <w:rPr>
                <w:sz w:val="16"/>
              </w:rPr>
              <w:t>-0.251</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MANTIS score</w:t>
            </w:r>
          </w:p>
        </w:tc>
        <w:tc>
          <w:tcPr>
            <w:tcW w:type="dxa" w:w="1083"/>
            <w:vAlign w:val="center"/>
          </w:tcPr>
          <w:p>
            <w:r>
              <w:rPr>
                <w:sz w:val="16"/>
              </w:rPr>
              <w:t>391</w:t>
            </w:r>
          </w:p>
        </w:tc>
        <w:tc>
          <w:tcPr>
            <w:tcW w:type="dxa" w:w="1083"/>
            <w:vAlign w:val="center"/>
          </w:tcPr>
          <w:p>
            <w:r>
              <w:rPr>
                <w:sz w:val="16"/>
              </w:rPr>
              <w:t>24</w:t>
            </w:r>
          </w:p>
        </w:tc>
        <w:tc>
          <w:tcPr>
            <w:tcW w:type="dxa" w:w="1083"/>
            <w:vAlign w:val="center"/>
          </w:tcPr>
          <w:p>
            <w:r>
              <w:rPr>
                <w:sz w:val="16"/>
              </w:rPr>
              <w:t>0.217</w:t>
            </w:r>
          </w:p>
        </w:tc>
        <w:tc>
          <w:tcPr>
            <w:tcW w:type="dxa" w:w="1083"/>
            <w:vAlign w:val="center"/>
          </w:tcPr>
          <w:p>
            <w:r>
              <w:rPr>
                <w:sz w:val="16"/>
              </w:rPr>
              <w:t>0.113</w:t>
            </w:r>
          </w:p>
        </w:tc>
        <w:tc>
          <w:tcPr>
            <w:tcW w:type="dxa" w:w="1083"/>
            <w:vAlign w:val="center"/>
          </w:tcPr>
          <w:p>
            <w:r>
              <w:rPr>
                <w:sz w:val="16"/>
              </w:rPr>
              <w:t>-0.104</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0.225</w:t>
            </w:r>
          </w:p>
        </w:tc>
        <w:tc>
          <w:tcPr>
            <w:tcW w:type="dxa" w:w="1083"/>
            <w:vAlign w:val="center"/>
          </w:tcPr>
          <w:p>
            <w:r>
              <w:rPr>
                <w:sz w:val="16"/>
              </w:rPr>
              <w:t>0.123</w:t>
            </w:r>
          </w:p>
        </w:tc>
        <w:tc>
          <w:tcPr>
            <w:tcW w:type="dxa" w:w="1083"/>
            <w:vAlign w:val="center"/>
          </w:tcPr>
          <w:p>
            <w:r>
              <w:rPr>
                <w:sz w:val="16"/>
              </w:rPr>
              <w:t>-0.102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Macrophage Regulation</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0.240</w:t>
            </w:r>
          </w:p>
        </w:tc>
        <w:tc>
          <w:tcPr>
            <w:tcW w:type="dxa" w:w="1083"/>
            <w:vAlign w:val="center"/>
          </w:tcPr>
          <w:p>
            <w:r>
              <w:rPr>
                <w:sz w:val="16"/>
              </w:rPr>
              <w:t>0.125</w:t>
            </w:r>
          </w:p>
        </w:tc>
        <w:tc>
          <w:tcPr>
            <w:tcW w:type="dxa" w:w="1083"/>
            <w:vAlign w:val="center"/>
          </w:tcPr>
          <w:p>
            <w:r>
              <w:rPr>
                <w:sz w:val="16"/>
              </w:rPr>
              <w:t>-0.115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Wound Healing</w:t>
            </w:r>
          </w:p>
        </w:tc>
        <w:tc>
          <w:tcPr>
            <w:tcW w:type="dxa" w:w="1083"/>
            <w:vAlign w:val="center"/>
          </w:tcPr>
          <w:p>
            <w:r>
              <w:rPr>
                <w:sz w:val="16"/>
              </w:rPr>
              <w:t>291</w:t>
            </w:r>
          </w:p>
        </w:tc>
        <w:tc>
          <w:tcPr>
            <w:tcW w:type="dxa" w:w="1083"/>
            <w:vAlign w:val="center"/>
          </w:tcPr>
          <w:p>
            <w:r>
              <w:rPr>
                <w:sz w:val="16"/>
              </w:rPr>
              <w:t>23</w:t>
            </w:r>
          </w:p>
        </w:tc>
        <w:tc>
          <w:tcPr>
            <w:tcW w:type="dxa" w:w="1083"/>
            <w:vAlign w:val="center"/>
          </w:tcPr>
          <w:p>
            <w:r>
              <w:rPr>
                <w:sz w:val="16"/>
              </w:rPr>
              <w:t>0.214</w:t>
            </w:r>
          </w:p>
        </w:tc>
        <w:tc>
          <w:tcPr>
            <w:tcW w:type="dxa" w:w="1083"/>
            <w:vAlign w:val="center"/>
          </w:tcPr>
          <w:p>
            <w:r>
              <w:rPr>
                <w:sz w:val="16"/>
              </w:rPr>
              <w:t>0.129</w:t>
            </w:r>
          </w:p>
        </w:tc>
        <w:tc>
          <w:tcPr>
            <w:tcW w:type="dxa" w:w="1083"/>
            <w:vAlign w:val="center"/>
          </w:tcPr>
          <w:p>
            <w:r>
              <w:rPr>
                <w:sz w:val="16"/>
              </w:rPr>
              <w:t>-0.085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HNSC</w:t>
            </w:r>
          </w:p>
        </w:tc>
        <w:tc>
          <w:tcPr>
            <w:tcW w:type="dxa" w:w="1083"/>
            <w:vAlign w:val="center"/>
          </w:tcPr>
          <w:p>
            <w:r>
              <w:rPr>
                <w:sz w:val="16"/>
              </w:rPr>
              <w:t>TGF-beta Response</w:t>
            </w:r>
          </w:p>
        </w:tc>
        <w:tc>
          <w:tcPr>
            <w:tcW w:type="dxa" w:w="1083"/>
            <w:vAlign w:val="center"/>
          </w:tcPr>
          <w:p>
            <w:r>
              <w:rPr>
                <w:sz w:val="16"/>
              </w:rPr>
              <w:t>437</w:t>
            </w:r>
          </w:p>
        </w:tc>
        <w:tc>
          <w:tcPr>
            <w:tcW w:type="dxa" w:w="1083"/>
            <w:vAlign w:val="center"/>
          </w:tcPr>
          <w:p>
            <w:r>
              <w:rPr>
                <w:sz w:val="16"/>
              </w:rPr>
              <w:t>26</w:t>
            </w:r>
          </w:p>
        </w:tc>
        <w:tc>
          <w:tcPr>
            <w:tcW w:type="dxa" w:w="1083"/>
            <w:vAlign w:val="center"/>
          </w:tcPr>
          <w:p>
            <w:r>
              <w:rPr>
                <w:sz w:val="16"/>
              </w:rPr>
              <w:t>0.204</w:t>
            </w:r>
          </w:p>
        </w:tc>
        <w:tc>
          <w:tcPr>
            <w:tcW w:type="dxa" w:w="1083"/>
            <w:vAlign w:val="center"/>
          </w:tcPr>
          <w:p>
            <w:r>
              <w:rPr>
                <w:sz w:val="16"/>
              </w:rPr>
              <w:t>0.132</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Th17 Cells</w:t>
            </w:r>
          </w:p>
        </w:tc>
        <w:tc>
          <w:tcPr>
            <w:tcW w:type="dxa" w:w="1083"/>
            <w:vAlign w:val="center"/>
          </w:tcPr>
          <w:p>
            <w:r>
              <w:rPr>
                <w:sz w:val="16"/>
              </w:rPr>
              <w:t>352</w:t>
            </w:r>
          </w:p>
        </w:tc>
        <w:tc>
          <w:tcPr>
            <w:tcW w:type="dxa" w:w="1083"/>
            <w:vAlign w:val="center"/>
          </w:tcPr>
          <w:p>
            <w:r>
              <w:rPr>
                <w:sz w:val="16"/>
              </w:rPr>
              <w:t>33</w:t>
            </w:r>
          </w:p>
        </w:tc>
        <w:tc>
          <w:tcPr>
            <w:tcW w:type="dxa" w:w="1083"/>
            <w:vAlign w:val="center"/>
          </w:tcPr>
          <w:p>
            <w:r>
              <w:rPr>
                <w:sz w:val="16"/>
              </w:rPr>
              <w:t>0.249</w:t>
            </w:r>
          </w:p>
        </w:tc>
        <w:tc>
          <w:tcPr>
            <w:tcW w:type="dxa" w:w="1083"/>
            <w:vAlign w:val="center"/>
          </w:tcPr>
          <w:p>
            <w:r>
              <w:rPr>
                <w:sz w:val="16"/>
              </w:rPr>
              <w:t>0.142</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Th2 Cells</w:t>
            </w:r>
          </w:p>
        </w:tc>
        <w:tc>
          <w:tcPr>
            <w:tcW w:type="dxa" w:w="1083"/>
            <w:vAlign w:val="center"/>
          </w:tcPr>
          <w:p>
            <w:r>
              <w:rPr>
                <w:sz w:val="16"/>
              </w:rPr>
              <w:t>489</w:t>
            </w:r>
          </w:p>
        </w:tc>
        <w:tc>
          <w:tcPr>
            <w:tcW w:type="dxa" w:w="1083"/>
            <w:vAlign w:val="center"/>
          </w:tcPr>
          <w:p>
            <w:r>
              <w:rPr>
                <w:sz w:val="16"/>
              </w:rPr>
              <w:t>29</w:t>
            </w:r>
          </w:p>
        </w:tc>
        <w:tc>
          <w:tcPr>
            <w:tcW w:type="dxa" w:w="1083"/>
            <w:vAlign w:val="center"/>
          </w:tcPr>
          <w:p>
            <w:r>
              <w:rPr>
                <w:sz w:val="16"/>
              </w:rPr>
              <w:t>0.209</w:t>
            </w:r>
          </w:p>
        </w:tc>
        <w:tc>
          <w:tcPr>
            <w:tcW w:type="dxa" w:w="1083"/>
            <w:vAlign w:val="center"/>
          </w:tcPr>
          <w:p>
            <w:r>
              <w:rPr>
                <w:sz w:val="16"/>
              </w:rPr>
              <w:t>0.142</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Th1 Cells</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0.250</w:t>
            </w:r>
          </w:p>
        </w:tc>
        <w:tc>
          <w:tcPr>
            <w:tcW w:type="dxa" w:w="1083"/>
            <w:vAlign w:val="center"/>
          </w:tcPr>
          <w:p>
            <w:r>
              <w:rPr>
                <w:sz w:val="16"/>
              </w:rPr>
              <w:t>0.143</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Number of Segments</w:t>
            </w:r>
          </w:p>
        </w:tc>
        <w:tc>
          <w:tcPr>
            <w:tcW w:type="dxa" w:w="1083"/>
            <w:vAlign w:val="center"/>
          </w:tcPr>
          <w:p>
            <w:r>
              <w:rPr>
                <w:sz w:val="16"/>
              </w:rPr>
              <w:t>371</w:t>
            </w:r>
          </w:p>
        </w:tc>
        <w:tc>
          <w:tcPr>
            <w:tcW w:type="dxa" w:w="1083"/>
            <w:vAlign w:val="center"/>
          </w:tcPr>
          <w:p>
            <w:r>
              <w:rPr>
                <w:sz w:val="16"/>
              </w:rPr>
              <w:t>22</w:t>
            </w:r>
          </w:p>
        </w:tc>
        <w:tc>
          <w:tcPr>
            <w:tcW w:type="dxa" w:w="1083"/>
            <w:vAlign w:val="center"/>
          </w:tcPr>
          <w:p>
            <w:r>
              <w:rPr>
                <w:sz w:val="16"/>
              </w:rPr>
              <w:t>0.373</w:t>
            </w:r>
          </w:p>
        </w:tc>
        <w:tc>
          <w:tcPr>
            <w:tcW w:type="dxa" w:w="1083"/>
            <w:vAlign w:val="center"/>
          </w:tcPr>
          <w:p>
            <w:r>
              <w:rPr>
                <w:sz w:val="16"/>
              </w:rPr>
              <w:t>0.143</w:t>
            </w:r>
          </w:p>
        </w:tc>
        <w:tc>
          <w:tcPr>
            <w:tcW w:type="dxa" w:w="1083"/>
            <w:vAlign w:val="center"/>
          </w:tcPr>
          <w:p>
            <w:r>
              <w:rPr>
                <w:sz w:val="16"/>
              </w:rPr>
              <w:t>-0.230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Macrophages M0</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0.211</w:t>
            </w:r>
          </w:p>
        </w:tc>
        <w:tc>
          <w:tcPr>
            <w:tcW w:type="dxa" w:w="1083"/>
            <w:vAlign w:val="center"/>
          </w:tcPr>
          <w:p>
            <w:r>
              <w:rPr>
                <w:sz w:val="16"/>
              </w:rPr>
              <w:t>0.143</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SNV Neoantigens</w:t>
            </w:r>
          </w:p>
        </w:tc>
        <w:tc>
          <w:tcPr>
            <w:tcW w:type="dxa" w:w="1083"/>
            <w:vAlign w:val="center"/>
          </w:tcPr>
          <w:p>
            <w:r>
              <w:rPr>
                <w:sz w:val="16"/>
              </w:rPr>
              <w:t>472</w:t>
            </w:r>
          </w:p>
        </w:tc>
        <w:tc>
          <w:tcPr>
            <w:tcW w:type="dxa" w:w="1083"/>
            <w:vAlign w:val="center"/>
          </w:tcPr>
          <w:p>
            <w:r>
              <w:rPr>
                <w:sz w:val="16"/>
              </w:rPr>
              <w:t>29</w:t>
            </w:r>
          </w:p>
        </w:tc>
        <w:tc>
          <w:tcPr>
            <w:tcW w:type="dxa" w:w="1083"/>
            <w:vAlign w:val="center"/>
          </w:tcPr>
          <w:p>
            <w:r>
              <w:rPr>
                <w:sz w:val="16"/>
              </w:rPr>
              <w:t>0.211</w:t>
            </w:r>
          </w:p>
        </w:tc>
        <w:tc>
          <w:tcPr>
            <w:tcW w:type="dxa" w:w="1083"/>
            <w:vAlign w:val="center"/>
          </w:tcPr>
          <w:p>
            <w:r>
              <w:rPr>
                <w:sz w:val="16"/>
              </w:rPr>
              <w:t>0.146</w:t>
            </w:r>
          </w:p>
        </w:tc>
        <w:tc>
          <w:tcPr>
            <w:tcW w:type="dxa" w:w="1083"/>
            <w:vAlign w:val="center"/>
          </w:tcPr>
          <w:p>
            <w:r>
              <w:rPr>
                <w:sz w:val="16"/>
              </w:rPr>
              <w:t>-0.065</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Deleted arm count</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0.213</w:t>
            </w:r>
          </w:p>
        </w:tc>
        <w:tc>
          <w:tcPr>
            <w:tcW w:type="dxa" w:w="1083"/>
            <w:vAlign w:val="center"/>
          </w:tcPr>
          <w:p>
            <w:r>
              <w:rPr>
                <w:sz w:val="16"/>
              </w:rPr>
              <w:t>0.147</w:t>
            </w:r>
          </w:p>
        </w:tc>
        <w:tc>
          <w:tcPr>
            <w:tcW w:type="dxa" w:w="1083"/>
            <w:vAlign w:val="center"/>
          </w:tcPr>
          <w:p>
            <w:r>
              <w:rPr>
                <w:sz w:val="16"/>
              </w:rPr>
              <w:t>-0.066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Lymphocyte Infiltration Signature Score</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0.280</w:t>
            </w:r>
          </w:p>
        </w:tc>
        <w:tc>
          <w:tcPr>
            <w:tcW w:type="dxa" w:w="1083"/>
            <w:vAlign w:val="center"/>
          </w:tcPr>
          <w:p>
            <w:r>
              <w:rPr>
                <w:sz w:val="16"/>
              </w:rPr>
              <w:t>0.149</w:t>
            </w:r>
          </w:p>
        </w:tc>
        <w:tc>
          <w:tcPr>
            <w:tcW w:type="dxa" w:w="1083"/>
            <w:vAlign w:val="center"/>
          </w:tcPr>
          <w:p>
            <w:r>
              <w:rPr>
                <w:sz w:val="16"/>
              </w:rPr>
              <w:t>-0.131</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BRCA</w:t>
            </w:r>
          </w:p>
        </w:tc>
        <w:tc>
          <w:tcPr>
            <w:tcW w:type="dxa" w:w="1083"/>
            <w:vAlign w:val="center"/>
          </w:tcPr>
          <w:p>
            <w:r>
              <w:rPr>
                <w:sz w:val="16"/>
              </w:rPr>
              <w:t>BCR Shannon</w:t>
            </w:r>
          </w:p>
        </w:tc>
        <w:tc>
          <w:tcPr>
            <w:tcW w:type="dxa" w:w="1083"/>
            <w:vAlign w:val="center"/>
          </w:tcPr>
          <w:p>
            <w:r>
              <w:rPr>
                <w:sz w:val="16"/>
              </w:rPr>
              <w:t>757</w:t>
            </w:r>
          </w:p>
        </w:tc>
        <w:tc>
          <w:tcPr>
            <w:tcW w:type="dxa" w:w="1083"/>
            <w:vAlign w:val="center"/>
          </w:tcPr>
          <w:p>
            <w:r>
              <w:rPr>
                <w:sz w:val="16"/>
              </w:rPr>
              <w:t>34</w:t>
            </w:r>
          </w:p>
        </w:tc>
        <w:tc>
          <w:tcPr>
            <w:tcW w:type="dxa" w:w="1083"/>
            <w:vAlign w:val="center"/>
          </w:tcPr>
          <w:p>
            <w:r>
              <w:rPr>
                <w:sz w:val="16"/>
              </w:rPr>
              <w:t>0.200</w:t>
            </w:r>
          </w:p>
        </w:tc>
        <w:tc>
          <w:tcPr>
            <w:tcW w:type="dxa" w:w="1083"/>
            <w:vAlign w:val="center"/>
          </w:tcPr>
          <w:p>
            <w:r>
              <w:rPr>
                <w:sz w:val="16"/>
              </w:rPr>
              <w:t>0.151</w:t>
            </w:r>
          </w:p>
        </w:tc>
        <w:tc>
          <w:tcPr>
            <w:tcW w:type="dxa" w:w="1083"/>
            <w:vAlign w:val="center"/>
          </w:tcPr>
          <w:p>
            <w:r>
              <w:rPr>
                <w:sz w:val="16"/>
              </w:rPr>
              <w:t>-0.049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0.270</w:t>
            </w:r>
          </w:p>
        </w:tc>
        <w:tc>
          <w:tcPr>
            <w:tcW w:type="dxa" w:w="1083"/>
            <w:vAlign w:val="center"/>
          </w:tcPr>
          <w:p>
            <w:r>
              <w:rPr>
                <w:sz w:val="16"/>
              </w:rPr>
              <w:t>0.151</w:t>
            </w:r>
          </w:p>
        </w:tc>
        <w:tc>
          <w:tcPr>
            <w:tcW w:type="dxa" w:w="1083"/>
            <w:vAlign w:val="center"/>
          </w:tcPr>
          <w:p>
            <w:r>
              <w:rPr>
                <w:sz w:val="16"/>
              </w:rPr>
              <w:t>-0.119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Homologous Recombination Defects</w:t>
            </w:r>
          </w:p>
        </w:tc>
        <w:tc>
          <w:tcPr>
            <w:tcW w:type="dxa" w:w="1083"/>
            <w:vAlign w:val="center"/>
          </w:tcPr>
          <w:p>
            <w:r>
              <w:rPr>
                <w:sz w:val="16"/>
              </w:rPr>
              <w:t>350</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0.156</w:t>
            </w:r>
          </w:p>
        </w:tc>
        <w:tc>
          <w:tcPr>
            <w:tcW w:type="dxa" w:w="1083"/>
            <w:vAlign w:val="center"/>
          </w:tcPr>
          <w:p>
            <w:r>
              <w:rPr>
                <w:sz w:val="16"/>
              </w:rPr>
              <w:t>-0.070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Leukocyte Fraction</w:t>
            </w:r>
          </w:p>
        </w:tc>
        <w:tc>
          <w:tcPr>
            <w:tcW w:type="dxa" w:w="1083"/>
            <w:vAlign w:val="center"/>
          </w:tcPr>
          <w:p>
            <w:r>
              <w:rPr>
                <w:sz w:val="16"/>
              </w:rPr>
              <w:t>464</w:t>
            </w:r>
          </w:p>
        </w:tc>
        <w:tc>
          <w:tcPr>
            <w:tcW w:type="dxa" w:w="1083"/>
            <w:vAlign w:val="center"/>
          </w:tcPr>
          <w:p>
            <w:r>
              <w:rPr>
                <w:sz w:val="16"/>
              </w:rPr>
              <w:t>35</w:t>
            </w:r>
          </w:p>
        </w:tc>
        <w:tc>
          <w:tcPr>
            <w:tcW w:type="dxa" w:w="1083"/>
            <w:vAlign w:val="center"/>
          </w:tcPr>
          <w:p>
            <w:r>
              <w:rPr>
                <w:sz w:val="16"/>
              </w:rPr>
              <w:t>0.226</w:t>
            </w:r>
          </w:p>
        </w:tc>
        <w:tc>
          <w:tcPr>
            <w:tcW w:type="dxa" w:w="1083"/>
            <w:vAlign w:val="center"/>
          </w:tcPr>
          <w:p>
            <w:r>
              <w:rPr>
                <w:sz w:val="16"/>
              </w:rPr>
              <w:t>0.158</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TCR Richness</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0.305</w:t>
            </w:r>
          </w:p>
        </w:tc>
        <w:tc>
          <w:tcPr>
            <w:tcW w:type="dxa" w:w="1083"/>
            <w:vAlign w:val="center"/>
          </w:tcPr>
          <w:p>
            <w:r>
              <w:rPr>
                <w:sz w:val="16"/>
              </w:rPr>
              <w:t>0.160</w:t>
            </w:r>
          </w:p>
        </w:tc>
        <w:tc>
          <w:tcPr>
            <w:tcW w:type="dxa" w:w="1083"/>
            <w:vAlign w:val="center"/>
          </w:tcPr>
          <w:p>
            <w:r>
              <w:rPr>
                <w:sz w:val="16"/>
              </w:rPr>
              <w:t>-0.145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PCPG</w:t>
            </w:r>
          </w:p>
        </w:tc>
        <w:tc>
          <w:tcPr>
            <w:tcW w:type="dxa" w:w="1083"/>
            <w:vAlign w:val="center"/>
          </w:tcPr>
          <w:p>
            <w:r>
              <w:rPr>
                <w:sz w:val="16"/>
              </w:rPr>
              <w:t>Stromal Fraction</w:t>
            </w:r>
          </w:p>
        </w:tc>
        <w:tc>
          <w:tcPr>
            <w:tcW w:type="dxa" w:w="1083"/>
            <w:vAlign w:val="center"/>
          </w:tcPr>
          <w:p>
            <w:r>
              <w:rPr>
                <w:sz w:val="16"/>
              </w:rPr>
              <w:t>157</w:t>
            </w:r>
          </w:p>
        </w:tc>
        <w:tc>
          <w:tcPr>
            <w:tcW w:type="dxa" w:w="1083"/>
            <w:vAlign w:val="center"/>
          </w:tcPr>
          <w:p>
            <w:r>
              <w:rPr>
                <w:sz w:val="16"/>
              </w:rPr>
              <w:t>17</w:t>
            </w:r>
          </w:p>
        </w:tc>
        <w:tc>
          <w:tcPr>
            <w:tcW w:type="dxa" w:w="1083"/>
            <w:vAlign w:val="center"/>
          </w:tcPr>
          <w:p>
            <w:r>
              <w:rPr>
                <w:sz w:val="16"/>
              </w:rPr>
              <w:t>0.233</w:t>
            </w:r>
          </w:p>
        </w:tc>
        <w:tc>
          <w:tcPr>
            <w:tcW w:type="dxa" w:w="1083"/>
            <w:vAlign w:val="center"/>
          </w:tcPr>
          <w:p>
            <w:r>
              <w:rPr>
                <w:sz w:val="16"/>
              </w:rPr>
              <w:t>0.161</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Stromal Fraction</w:t>
            </w:r>
          </w:p>
        </w:tc>
        <w:tc>
          <w:tcPr>
            <w:tcW w:type="dxa" w:w="1083"/>
            <w:vAlign w:val="center"/>
          </w:tcPr>
          <w:p>
            <w:r>
              <w:rPr>
                <w:sz w:val="16"/>
              </w:rPr>
              <w:t>65</w:t>
            </w:r>
          </w:p>
        </w:tc>
        <w:tc>
          <w:tcPr>
            <w:tcW w:type="dxa" w:w="1083"/>
            <w:vAlign w:val="center"/>
          </w:tcPr>
          <w:p>
            <w:r>
              <w:rPr>
                <w:sz w:val="16"/>
              </w:rPr>
              <w:t>11</w:t>
            </w:r>
          </w:p>
        </w:tc>
        <w:tc>
          <w:tcPr>
            <w:tcW w:type="dxa" w:w="1083"/>
            <w:vAlign w:val="center"/>
          </w:tcPr>
          <w:p>
            <w:r>
              <w:rPr>
                <w:sz w:val="16"/>
              </w:rPr>
              <w:t>0.213</w:t>
            </w:r>
          </w:p>
        </w:tc>
        <w:tc>
          <w:tcPr>
            <w:tcW w:type="dxa" w:w="1083"/>
            <w:vAlign w:val="center"/>
          </w:tcPr>
          <w:p>
            <w:r>
              <w:rPr>
                <w:sz w:val="16"/>
              </w:rPr>
              <w:t>0.163</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Intratumor Heterogeneity</w:t>
            </w:r>
          </w:p>
        </w:tc>
        <w:tc>
          <w:tcPr>
            <w:tcW w:type="dxa" w:w="1083"/>
            <w:vAlign w:val="center"/>
          </w:tcPr>
          <w:p>
            <w:r>
              <w:rPr>
                <w:sz w:val="16"/>
              </w:rPr>
              <w:t>376</w:t>
            </w:r>
          </w:p>
        </w:tc>
        <w:tc>
          <w:tcPr>
            <w:tcW w:type="dxa" w:w="1083"/>
            <w:vAlign w:val="center"/>
          </w:tcPr>
          <w:p>
            <w:r>
              <w:rPr>
                <w:sz w:val="16"/>
              </w:rPr>
              <w:t>33</w:t>
            </w:r>
          </w:p>
        </w:tc>
        <w:tc>
          <w:tcPr>
            <w:tcW w:type="dxa" w:w="1083"/>
            <w:vAlign w:val="center"/>
          </w:tcPr>
          <w:p>
            <w:r>
              <w:rPr>
                <w:sz w:val="16"/>
              </w:rPr>
              <w:t>0.215</w:t>
            </w:r>
          </w:p>
        </w:tc>
        <w:tc>
          <w:tcPr>
            <w:tcW w:type="dxa" w:w="1083"/>
            <w:vAlign w:val="center"/>
          </w:tcPr>
          <w:p>
            <w:r>
              <w:rPr>
                <w:sz w:val="16"/>
              </w:rPr>
              <w:t>0.163</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M2</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0.213</w:t>
            </w:r>
          </w:p>
        </w:tc>
        <w:tc>
          <w:tcPr>
            <w:tcW w:type="dxa" w:w="1083"/>
            <w:vAlign w:val="center"/>
          </w:tcPr>
          <w:p>
            <w:r>
              <w:rPr>
                <w:sz w:val="16"/>
              </w:rPr>
              <w:t>0.166</w:t>
            </w:r>
          </w:p>
        </w:tc>
        <w:tc>
          <w:tcPr>
            <w:tcW w:type="dxa" w:w="1083"/>
            <w:vAlign w:val="center"/>
          </w:tcPr>
          <w:p>
            <w:r>
              <w:rPr>
                <w:sz w:val="16"/>
              </w:rPr>
              <w:t>-0.047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TCR Shannon</w:t>
            </w:r>
          </w:p>
        </w:tc>
        <w:tc>
          <w:tcPr>
            <w:tcW w:type="dxa" w:w="1083"/>
            <w:vAlign w:val="center"/>
          </w:tcPr>
          <w:p>
            <w:r>
              <w:rPr>
                <w:sz w:val="16"/>
              </w:rPr>
              <w:t>408</w:t>
            </w:r>
          </w:p>
        </w:tc>
        <w:tc>
          <w:tcPr>
            <w:tcW w:type="dxa" w:w="1083"/>
            <w:vAlign w:val="center"/>
          </w:tcPr>
          <w:p>
            <w:r>
              <w:rPr>
                <w:sz w:val="16"/>
              </w:rPr>
              <w:t>33</w:t>
            </w:r>
          </w:p>
        </w:tc>
        <w:tc>
          <w:tcPr>
            <w:tcW w:type="dxa" w:w="1083"/>
            <w:vAlign w:val="center"/>
          </w:tcPr>
          <w:p>
            <w:r>
              <w:rPr>
                <w:sz w:val="16"/>
              </w:rPr>
              <w:t>0.217</w:t>
            </w:r>
          </w:p>
        </w:tc>
        <w:tc>
          <w:tcPr>
            <w:tcW w:type="dxa" w:w="1083"/>
            <w:vAlign w:val="center"/>
          </w:tcPr>
          <w:p>
            <w:r>
              <w:rPr>
                <w:sz w:val="16"/>
              </w:rPr>
              <w:t>0.166</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IFN-gamma Response</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0.221</w:t>
            </w:r>
          </w:p>
        </w:tc>
        <w:tc>
          <w:tcPr>
            <w:tcW w:type="dxa" w:w="1083"/>
            <w:vAlign w:val="center"/>
          </w:tcPr>
          <w:p>
            <w:r>
              <w:rPr>
                <w:sz w:val="16"/>
              </w:rPr>
              <w:t>0.169</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Stromal Fraction</w:t>
            </w:r>
          </w:p>
        </w:tc>
        <w:tc>
          <w:tcPr>
            <w:tcW w:type="dxa" w:w="1083"/>
            <w:vAlign w:val="center"/>
          </w:tcPr>
          <w:p>
            <w:r>
              <w:rPr>
                <w:sz w:val="16"/>
              </w:rPr>
              <w:t>442</w:t>
            </w:r>
          </w:p>
        </w:tc>
        <w:tc>
          <w:tcPr>
            <w:tcW w:type="dxa" w:w="1083"/>
            <w:vAlign w:val="center"/>
          </w:tcPr>
          <w:p>
            <w:r>
              <w:rPr>
                <w:sz w:val="16"/>
              </w:rPr>
              <w:t>33</w:t>
            </w:r>
          </w:p>
        </w:tc>
        <w:tc>
          <w:tcPr>
            <w:tcW w:type="dxa" w:w="1083"/>
            <w:vAlign w:val="center"/>
          </w:tcPr>
          <w:p>
            <w:r>
              <w:rPr>
                <w:sz w:val="16"/>
              </w:rPr>
              <w:t>0.256</w:t>
            </w:r>
          </w:p>
        </w:tc>
        <w:tc>
          <w:tcPr>
            <w:tcW w:type="dxa" w:w="1083"/>
            <w:vAlign w:val="center"/>
          </w:tcPr>
          <w:p>
            <w:r>
              <w:rPr>
                <w:sz w:val="16"/>
              </w:rPr>
              <w:t>0.172</w:t>
            </w:r>
          </w:p>
        </w:tc>
        <w:tc>
          <w:tcPr>
            <w:tcW w:type="dxa" w:w="1083"/>
            <w:vAlign w:val="center"/>
          </w:tcPr>
          <w:p>
            <w:r>
              <w:rPr>
                <w:sz w:val="16"/>
              </w:rPr>
              <w:t>-0.084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TCR Richness</w:t>
            </w:r>
          </w:p>
        </w:tc>
        <w:tc>
          <w:tcPr>
            <w:tcW w:type="dxa" w:w="1083"/>
            <w:vAlign w:val="center"/>
          </w:tcPr>
          <w:p>
            <w:r>
              <w:rPr>
                <w:sz w:val="16"/>
              </w:rPr>
              <w:t>498</w:t>
            </w:r>
          </w:p>
        </w:tc>
        <w:tc>
          <w:tcPr>
            <w:tcW w:type="dxa" w:w="1083"/>
            <w:vAlign w:val="center"/>
          </w:tcPr>
          <w:p>
            <w:r>
              <w:rPr>
                <w:sz w:val="16"/>
              </w:rPr>
              <w:t>22</w:t>
            </w:r>
          </w:p>
        </w:tc>
        <w:tc>
          <w:tcPr>
            <w:tcW w:type="dxa" w:w="1083"/>
            <w:vAlign w:val="center"/>
          </w:tcPr>
          <w:p>
            <w:r>
              <w:rPr>
                <w:sz w:val="16"/>
              </w:rPr>
              <w:t>0.314</w:t>
            </w:r>
          </w:p>
        </w:tc>
        <w:tc>
          <w:tcPr>
            <w:tcW w:type="dxa" w:w="1083"/>
            <w:vAlign w:val="center"/>
          </w:tcPr>
          <w:p>
            <w:r>
              <w:rPr>
                <w:sz w:val="16"/>
              </w:rPr>
              <w:t>0.172</w:t>
            </w:r>
          </w:p>
        </w:tc>
        <w:tc>
          <w:tcPr>
            <w:tcW w:type="dxa" w:w="1083"/>
            <w:vAlign w:val="center"/>
          </w:tcPr>
          <w:p>
            <w:r>
              <w:rPr>
                <w:sz w:val="16"/>
              </w:rPr>
              <w:t>-0.142</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0.260</w:t>
            </w:r>
          </w:p>
        </w:tc>
        <w:tc>
          <w:tcPr>
            <w:tcW w:type="dxa" w:w="1083"/>
            <w:vAlign w:val="center"/>
          </w:tcPr>
          <w:p>
            <w:r>
              <w:rPr>
                <w:sz w:val="16"/>
              </w:rPr>
              <w:t>0.173</w:t>
            </w:r>
          </w:p>
        </w:tc>
        <w:tc>
          <w:tcPr>
            <w:tcW w:type="dxa" w:w="1083"/>
            <w:vAlign w:val="center"/>
          </w:tcPr>
          <w:p>
            <w:r>
              <w:rPr>
                <w:sz w:val="16"/>
              </w:rPr>
              <w:t>-0.086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0.269</w:t>
            </w:r>
          </w:p>
        </w:tc>
        <w:tc>
          <w:tcPr>
            <w:tcW w:type="dxa" w:w="1083"/>
            <w:vAlign w:val="center"/>
          </w:tcPr>
          <w:p>
            <w:r>
              <w:rPr>
                <w:sz w:val="16"/>
              </w:rPr>
              <w:t>0.174</w:t>
            </w:r>
          </w:p>
        </w:tc>
        <w:tc>
          <w:tcPr>
            <w:tcW w:type="dxa" w:w="1083"/>
            <w:vAlign w:val="center"/>
          </w:tcPr>
          <w:p>
            <w:r>
              <w:rPr>
                <w:sz w:val="16"/>
              </w:rPr>
              <w:t>-0.096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TIL Regional Fraction</w:t>
            </w:r>
          </w:p>
        </w:tc>
        <w:tc>
          <w:tcPr>
            <w:tcW w:type="dxa" w:w="1083"/>
            <w:vAlign w:val="center"/>
          </w:tcPr>
          <w:p>
            <w:r>
              <w:rPr>
                <w:sz w:val="16"/>
              </w:rPr>
              <w:t>414</w:t>
            </w:r>
          </w:p>
        </w:tc>
        <w:tc>
          <w:tcPr>
            <w:tcW w:type="dxa" w:w="1083"/>
            <w:vAlign w:val="center"/>
          </w:tcPr>
          <w:p>
            <w:r>
              <w:rPr>
                <w:sz w:val="16"/>
              </w:rPr>
              <w:t>20</w:t>
            </w:r>
          </w:p>
        </w:tc>
        <w:tc>
          <w:tcPr>
            <w:tcW w:type="dxa" w:w="1083"/>
            <w:vAlign w:val="center"/>
          </w:tcPr>
          <w:p>
            <w:r>
              <w:rPr>
                <w:sz w:val="16"/>
              </w:rPr>
              <w:t>0.454</w:t>
            </w:r>
          </w:p>
        </w:tc>
        <w:tc>
          <w:tcPr>
            <w:tcW w:type="dxa" w:w="1083"/>
            <w:vAlign w:val="center"/>
          </w:tcPr>
          <w:p>
            <w:r>
              <w:rPr>
                <w:sz w:val="16"/>
              </w:rPr>
              <w:t>0.176</w:t>
            </w:r>
          </w:p>
        </w:tc>
        <w:tc>
          <w:tcPr>
            <w:tcW w:type="dxa" w:w="1083"/>
            <w:vAlign w:val="center"/>
          </w:tcPr>
          <w:p>
            <w:r>
              <w:rPr>
                <w:sz w:val="16"/>
              </w:rPr>
              <w:t>-0.278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M1</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0.284</w:t>
            </w:r>
          </w:p>
        </w:tc>
        <w:tc>
          <w:tcPr>
            <w:tcW w:type="dxa" w:w="1083"/>
            <w:vAlign w:val="center"/>
          </w:tcPr>
          <w:p>
            <w:r>
              <w:rPr>
                <w:sz w:val="16"/>
              </w:rPr>
              <w:t>0.179</w:t>
            </w:r>
          </w:p>
        </w:tc>
        <w:tc>
          <w:tcPr>
            <w:tcW w:type="dxa" w:w="1083"/>
            <w:vAlign w:val="center"/>
          </w:tcPr>
          <w:p>
            <w:r>
              <w:rPr>
                <w:sz w:val="16"/>
              </w:rPr>
              <w:t>-0.106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Lymphocyte Infiltration Signature Score</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0.318</w:t>
            </w:r>
          </w:p>
        </w:tc>
        <w:tc>
          <w:tcPr>
            <w:tcW w:type="dxa" w:w="1083"/>
            <w:vAlign w:val="center"/>
          </w:tcPr>
          <w:p>
            <w:r>
              <w:rPr>
                <w:sz w:val="16"/>
              </w:rPr>
              <w:t>0.180</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Homologous Recombination Defects</w:t>
            </w:r>
          </w:p>
        </w:tc>
        <w:tc>
          <w:tcPr>
            <w:tcW w:type="dxa" w:w="1083"/>
            <w:vAlign w:val="center"/>
          </w:tcPr>
          <w:p>
            <w:r>
              <w:rPr>
                <w:sz w:val="16"/>
              </w:rPr>
              <w:t>238</w:t>
            </w:r>
          </w:p>
        </w:tc>
        <w:tc>
          <w:tcPr>
            <w:tcW w:type="dxa" w:w="1083"/>
            <w:vAlign w:val="center"/>
          </w:tcPr>
          <w:p>
            <w:r>
              <w:rPr>
                <w:sz w:val="16"/>
              </w:rPr>
              <w:t>33</w:t>
            </w:r>
          </w:p>
        </w:tc>
        <w:tc>
          <w:tcPr>
            <w:tcW w:type="dxa" w:w="1083"/>
            <w:vAlign w:val="center"/>
          </w:tcPr>
          <w:p>
            <w:r>
              <w:rPr>
                <w:sz w:val="16"/>
              </w:rPr>
              <w:t>0.270</w:t>
            </w:r>
          </w:p>
        </w:tc>
        <w:tc>
          <w:tcPr>
            <w:tcW w:type="dxa" w:w="1083"/>
            <w:vAlign w:val="center"/>
          </w:tcPr>
          <w:p>
            <w:r>
              <w:rPr>
                <w:sz w:val="16"/>
              </w:rPr>
              <w:t>0.181</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T Cells CD4 Memory Activated</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0.214</w:t>
            </w:r>
          </w:p>
        </w:tc>
        <w:tc>
          <w:tcPr>
            <w:tcW w:type="dxa" w:w="1083"/>
            <w:vAlign w:val="center"/>
          </w:tcPr>
          <w:p>
            <w:r>
              <w:rPr>
                <w:sz w:val="16"/>
              </w:rPr>
              <w:t>0.181</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IFN-gamma Response</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0.214</w:t>
            </w:r>
          </w:p>
        </w:tc>
        <w:tc>
          <w:tcPr>
            <w:tcW w:type="dxa" w:w="1083"/>
            <w:vAlign w:val="center"/>
          </w:tcPr>
          <w:p>
            <w:r>
              <w:rPr>
                <w:sz w:val="16"/>
              </w:rPr>
              <w:t>0.182</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Dendritic Cells Activated</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0.346</w:t>
            </w:r>
          </w:p>
        </w:tc>
        <w:tc>
          <w:tcPr>
            <w:tcW w:type="dxa" w:w="1083"/>
            <w:vAlign w:val="center"/>
          </w:tcPr>
          <w:p>
            <w:r>
              <w:rPr>
                <w:sz w:val="16"/>
              </w:rPr>
              <w:t>0.182</w:t>
            </w:r>
          </w:p>
        </w:tc>
        <w:tc>
          <w:tcPr>
            <w:tcW w:type="dxa" w:w="1083"/>
            <w:vAlign w:val="center"/>
          </w:tcPr>
          <w:p>
            <w:r>
              <w:rPr>
                <w:sz w:val="16"/>
              </w:rPr>
              <w:t>-0.163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BCR Richness</w:t>
            </w:r>
          </w:p>
        </w:tc>
        <w:tc>
          <w:tcPr>
            <w:tcW w:type="dxa" w:w="1083"/>
            <w:vAlign w:val="center"/>
          </w:tcPr>
          <w:p>
            <w:r>
              <w:rPr>
                <w:sz w:val="16"/>
              </w:rPr>
              <w:t>239</w:t>
            </w:r>
          </w:p>
        </w:tc>
        <w:tc>
          <w:tcPr>
            <w:tcW w:type="dxa" w:w="1083"/>
            <w:vAlign w:val="center"/>
          </w:tcPr>
          <w:p>
            <w:r>
              <w:rPr>
                <w:sz w:val="16"/>
              </w:rPr>
              <w:t>22</w:t>
            </w:r>
          </w:p>
        </w:tc>
        <w:tc>
          <w:tcPr>
            <w:tcW w:type="dxa" w:w="1083"/>
            <w:vAlign w:val="center"/>
          </w:tcPr>
          <w:p>
            <w:r>
              <w:rPr>
                <w:sz w:val="16"/>
              </w:rPr>
              <w:t>0.276</w:t>
            </w:r>
          </w:p>
        </w:tc>
        <w:tc>
          <w:tcPr>
            <w:tcW w:type="dxa" w:w="1083"/>
            <w:vAlign w:val="center"/>
          </w:tcPr>
          <w:p>
            <w:r>
              <w:rPr>
                <w:sz w:val="16"/>
              </w:rPr>
              <w:t>0.183</w:t>
            </w:r>
          </w:p>
        </w:tc>
        <w:tc>
          <w:tcPr>
            <w:tcW w:type="dxa" w:w="1083"/>
            <w:vAlign w:val="center"/>
          </w:tcPr>
          <w:p>
            <w:r>
              <w:rPr>
                <w:sz w:val="16"/>
              </w:rPr>
              <w:t>-0.093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Th2 Cells</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0.258</w:t>
            </w:r>
          </w:p>
        </w:tc>
        <w:tc>
          <w:tcPr>
            <w:tcW w:type="dxa" w:w="1083"/>
            <w:vAlign w:val="center"/>
          </w:tcPr>
          <w:p>
            <w:r>
              <w:rPr>
                <w:sz w:val="16"/>
              </w:rPr>
              <w:t>0.184</w:t>
            </w:r>
          </w:p>
        </w:tc>
        <w:tc>
          <w:tcPr>
            <w:tcW w:type="dxa" w:w="1083"/>
            <w:vAlign w:val="center"/>
          </w:tcPr>
          <w:p>
            <w:r>
              <w:rPr>
                <w:sz w:val="16"/>
              </w:rPr>
              <w:t>-0.074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Proliferation</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0.275</w:t>
            </w:r>
          </w:p>
        </w:tc>
        <w:tc>
          <w:tcPr>
            <w:tcW w:type="dxa" w:w="1083"/>
            <w:vAlign w:val="center"/>
          </w:tcPr>
          <w:p>
            <w:r>
              <w:rPr>
                <w:sz w:val="16"/>
              </w:rPr>
              <w:t>0.186</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CESC</w:t>
            </w:r>
          </w:p>
        </w:tc>
        <w:tc>
          <w:tcPr>
            <w:tcW w:type="dxa" w:w="1083"/>
            <w:vAlign w:val="center"/>
          </w:tcPr>
          <w:p>
            <w:r>
              <w:rPr>
                <w:sz w:val="16"/>
              </w:rPr>
              <w:t>IFN-gamma Response</w:t>
            </w:r>
          </w:p>
        </w:tc>
        <w:tc>
          <w:tcPr>
            <w:tcW w:type="dxa" w:w="1083"/>
            <w:vAlign w:val="center"/>
          </w:tcPr>
          <w:p>
            <w:r>
              <w:rPr>
                <w:sz w:val="16"/>
              </w:rPr>
              <w:t>263</w:t>
            </w:r>
          </w:p>
        </w:tc>
        <w:tc>
          <w:tcPr>
            <w:tcW w:type="dxa" w:w="1083"/>
            <w:vAlign w:val="center"/>
          </w:tcPr>
          <w:p>
            <w:r>
              <w:rPr>
                <w:sz w:val="16"/>
              </w:rPr>
              <w:t>29</w:t>
            </w:r>
          </w:p>
        </w:tc>
        <w:tc>
          <w:tcPr>
            <w:tcW w:type="dxa" w:w="1083"/>
            <w:vAlign w:val="center"/>
          </w:tcPr>
          <w:p>
            <w:r>
              <w:rPr>
                <w:sz w:val="16"/>
              </w:rPr>
              <w:t>0.220</w:t>
            </w:r>
          </w:p>
        </w:tc>
        <w:tc>
          <w:tcPr>
            <w:tcW w:type="dxa" w:w="1083"/>
            <w:vAlign w:val="center"/>
          </w:tcPr>
          <w:p>
            <w:r>
              <w:rPr>
                <w:sz w:val="16"/>
              </w:rPr>
              <w:t>0.188</w:t>
            </w:r>
          </w:p>
        </w:tc>
        <w:tc>
          <w:tcPr>
            <w:tcW w:type="dxa" w:w="1083"/>
            <w:vAlign w:val="center"/>
          </w:tcPr>
          <w:p>
            <w:r>
              <w:rPr>
                <w:sz w:val="16"/>
              </w:rPr>
              <w:t>-0.032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SNV Neoantigens</w:t>
            </w:r>
          </w:p>
        </w:tc>
        <w:tc>
          <w:tcPr>
            <w:tcW w:type="dxa" w:w="1083"/>
            <w:vAlign w:val="center"/>
          </w:tcPr>
          <w:p>
            <w:r>
              <w:rPr>
                <w:sz w:val="16"/>
              </w:rPr>
              <w:t>113</w:t>
            </w:r>
          </w:p>
        </w:tc>
        <w:tc>
          <w:tcPr>
            <w:tcW w:type="dxa" w:w="1083"/>
            <w:vAlign w:val="center"/>
          </w:tcPr>
          <w:p>
            <w:r>
              <w:rPr>
                <w:sz w:val="16"/>
              </w:rPr>
              <w:t>19</w:t>
            </w:r>
          </w:p>
        </w:tc>
        <w:tc>
          <w:tcPr>
            <w:tcW w:type="dxa" w:w="1083"/>
            <w:vAlign w:val="center"/>
          </w:tcPr>
          <w:p>
            <w:r>
              <w:rPr>
                <w:sz w:val="16"/>
              </w:rPr>
              <w:t>0.380</w:t>
            </w:r>
          </w:p>
        </w:tc>
        <w:tc>
          <w:tcPr>
            <w:tcW w:type="dxa" w:w="1083"/>
            <w:vAlign w:val="center"/>
          </w:tcPr>
          <w:p>
            <w:r>
              <w:rPr>
                <w:sz w:val="16"/>
              </w:rPr>
              <w:t>0.190</w:t>
            </w:r>
          </w:p>
        </w:tc>
        <w:tc>
          <w:tcPr>
            <w:tcW w:type="dxa" w:w="1083"/>
            <w:vAlign w:val="center"/>
          </w:tcPr>
          <w:p>
            <w:r>
              <w:rPr>
                <w:sz w:val="16"/>
              </w:rPr>
              <w:t>-0.190</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LUAD</w:t>
            </w:r>
          </w:p>
        </w:tc>
        <w:tc>
          <w:tcPr>
            <w:tcW w:type="dxa" w:w="1083"/>
            <w:vAlign w:val="center"/>
          </w:tcPr>
          <w:p>
            <w:r>
              <w:rPr>
                <w:sz w:val="16"/>
              </w:rPr>
              <w:t>Aneuploidy score</w:t>
            </w:r>
          </w:p>
        </w:tc>
        <w:tc>
          <w:tcPr>
            <w:tcW w:type="dxa" w:w="1083"/>
            <w:vAlign w:val="center"/>
          </w:tcPr>
          <w:p>
            <w:r>
              <w:rPr>
                <w:sz w:val="16"/>
              </w:rPr>
              <w:t>449</w:t>
            </w:r>
          </w:p>
        </w:tc>
        <w:tc>
          <w:tcPr>
            <w:tcW w:type="dxa" w:w="1083"/>
            <w:vAlign w:val="center"/>
          </w:tcPr>
          <w:p>
            <w:r>
              <w:rPr>
                <w:sz w:val="16"/>
              </w:rPr>
              <w:t>33</w:t>
            </w:r>
          </w:p>
        </w:tc>
        <w:tc>
          <w:tcPr>
            <w:tcW w:type="dxa" w:w="1083"/>
            <w:vAlign w:val="center"/>
          </w:tcPr>
          <w:p>
            <w:r>
              <w:rPr>
                <w:sz w:val="16"/>
              </w:rPr>
              <w:t>0.201</w:t>
            </w:r>
          </w:p>
        </w:tc>
        <w:tc>
          <w:tcPr>
            <w:tcW w:type="dxa" w:w="1083"/>
            <w:vAlign w:val="center"/>
          </w:tcPr>
          <w:p>
            <w:r>
              <w:rPr>
                <w:sz w:val="16"/>
              </w:rPr>
              <w:t>0.191</w:t>
            </w:r>
          </w:p>
        </w:tc>
        <w:tc>
          <w:tcPr>
            <w:tcW w:type="dxa" w:w="1083"/>
            <w:vAlign w:val="center"/>
          </w:tcPr>
          <w:p>
            <w:r>
              <w:rPr>
                <w:sz w:val="16"/>
              </w:rPr>
              <w:t>-0.010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TCR Shannon</w:t>
            </w:r>
          </w:p>
        </w:tc>
        <w:tc>
          <w:tcPr>
            <w:tcW w:type="dxa" w:w="1083"/>
            <w:vAlign w:val="center"/>
          </w:tcPr>
          <w:p>
            <w:r>
              <w:rPr>
                <w:sz w:val="16"/>
              </w:rPr>
              <w:t>188</w:t>
            </w:r>
          </w:p>
        </w:tc>
        <w:tc>
          <w:tcPr>
            <w:tcW w:type="dxa" w:w="1083"/>
            <w:vAlign w:val="center"/>
          </w:tcPr>
          <w:p>
            <w:r>
              <w:rPr>
                <w:sz w:val="16"/>
              </w:rPr>
              <w:t>30</w:t>
            </w:r>
          </w:p>
        </w:tc>
        <w:tc>
          <w:tcPr>
            <w:tcW w:type="dxa" w:w="1083"/>
            <w:vAlign w:val="center"/>
          </w:tcPr>
          <w:p>
            <w:r>
              <w:rPr>
                <w:sz w:val="16"/>
              </w:rPr>
              <w:t>0.235</w:t>
            </w:r>
          </w:p>
        </w:tc>
        <w:tc>
          <w:tcPr>
            <w:tcW w:type="dxa" w:w="1083"/>
            <w:vAlign w:val="center"/>
          </w:tcPr>
          <w:p>
            <w:r>
              <w:rPr>
                <w:sz w:val="16"/>
              </w:rPr>
              <w:t>0.196</w:t>
            </w:r>
          </w:p>
        </w:tc>
        <w:tc>
          <w:tcPr>
            <w:tcW w:type="dxa" w:w="1083"/>
            <w:vAlign w:val="center"/>
          </w:tcPr>
          <w:p>
            <w:r>
              <w:rPr>
                <w:sz w:val="16"/>
              </w:rPr>
              <w:t>-0.038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Lymphocyte Infiltration Signature Score</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0.452</w:t>
            </w:r>
          </w:p>
        </w:tc>
        <w:tc>
          <w:tcPr>
            <w:tcW w:type="dxa" w:w="1083"/>
            <w:vAlign w:val="center"/>
          </w:tcPr>
          <w:p>
            <w:r>
              <w:rPr>
                <w:sz w:val="16"/>
              </w:rPr>
              <w:t>0.196</w:t>
            </w:r>
          </w:p>
        </w:tc>
        <w:tc>
          <w:tcPr>
            <w:tcW w:type="dxa" w:w="1083"/>
            <w:vAlign w:val="center"/>
          </w:tcPr>
          <w:p>
            <w:r>
              <w:rPr>
                <w:sz w:val="16"/>
              </w:rPr>
              <w:t>-0.255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Homologous Recombination Defects</w:t>
            </w:r>
          </w:p>
        </w:tc>
        <w:tc>
          <w:tcPr>
            <w:tcW w:type="dxa" w:w="1083"/>
            <w:vAlign w:val="center"/>
          </w:tcPr>
          <w:p>
            <w:r>
              <w:rPr>
                <w:sz w:val="16"/>
              </w:rPr>
              <w:t>363</w:t>
            </w:r>
          </w:p>
        </w:tc>
        <w:tc>
          <w:tcPr>
            <w:tcW w:type="dxa" w:w="1083"/>
            <w:vAlign w:val="center"/>
          </w:tcPr>
          <w:p>
            <w:r>
              <w:rPr>
                <w:sz w:val="16"/>
              </w:rPr>
              <w:t>22</w:t>
            </w:r>
          </w:p>
        </w:tc>
        <w:tc>
          <w:tcPr>
            <w:tcW w:type="dxa" w:w="1083"/>
            <w:vAlign w:val="center"/>
          </w:tcPr>
          <w:p>
            <w:r>
              <w:rPr>
                <w:sz w:val="16"/>
              </w:rPr>
              <w:t>0.256</w:t>
            </w:r>
          </w:p>
        </w:tc>
        <w:tc>
          <w:tcPr>
            <w:tcW w:type="dxa" w:w="1083"/>
            <w:vAlign w:val="center"/>
          </w:tcPr>
          <w:p>
            <w:r>
              <w:rPr>
                <w:sz w:val="16"/>
              </w:rPr>
              <w:t>0.199</w:t>
            </w:r>
          </w:p>
        </w:tc>
        <w:tc>
          <w:tcPr>
            <w:tcW w:type="dxa" w:w="1083"/>
            <w:vAlign w:val="center"/>
          </w:tcPr>
          <w:p>
            <w:r>
              <w:rPr>
                <w:sz w:val="16"/>
              </w:rPr>
              <w:t>-0.058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Fraction Altered</w:t>
            </w:r>
          </w:p>
        </w:tc>
        <w:tc>
          <w:tcPr>
            <w:tcW w:type="dxa" w:w="1083"/>
            <w:vAlign w:val="center"/>
          </w:tcPr>
          <w:p>
            <w:r>
              <w:rPr>
                <w:sz w:val="16"/>
              </w:rPr>
              <w:t>459</w:t>
            </w:r>
          </w:p>
        </w:tc>
        <w:tc>
          <w:tcPr>
            <w:tcW w:type="dxa" w:w="1083"/>
            <w:vAlign w:val="center"/>
          </w:tcPr>
          <w:p>
            <w:r>
              <w:rPr>
                <w:sz w:val="16"/>
              </w:rPr>
              <w:t>33</w:t>
            </w:r>
          </w:p>
        </w:tc>
        <w:tc>
          <w:tcPr>
            <w:tcW w:type="dxa" w:w="1083"/>
            <w:vAlign w:val="center"/>
          </w:tcPr>
          <w:p>
            <w:r>
              <w:rPr>
                <w:sz w:val="16"/>
              </w:rPr>
              <w:t>0.223</w:t>
            </w:r>
          </w:p>
        </w:tc>
        <w:tc>
          <w:tcPr>
            <w:tcW w:type="dxa" w:w="1083"/>
            <w:vAlign w:val="center"/>
          </w:tcPr>
          <w:p>
            <w:r>
              <w:rPr>
                <w:sz w:val="16"/>
              </w:rPr>
              <w:t>0.199</w:t>
            </w:r>
          </w:p>
        </w:tc>
        <w:tc>
          <w:tcPr>
            <w:tcW w:type="dxa" w:w="1083"/>
            <w:vAlign w:val="center"/>
          </w:tcPr>
          <w:p>
            <w:r>
              <w:rPr>
                <w:sz w:val="16"/>
              </w:rPr>
              <w:t>-0.024</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155</w:t>
            </w:r>
          </w:p>
        </w:tc>
        <w:tc>
          <w:tcPr>
            <w:tcW w:type="dxa" w:w="1083"/>
            <w:vAlign w:val="center"/>
          </w:tcPr>
          <w:p>
            <w:r>
              <w:rPr>
                <w:sz w:val="16"/>
              </w:rPr>
              <w:t>17</w:t>
            </w:r>
          </w:p>
        </w:tc>
        <w:tc>
          <w:tcPr>
            <w:tcW w:type="dxa" w:w="1083"/>
            <w:vAlign w:val="center"/>
          </w:tcPr>
          <w:p>
            <w:r>
              <w:rPr>
                <w:sz w:val="16"/>
              </w:rPr>
              <w:t>0.686</w:t>
            </w:r>
          </w:p>
        </w:tc>
        <w:tc>
          <w:tcPr>
            <w:tcW w:type="dxa" w:w="1083"/>
            <w:vAlign w:val="center"/>
          </w:tcPr>
          <w:p>
            <w:r>
              <w:rPr>
                <w:sz w:val="16"/>
              </w:rPr>
              <w:t>0.476</w:t>
            </w:r>
          </w:p>
        </w:tc>
        <w:tc>
          <w:tcPr>
            <w:tcW w:type="dxa" w:w="1083"/>
            <w:vAlign w:val="center"/>
          </w:tcPr>
          <w:p>
            <w:r>
              <w:rPr>
                <w:sz w:val="16"/>
              </w:rPr>
              <w:t>-0.210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135</w:t>
            </w:r>
          </w:p>
        </w:tc>
        <w:tc>
          <w:tcPr>
            <w:tcW w:type="dxa" w:w="1083"/>
            <w:vAlign w:val="center"/>
          </w:tcPr>
          <w:p>
            <w:r>
              <w:rPr>
                <w:sz w:val="16"/>
              </w:rPr>
              <w:t>13</w:t>
            </w:r>
          </w:p>
        </w:tc>
        <w:tc>
          <w:tcPr>
            <w:tcW w:type="dxa" w:w="1083"/>
            <w:vAlign w:val="center"/>
          </w:tcPr>
          <w:p>
            <w:r>
              <w:rPr>
                <w:sz w:val="16"/>
              </w:rPr>
              <w:t>0.862</w:t>
            </w:r>
          </w:p>
        </w:tc>
        <w:tc>
          <w:tcPr>
            <w:tcW w:type="dxa" w:w="1083"/>
            <w:vAlign w:val="center"/>
          </w:tcPr>
          <w:p>
            <w:r>
              <w:rPr>
                <w:sz w:val="16"/>
              </w:rPr>
              <w:t>0.495</w:t>
            </w:r>
          </w:p>
        </w:tc>
        <w:tc>
          <w:tcPr>
            <w:tcW w:type="dxa" w:w="1083"/>
            <w:vAlign w:val="center"/>
          </w:tcPr>
          <w:p>
            <w:r>
              <w:rPr>
                <w:sz w:val="16"/>
              </w:rPr>
              <w:t>-0.367</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KIRC</w:t>
            </w:r>
          </w:p>
        </w:tc>
        <w:tc>
          <w:tcPr>
            <w:tcW w:type="dxa" w:w="1083"/>
            <w:vAlign w:val="center"/>
          </w:tcPr>
          <w:p>
            <w:r>
              <w:rPr>
                <w:sz w:val="16"/>
              </w:rPr>
              <w:t>VHL</w:t>
            </w:r>
          </w:p>
        </w:tc>
        <w:tc>
          <w:tcPr>
            <w:tcW w:type="dxa" w:w="1083"/>
            <w:vAlign w:val="center"/>
          </w:tcPr>
          <w:p>
            <w:r>
              <w:rPr>
                <w:sz w:val="16"/>
              </w:rPr>
              <w:t>353</w:t>
            </w:r>
          </w:p>
        </w:tc>
        <w:tc>
          <w:tcPr>
            <w:tcW w:type="dxa" w:w="1083"/>
            <w:vAlign w:val="center"/>
          </w:tcPr>
          <w:p>
            <w:r>
              <w:rPr>
                <w:sz w:val="16"/>
              </w:rPr>
              <w:t>18</w:t>
            </w:r>
          </w:p>
        </w:tc>
        <w:tc>
          <w:tcPr>
            <w:tcW w:type="dxa" w:w="1083"/>
            <w:vAlign w:val="center"/>
          </w:tcPr>
          <w:p>
            <w:r>
              <w:rPr>
                <w:sz w:val="16"/>
              </w:rPr>
              <w:t>0.602</w:t>
            </w:r>
          </w:p>
        </w:tc>
        <w:tc>
          <w:tcPr>
            <w:tcW w:type="dxa" w:w="1083"/>
            <w:vAlign w:val="center"/>
          </w:tcPr>
          <w:p>
            <w:r>
              <w:rPr>
                <w:sz w:val="16"/>
              </w:rPr>
              <w:t>0.522</w:t>
            </w:r>
          </w:p>
        </w:tc>
        <w:tc>
          <w:tcPr>
            <w:tcW w:type="dxa" w:w="1083"/>
            <w:vAlign w:val="center"/>
          </w:tcPr>
          <w:p>
            <w:r>
              <w:rPr>
                <w:sz w:val="16"/>
              </w:rPr>
              <w:t>-0.080</w:t>
            </w:r>
          </w:p>
        </w:tc>
      </w:tr>
      <w:tr>
        <w:trPr>
          <w:cantSplit/>
        </w:trPr>
        <w:tc>
          <w:tcPr>
            <w:tcW w:type="dxa" w:w="1083"/>
            <w:vAlign w:val="center"/>
          </w:tcPr>
          <w:p>
            <w:r>
              <w:rPr>
                <w:sz w:val="16"/>
              </w:rPr>
              <w:t>binary</w:t>
            </w:r>
          </w:p>
        </w:tc>
        <w:tc>
          <w:tcPr>
            <w:tcW w:type="dxa" w:w="1083"/>
            <w:vAlign w:val="center"/>
          </w:tcPr>
          <w:p>
            <w:r>
              <w:rPr>
                <w:sz w:val="16"/>
              </w:rPr>
              <w:t>aneuploidy</w:t>
            </w:r>
          </w:p>
        </w:tc>
        <w:tc>
          <w:tcPr>
            <w:tcW w:type="dxa" w:w="1083"/>
            <w:vAlign w:val="center"/>
          </w:tcPr>
          <w:p>
            <w:r>
              <w:rPr>
                <w:sz w:val="16"/>
              </w:rPr>
              <w:t>READ</w:t>
            </w:r>
          </w:p>
        </w:tc>
        <w:tc>
          <w:tcPr>
            <w:tcW w:type="dxa" w:w="1083"/>
            <w:vAlign w:val="center"/>
          </w:tcPr>
          <w:p>
            <w:r>
              <w:rPr>
                <w:sz w:val="16"/>
              </w:rPr>
              <w:t>Genome doubling</w:t>
            </w:r>
          </w:p>
        </w:tc>
        <w:tc>
          <w:tcPr>
            <w:tcW w:type="dxa" w:w="1083"/>
            <w:vAlign w:val="center"/>
          </w:tcPr>
          <w:p>
            <w:r>
              <w:rPr>
                <w:sz w:val="16"/>
              </w:rPr>
              <w:t>143</w:t>
            </w:r>
          </w:p>
        </w:tc>
        <w:tc>
          <w:tcPr>
            <w:tcW w:type="dxa" w:w="1083"/>
            <w:vAlign w:val="center"/>
          </w:tcPr>
          <w:p>
            <w:r>
              <w:rPr>
                <w:sz w:val="16"/>
              </w:rPr>
              <w:t>12</w:t>
            </w:r>
          </w:p>
        </w:tc>
        <w:tc>
          <w:tcPr>
            <w:tcW w:type="dxa" w:w="1083"/>
            <w:vAlign w:val="center"/>
          </w:tcPr>
          <w:p>
            <w:r>
              <w:rPr>
                <w:sz w:val="16"/>
              </w:rPr>
              <w:t>0.608</w:t>
            </w:r>
          </w:p>
        </w:tc>
        <w:tc>
          <w:tcPr>
            <w:tcW w:type="dxa" w:w="1083"/>
            <w:vAlign w:val="center"/>
          </w:tcPr>
          <w:p>
            <w:r>
              <w:rPr>
                <w:sz w:val="16"/>
              </w:rPr>
              <w:t>0.533</w:t>
            </w:r>
          </w:p>
        </w:tc>
        <w:tc>
          <w:tcPr>
            <w:tcW w:type="dxa" w:w="1083"/>
            <w:vAlign w:val="center"/>
          </w:tcPr>
          <w:p>
            <w:r>
              <w:rPr>
                <w:sz w:val="16"/>
              </w:rPr>
              <w:t>-0.075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382</w:t>
            </w:r>
          </w:p>
        </w:tc>
        <w:tc>
          <w:tcPr>
            <w:tcW w:type="dxa" w:w="1083"/>
            <w:vAlign w:val="center"/>
          </w:tcPr>
          <w:p>
            <w:r>
              <w:rPr>
                <w:sz w:val="16"/>
              </w:rPr>
              <w:t>24</w:t>
            </w:r>
          </w:p>
        </w:tc>
        <w:tc>
          <w:tcPr>
            <w:tcW w:type="dxa" w:w="1083"/>
            <w:vAlign w:val="center"/>
          </w:tcPr>
          <w:p>
            <w:r>
              <w:rPr>
                <w:sz w:val="16"/>
              </w:rPr>
              <w:t>0.793</w:t>
            </w:r>
          </w:p>
        </w:tc>
        <w:tc>
          <w:tcPr>
            <w:tcW w:type="dxa" w:w="1083"/>
            <w:vAlign w:val="center"/>
          </w:tcPr>
          <w:p>
            <w:r>
              <w:rPr>
                <w:sz w:val="16"/>
              </w:rPr>
              <w:t>0.543</w:t>
            </w:r>
          </w:p>
        </w:tc>
        <w:tc>
          <w:tcPr>
            <w:tcW w:type="dxa" w:w="1083"/>
            <w:vAlign w:val="center"/>
          </w:tcPr>
          <w:p>
            <w:r>
              <w:rPr>
                <w:sz w:val="16"/>
              </w:rPr>
              <w:t>-0.250</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SARC</w:t>
            </w:r>
          </w:p>
        </w:tc>
        <w:tc>
          <w:tcPr>
            <w:tcW w:type="dxa" w:w="1083"/>
            <w:vAlign w:val="center"/>
          </w:tcPr>
          <w:p>
            <w:r>
              <w:rPr>
                <w:sz w:val="16"/>
              </w:rPr>
              <w:t>Any called fusion</w:t>
            </w:r>
          </w:p>
        </w:tc>
        <w:tc>
          <w:tcPr>
            <w:tcW w:type="dxa" w:w="1083"/>
            <w:vAlign w:val="center"/>
          </w:tcPr>
          <w:p>
            <w:r>
              <w:rPr>
                <w:sz w:val="16"/>
              </w:rPr>
              <w:t>252</w:t>
            </w:r>
          </w:p>
        </w:tc>
        <w:tc>
          <w:tcPr>
            <w:tcW w:type="dxa" w:w="1083"/>
            <w:vAlign w:val="center"/>
          </w:tcPr>
          <w:p>
            <w:r>
              <w:rPr>
                <w:sz w:val="16"/>
              </w:rPr>
              <w:t>34</w:t>
            </w:r>
          </w:p>
        </w:tc>
        <w:tc>
          <w:tcPr>
            <w:tcW w:type="dxa" w:w="1083"/>
            <w:vAlign w:val="center"/>
          </w:tcPr>
          <w:p>
            <w:r>
              <w:rPr>
                <w:sz w:val="16"/>
              </w:rPr>
              <w:t>0.625</w:t>
            </w:r>
          </w:p>
        </w:tc>
        <w:tc>
          <w:tcPr>
            <w:tcW w:type="dxa" w:w="1083"/>
            <w:vAlign w:val="center"/>
          </w:tcPr>
          <w:p>
            <w:r>
              <w:rPr>
                <w:sz w:val="16"/>
              </w:rPr>
              <w:t>0.544</w:t>
            </w:r>
          </w:p>
        </w:tc>
        <w:tc>
          <w:tcPr>
            <w:tcW w:type="dxa" w:w="1083"/>
            <w:vAlign w:val="center"/>
          </w:tcPr>
          <w:p>
            <w:r>
              <w:rPr>
                <w:sz w:val="16"/>
              </w:rPr>
              <w:t>-0.081</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FUBP1</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0.613</w:t>
            </w:r>
          </w:p>
        </w:tc>
        <w:tc>
          <w:tcPr>
            <w:tcW w:type="dxa" w:w="1083"/>
            <w:vAlign w:val="center"/>
          </w:tcPr>
          <w:p>
            <w:r>
              <w:rPr>
                <w:sz w:val="16"/>
              </w:rPr>
              <w:t>0.547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LIHC</w:t>
            </w:r>
          </w:p>
        </w:tc>
        <w:tc>
          <w:tcPr>
            <w:tcW w:type="dxa" w:w="1083"/>
            <w:vAlign w:val="center"/>
          </w:tcPr>
          <w:p>
            <w:r>
              <w:rPr>
                <w:sz w:val="16"/>
              </w:rPr>
              <w:t>WNT</w:t>
            </w:r>
          </w:p>
        </w:tc>
        <w:tc>
          <w:tcPr>
            <w:tcW w:type="dxa" w:w="1083"/>
            <w:vAlign w:val="center"/>
          </w:tcPr>
          <w:p>
            <w:r>
              <w:rPr>
                <w:sz w:val="16"/>
              </w:rPr>
              <w:t>337</w:t>
            </w:r>
          </w:p>
        </w:tc>
        <w:tc>
          <w:tcPr>
            <w:tcW w:type="dxa" w:w="1083"/>
            <w:vAlign w:val="center"/>
          </w:tcPr>
          <w:p>
            <w:r>
              <w:rPr>
                <w:sz w:val="16"/>
              </w:rPr>
              <w:t>33</w:t>
            </w:r>
          </w:p>
        </w:tc>
        <w:tc>
          <w:tcPr>
            <w:tcW w:type="dxa" w:w="1083"/>
            <w:vAlign w:val="center"/>
          </w:tcPr>
          <w:p>
            <w:r>
              <w:rPr>
                <w:sz w:val="16"/>
              </w:rPr>
              <w:t>0.634</w:t>
            </w:r>
          </w:p>
        </w:tc>
        <w:tc>
          <w:tcPr>
            <w:tcW w:type="dxa" w:w="1083"/>
            <w:vAlign w:val="center"/>
          </w:tcPr>
          <w:p>
            <w:r>
              <w:rPr>
                <w:sz w:val="16"/>
              </w:rPr>
              <w:t>0.549</w:t>
            </w:r>
          </w:p>
        </w:tc>
        <w:tc>
          <w:tcPr>
            <w:tcW w:type="dxa" w:w="1083"/>
            <w:vAlign w:val="center"/>
          </w:tcPr>
          <w:p>
            <w:r>
              <w:rPr>
                <w:sz w:val="16"/>
              </w:rPr>
              <w:t>-0.085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CESC</w:t>
            </w:r>
          </w:p>
        </w:tc>
        <w:tc>
          <w:tcPr>
            <w:tcW w:type="dxa" w:w="1083"/>
            <w:vAlign w:val="center"/>
          </w:tcPr>
          <w:p>
            <w:r>
              <w:rPr>
                <w:sz w:val="16"/>
              </w:rPr>
              <w:t>TP53</w:t>
            </w:r>
          </w:p>
        </w:tc>
        <w:tc>
          <w:tcPr>
            <w:tcW w:type="dxa" w:w="1083"/>
            <w:vAlign w:val="center"/>
          </w:tcPr>
          <w:p>
            <w:r>
              <w:rPr>
                <w:sz w:val="16"/>
              </w:rPr>
              <w:t>252</w:t>
            </w:r>
          </w:p>
        </w:tc>
        <w:tc>
          <w:tcPr>
            <w:tcW w:type="dxa" w:w="1083"/>
            <w:vAlign w:val="center"/>
          </w:tcPr>
          <w:p>
            <w:r>
              <w:rPr>
                <w:sz w:val="16"/>
              </w:rPr>
              <w:t>29</w:t>
            </w:r>
          </w:p>
        </w:tc>
        <w:tc>
          <w:tcPr>
            <w:tcW w:type="dxa" w:w="1083"/>
            <w:vAlign w:val="center"/>
          </w:tcPr>
          <w:p>
            <w:r>
              <w:rPr>
                <w:sz w:val="16"/>
              </w:rPr>
              <w:t>0.604</w:t>
            </w:r>
          </w:p>
        </w:tc>
        <w:tc>
          <w:tcPr>
            <w:tcW w:type="dxa" w:w="1083"/>
            <w:vAlign w:val="center"/>
          </w:tcPr>
          <w:p>
            <w:r>
              <w:rPr>
                <w:sz w:val="16"/>
              </w:rPr>
              <w:t>0.552</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72</w:t>
            </w:r>
          </w:p>
        </w:tc>
        <w:tc>
          <w:tcPr>
            <w:tcW w:type="dxa" w:w="1083"/>
            <w:vAlign w:val="center"/>
          </w:tcPr>
          <w:p>
            <w:r>
              <w:rPr>
                <w:sz w:val="16"/>
              </w:rPr>
              <w:t>11</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-0.098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BLCA</w:t>
            </w:r>
          </w:p>
        </w:tc>
        <w:tc>
          <w:tcPr>
            <w:tcW w:type="dxa" w:w="1083"/>
            <w:vAlign w:val="center"/>
          </w:tcPr>
          <w:p>
            <w:r>
              <w:rPr>
                <w:sz w:val="16"/>
              </w:rPr>
              <w:t>PIK3CA</w:t>
            </w:r>
          </w:p>
        </w:tc>
        <w:tc>
          <w:tcPr>
            <w:tcW w:type="dxa" w:w="1083"/>
            <w:vAlign w:val="center"/>
          </w:tcPr>
          <w:p>
            <w:r>
              <w:rPr>
                <w:sz w:val="16"/>
              </w:rPr>
              <w:t>384</w:t>
            </w:r>
          </w:p>
        </w:tc>
        <w:tc>
          <w:tcPr>
            <w:tcW w:type="dxa" w:w="1083"/>
            <w:vAlign w:val="center"/>
          </w:tcPr>
          <w:p>
            <w:r>
              <w:rPr>
                <w:sz w:val="16"/>
              </w:rPr>
              <w:t>33</w:t>
            </w:r>
          </w:p>
        </w:tc>
        <w:tc>
          <w:tcPr>
            <w:tcW w:type="dxa" w:w="1083"/>
            <w:vAlign w:val="center"/>
          </w:tcPr>
          <w:p>
            <w:r>
              <w:rPr>
                <w:sz w:val="16"/>
              </w:rPr>
              <w:t>0.601</w:t>
            </w:r>
          </w:p>
        </w:tc>
        <w:tc>
          <w:tcPr>
            <w:tcW w:type="dxa" w:w="1083"/>
            <w:vAlign w:val="center"/>
          </w:tcPr>
          <w:p>
            <w:r>
              <w:rPr>
                <w:sz w:val="16"/>
              </w:rPr>
              <w:t>0.563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0.668</w:t>
            </w:r>
          </w:p>
        </w:tc>
        <w:tc>
          <w:tcPr>
            <w:tcW w:type="dxa" w:w="1083"/>
            <w:vAlign w:val="center"/>
          </w:tcPr>
          <w:p>
            <w:r>
              <w:rPr>
                <w:sz w:val="16"/>
              </w:rPr>
              <w:t>0.565</w:t>
            </w:r>
          </w:p>
        </w:tc>
        <w:tc>
          <w:tcPr>
            <w:tcW w:type="dxa" w:w="1083"/>
            <w:vAlign w:val="center"/>
          </w:tcPr>
          <w:p>
            <w:r>
              <w:rPr>
                <w:sz w:val="16"/>
              </w:rPr>
              <w:t>-0.103</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PTEN</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0.619</w:t>
            </w:r>
          </w:p>
        </w:tc>
        <w:tc>
          <w:tcPr>
            <w:tcW w:type="dxa" w:w="1083"/>
            <w:vAlign w:val="center"/>
          </w:tcPr>
          <w:p>
            <w:r>
              <w:rPr>
                <w:sz w:val="16"/>
              </w:rPr>
              <w:t>0.566</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0.643</w:t>
            </w:r>
          </w:p>
        </w:tc>
        <w:tc>
          <w:tcPr>
            <w:tcW w:type="dxa" w:w="1083"/>
            <w:vAlign w:val="center"/>
          </w:tcPr>
          <w:p>
            <w:r>
              <w:rPr>
                <w:sz w:val="16"/>
              </w:rPr>
              <w:t>0.577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RTK RAS</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0.617</w:t>
            </w:r>
          </w:p>
        </w:tc>
        <w:tc>
          <w:tcPr>
            <w:tcW w:type="dxa" w:w="1083"/>
            <w:vAlign w:val="center"/>
          </w:tcPr>
          <w:p>
            <w:r>
              <w:rPr>
                <w:sz w:val="16"/>
              </w:rPr>
              <w:t>0.577</w:t>
            </w:r>
          </w:p>
        </w:tc>
        <w:tc>
          <w:tcPr>
            <w:tcW w:type="dxa" w:w="1083"/>
            <w:vAlign w:val="center"/>
          </w:tcPr>
          <w:p>
            <w:r>
              <w:rPr>
                <w:sz w:val="16"/>
              </w:rPr>
              <w:t>-0.040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TP53</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0.633</w:t>
            </w:r>
          </w:p>
        </w:tc>
        <w:tc>
          <w:tcPr>
            <w:tcW w:type="dxa" w:w="1083"/>
            <w:vAlign w:val="center"/>
          </w:tcPr>
          <w:p>
            <w:r>
              <w:rPr>
                <w:sz w:val="16"/>
              </w:rPr>
              <w:t>0.581</w:t>
            </w:r>
          </w:p>
        </w:tc>
        <w:tc>
          <w:tcPr>
            <w:tcW w:type="dxa" w:w="1083"/>
            <w:vAlign w:val="center"/>
          </w:tcPr>
          <w:p>
            <w:r>
              <w:rPr>
                <w:sz w:val="16"/>
              </w:rPr>
              <w:t>-0.053</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PI3K</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0.583</w:t>
            </w:r>
          </w:p>
        </w:tc>
        <w:tc>
          <w:tcPr>
            <w:tcW w:type="dxa" w:w="1083"/>
            <w:vAlign w:val="center"/>
          </w:tcPr>
          <w:p>
            <w:r>
              <w:rPr>
                <w:sz w:val="16"/>
              </w:rPr>
              <w:t>-0.022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229</w:t>
            </w:r>
          </w:p>
        </w:tc>
        <w:tc>
          <w:tcPr>
            <w:tcW w:type="dxa" w:w="1083"/>
            <w:vAlign w:val="center"/>
          </w:tcPr>
          <w:p>
            <w:r>
              <w:rPr>
                <w:sz w:val="16"/>
              </w:rPr>
              <w:t>31</w:t>
            </w:r>
          </w:p>
        </w:tc>
        <w:tc>
          <w:tcPr>
            <w:tcW w:type="dxa" w:w="1083"/>
            <w:vAlign w:val="center"/>
          </w:tcPr>
          <w:p>
            <w:r>
              <w:rPr>
                <w:sz w:val="16"/>
              </w:rPr>
              <w:t>0.617</w:t>
            </w:r>
          </w:p>
        </w:tc>
        <w:tc>
          <w:tcPr>
            <w:tcW w:type="dxa" w:w="1083"/>
            <w:vAlign w:val="center"/>
          </w:tcPr>
          <w:p>
            <w:r>
              <w:rPr>
                <w:sz w:val="16"/>
              </w:rPr>
              <w:t>0.589</w:t>
            </w:r>
          </w:p>
        </w:tc>
        <w:tc>
          <w:tcPr>
            <w:tcW w:type="dxa" w:w="1083"/>
            <w:vAlign w:val="center"/>
          </w:tcPr>
          <w:p>
            <w:r>
              <w:rPr>
                <w:sz w:val="16"/>
              </w:rPr>
              <w:t>-0.029</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BRCA</w:t>
            </w:r>
          </w:p>
        </w:tc>
        <w:tc>
          <w:tcPr>
            <w:tcW w:type="dxa" w:w="1083"/>
            <w:vAlign w:val="center"/>
          </w:tcPr>
          <w:p>
            <w:r>
              <w:rPr>
                <w:sz w:val="16"/>
              </w:rPr>
              <w:t>PIK3CA</w:t>
            </w:r>
          </w:p>
        </w:tc>
        <w:tc>
          <w:tcPr>
            <w:tcW w:type="dxa" w:w="1083"/>
            <w:vAlign w:val="center"/>
          </w:tcPr>
          <w:p>
            <w:r>
              <w:rPr>
                <w:sz w:val="16"/>
              </w:rPr>
              <w:t>981</w:t>
            </w:r>
          </w:p>
        </w:tc>
        <w:tc>
          <w:tcPr>
            <w:tcW w:type="dxa" w:w="1083"/>
            <w:vAlign w:val="center"/>
          </w:tcPr>
          <w:p>
            <w:r>
              <w:rPr>
                <w:sz w:val="16"/>
              </w:rPr>
              <w:t>37</w:t>
            </w:r>
          </w:p>
        </w:tc>
        <w:tc>
          <w:tcPr>
            <w:tcW w:type="dxa" w:w="1083"/>
            <w:vAlign w:val="center"/>
          </w:tcPr>
          <w:p>
            <w:r>
              <w:rPr>
                <w:sz w:val="16"/>
              </w:rPr>
              <w:t>0.631</w:t>
            </w:r>
          </w:p>
        </w:tc>
        <w:tc>
          <w:tcPr>
            <w:tcW w:type="dxa" w:w="1083"/>
            <w:vAlign w:val="center"/>
          </w:tcPr>
          <w:p>
            <w:r>
              <w:rPr>
                <w:sz w:val="16"/>
              </w:rPr>
              <w:t>0.593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COAD</w:t>
            </w:r>
          </w:p>
        </w:tc>
        <w:tc>
          <w:tcPr>
            <w:tcW w:type="dxa" w:w="1083"/>
            <w:vAlign w:val="center"/>
          </w:tcPr>
          <w:p>
            <w:r>
              <w:rPr>
                <w:sz w:val="16"/>
              </w:rPr>
              <w:t>PI3K</w:t>
            </w:r>
          </w:p>
        </w:tc>
        <w:tc>
          <w:tcPr>
            <w:tcW w:type="dxa" w:w="1083"/>
            <w:vAlign w:val="center"/>
          </w:tcPr>
          <w:p>
            <w:r>
              <w:rPr>
                <w:sz w:val="16"/>
              </w:rPr>
              <w:t>323</w:t>
            </w:r>
          </w:p>
        </w:tc>
        <w:tc>
          <w:tcPr>
            <w:tcW w:type="dxa" w:w="1083"/>
            <w:vAlign w:val="center"/>
          </w:tcPr>
          <w:p>
            <w:r>
              <w:rPr>
                <w:sz w:val="16"/>
              </w:rPr>
              <w:t>24</w:t>
            </w:r>
          </w:p>
        </w:tc>
        <w:tc>
          <w:tcPr>
            <w:tcW w:type="dxa" w:w="1083"/>
            <w:vAlign w:val="center"/>
          </w:tcPr>
          <w:p>
            <w:r>
              <w:rPr>
                <w:sz w:val="16"/>
              </w:rPr>
              <w:t>0.613</w:t>
            </w:r>
          </w:p>
        </w:tc>
        <w:tc>
          <w:tcPr>
            <w:tcW w:type="dxa" w:w="1083"/>
            <w:vAlign w:val="center"/>
          </w:tcPr>
          <w:p>
            <w:r>
              <w:rPr>
                <w:sz w:val="16"/>
              </w:rPr>
              <w:t>0.593</w:t>
            </w:r>
          </w:p>
        </w:tc>
        <w:tc>
          <w:tcPr>
            <w:tcW w:type="dxa" w:w="1083"/>
            <w:vAlign w:val="center"/>
          </w:tcPr>
          <w:p>
            <w:r>
              <w:rPr>
                <w:sz w:val="16"/>
              </w:rPr>
              <w:t>-0.020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WNT</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0.604</w:t>
            </w:r>
          </w:p>
        </w:tc>
        <w:tc>
          <w:tcPr>
            <w:tcW w:type="dxa" w:w="1083"/>
            <w:vAlign w:val="center"/>
          </w:tcPr>
          <w:p>
            <w:r>
              <w:rPr>
                <w:sz w:val="16"/>
              </w:rPr>
              <w:t>0.593</w:t>
            </w:r>
          </w:p>
        </w:tc>
        <w:tc>
          <w:tcPr>
            <w:tcW w:type="dxa" w:w="1083"/>
            <w:vAlign w:val="center"/>
          </w:tcPr>
          <w:p>
            <w:r>
              <w:rPr>
                <w:sz w:val="16"/>
              </w:rPr>
              <w:t>-0.010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NOTCH</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0.621</w:t>
            </w:r>
          </w:p>
        </w:tc>
        <w:tc>
          <w:tcPr>
            <w:tcW w:type="dxa" w:w="1083"/>
            <w:vAlign w:val="center"/>
          </w:tcPr>
          <w:p>
            <w:r>
              <w:rPr>
                <w:sz w:val="16"/>
              </w:rPr>
              <w:t>0.596</w:t>
            </w:r>
          </w:p>
        </w:tc>
        <w:tc>
          <w:tcPr>
            <w:tcW w:type="dxa" w:w="1083"/>
            <w:vAlign w:val="center"/>
          </w:tcPr>
          <w:p>
            <w:r>
              <w:rPr>
                <w:sz w:val="16"/>
              </w:rPr>
              <w:t>-0.025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LUAD</w:t>
            </w:r>
          </w:p>
        </w:tc>
        <w:tc>
          <w:tcPr>
            <w:tcW w:type="dxa" w:w="1083"/>
            <w:vAlign w:val="center"/>
          </w:tcPr>
          <w:p>
            <w:r>
              <w:rPr>
                <w:sz w:val="16"/>
              </w:rPr>
              <w:t>EGFR</w:t>
            </w:r>
          </w:p>
        </w:tc>
        <w:tc>
          <w:tcPr>
            <w:tcW w:type="dxa" w:w="1083"/>
            <w:vAlign w:val="center"/>
          </w:tcPr>
          <w:p>
            <w:r>
              <w:rPr>
                <w:sz w:val="16"/>
              </w:rPr>
              <w:t>463</w:t>
            </w:r>
          </w:p>
        </w:tc>
        <w:tc>
          <w:tcPr>
            <w:tcW w:type="dxa" w:w="1083"/>
            <w:vAlign w:val="center"/>
          </w:tcPr>
          <w:p>
            <w:r>
              <w:rPr>
                <w:sz w:val="16"/>
              </w:rPr>
              <w:t>33</w:t>
            </w:r>
          </w:p>
        </w:tc>
        <w:tc>
          <w:tcPr>
            <w:tcW w:type="dxa" w:w="1083"/>
            <w:vAlign w:val="center"/>
          </w:tcPr>
          <w:p>
            <w:r>
              <w:rPr>
                <w:sz w:val="16"/>
              </w:rPr>
              <w:t>0.617</w:t>
            </w:r>
          </w:p>
        </w:tc>
        <w:tc>
          <w:tcPr>
            <w:tcW w:type="dxa" w:w="1083"/>
            <w:vAlign w:val="center"/>
          </w:tcPr>
          <w:p>
            <w:r>
              <w:rPr>
                <w:sz w:val="16"/>
              </w:rPr>
              <w:t>0.598</w:t>
            </w:r>
          </w:p>
        </w:tc>
        <w:tc>
          <w:tcPr>
            <w:tcW w:type="dxa" w:w="1083"/>
            <w:vAlign w:val="center"/>
          </w:tcPr>
          <w:p>
            <w:r>
              <w:rPr>
                <w:sz w:val="16"/>
              </w:rPr>
              <w:t>-0.019</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BLCA</w:t>
            </w:r>
          </w:p>
        </w:tc>
        <w:tc>
          <w:tcPr>
            <w:tcW w:type="dxa" w:w="1083"/>
            <w:vAlign w:val="center"/>
          </w:tcPr>
          <w:p>
            <w:r>
              <w:rPr>
                <w:sz w:val="16"/>
              </w:rPr>
              <w:t>Any called fusion</w:t>
            </w:r>
          </w:p>
        </w:tc>
        <w:tc>
          <w:tcPr>
            <w:tcW w:type="dxa" w:w="1083"/>
            <w:vAlign w:val="center"/>
          </w:tcPr>
          <w:p>
            <w:r>
              <w:rPr>
                <w:sz w:val="16"/>
              </w:rPr>
              <w:t>381</w:t>
            </w:r>
          </w:p>
        </w:tc>
        <w:tc>
          <w:tcPr>
            <w:tcW w:type="dxa" w:w="1083"/>
            <w:vAlign w:val="center"/>
          </w:tcPr>
          <w:p>
            <w:r>
              <w:rPr>
                <w:sz w:val="16"/>
              </w:rPr>
              <w:t>33</w:t>
            </w:r>
          </w:p>
        </w:tc>
        <w:tc>
          <w:tcPr>
            <w:tcW w:type="dxa" w:w="1083"/>
            <w:vAlign w:val="center"/>
          </w:tcPr>
          <w:p>
            <w:r>
              <w:rPr>
                <w:sz w:val="16"/>
              </w:rPr>
              <w:t>0.604</w:t>
            </w:r>
          </w:p>
        </w:tc>
        <w:tc>
          <w:tcPr>
            <w:tcW w:type="dxa" w:w="1083"/>
            <w:vAlign w:val="center"/>
          </w:tcPr>
          <w:p>
            <w:r>
              <w:rPr>
                <w:sz w:val="16"/>
              </w:rPr>
              <w:t>0.599</w:t>
            </w:r>
          </w:p>
        </w:tc>
        <w:tc>
          <w:tcPr>
            <w:tcW w:type="dxa" w:w="1083"/>
            <w:vAlign w:val="center"/>
          </w:tcPr>
          <w:p>
            <w:r>
              <w:rPr>
                <w:sz w:val="16"/>
              </w:rPr>
              <w:t>-0.005</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TP53</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0.600</w:t>
            </w:r>
          </w:p>
        </w:tc>
        <w:tc>
          <w:tcPr>
            <w:tcW w:type="dxa" w:w="1083"/>
            <w:vAlign w:val="center"/>
          </w:tcPr>
          <w:p>
            <w:r>
              <w:rPr>
                <w:sz w:val="16"/>
              </w:rPr>
              <w:t>-0.005</w:t>
            </w:r>
          </w:p>
        </w:tc>
      </w:tr>
    </w:tbl>
    <w:p/>
    <w:p>
      <w:pPr>
        <w:pStyle w:val="Heading1"/>
      </w:pPr>
      <w:r>
        <w:t>Table S10c. Tissue-source-site-grouped outer-fold composition for the two colorectal APC examples</w:t>
      </w:r>
    </w:p>
    <w:p>
      <w:r>
        <w:t>The table shows every outer fold for the two near-chance APC examples. The complete 1,613-row file reports test and training patients, tissue-source sites, positive and negative cases, site identifiers, seeds and inner-site-separation diagnostics for every screen-positive model. Inner component selection used the same tissue-source-site grouping and had no site overlap.</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Model</w:t>
            </w:r>
          </w:p>
        </w:tc>
        <w:tc>
          <w:tcPr>
            <w:tcW w:type="dxa" w:w="1218"/>
          </w:tcPr>
          <w:p>
            <w:r>
              <w:rPr>
                <w:b/>
                <w:sz w:val="17"/>
              </w:rPr>
              <w:t>Fold</w:t>
            </w:r>
          </w:p>
        </w:tc>
        <w:tc>
          <w:tcPr>
            <w:tcW w:type="dxa" w:w="1218"/>
          </w:tcPr>
          <w:p>
            <w:r>
              <w:rPr>
                <w:b/>
                <w:sz w:val="17"/>
              </w:rPr>
              <w:t>Test patients</w:t>
            </w:r>
          </w:p>
        </w:tc>
        <w:tc>
          <w:tcPr>
            <w:tcW w:type="dxa" w:w="1218"/>
          </w:tcPr>
          <w:p>
            <w:r>
              <w:rPr>
                <w:b/>
                <w:sz w:val="17"/>
              </w:rPr>
              <w:t>Test sites</w:t>
            </w:r>
          </w:p>
        </w:tc>
        <w:tc>
          <w:tcPr>
            <w:tcW w:type="dxa" w:w="1218"/>
          </w:tcPr>
          <w:p>
            <w:r>
              <w:rPr>
                <w:b/>
                <w:sz w:val="17"/>
              </w:rPr>
              <w:t>Test positive/negative</w:t>
            </w:r>
          </w:p>
        </w:tc>
        <w:tc>
          <w:tcPr>
            <w:tcW w:type="dxa" w:w="1218"/>
          </w:tcPr>
          <w:p>
            <w:r>
              <w:rPr>
                <w:b/>
                <w:sz w:val="17"/>
              </w:rPr>
              <w:t>Training patients</w:t>
            </w:r>
          </w:p>
        </w:tc>
        <w:tc>
          <w:tcPr>
            <w:tcW w:type="dxa" w:w="1218"/>
          </w:tcPr>
          <w:p>
            <w:r>
              <w:rPr>
                <w:b/>
                <w:sz w:val="17"/>
              </w:rPr>
              <w:t>Training sites</w:t>
            </w:r>
          </w:p>
        </w:tc>
        <w:tc>
          <w:tcPr>
            <w:tcW w:type="dxa" w:w="1218"/>
          </w:tcPr>
          <w:p>
            <w:r>
              <w:rPr>
                <w:b/>
                <w:sz w:val="17"/>
              </w:rPr>
              <w:t>Training positive/negative</w:t>
            </w:r>
          </w:p>
        </w:tc>
      </w:tr>
      <w:tr>
        <w:trPr>
          <w:cantSplit/>
        </w:trPr>
        <w:tc>
          <w:tcPr>
            <w:tcW w:type="dxa" w:w="1218"/>
            <w:vAlign w:val="center"/>
          </w:tcPr>
          <w:p>
            <w:r>
              <w:rPr>
                <w:sz w:val="16"/>
              </w:rPr>
              <w:t>COAD–APC</w:t>
            </w:r>
          </w:p>
        </w:tc>
        <w:tc>
          <w:tcPr>
            <w:tcW w:type="dxa" w:w="1218"/>
            <w:vAlign w:val="center"/>
          </w:tcPr>
          <w:p>
            <w:r>
              <w:rPr>
                <w:sz w:val="16"/>
              </w:rPr>
              <w:t>1</w:t>
            </w:r>
          </w:p>
        </w:tc>
        <w:tc>
          <w:tcPr>
            <w:tcW w:type="dxa" w:w="1218"/>
            <w:vAlign w:val="center"/>
          </w:tcPr>
          <w:p>
            <w:r>
              <w:rPr>
                <w:sz w:val="16"/>
              </w:rPr>
              <w:t>63</w:t>
            </w:r>
          </w:p>
        </w:tc>
        <w:tc>
          <w:tcPr>
            <w:tcW w:type="dxa" w:w="1218"/>
            <w:vAlign w:val="center"/>
          </w:tcPr>
          <w:p>
            <w:r>
              <w:rPr>
                <w:sz w:val="16"/>
              </w:rPr>
              <w:t>6</w:t>
            </w:r>
          </w:p>
        </w:tc>
        <w:tc>
          <w:tcPr>
            <w:tcW w:type="dxa" w:w="1218"/>
            <w:vAlign w:val="center"/>
          </w:tcPr>
          <w:p>
            <w:r>
              <w:rPr>
                <w:sz w:val="16"/>
              </w:rPr>
              <w:t>43/20</w:t>
            </w:r>
          </w:p>
        </w:tc>
        <w:tc>
          <w:tcPr>
            <w:tcW w:type="dxa" w:w="1218"/>
            <w:vAlign w:val="center"/>
          </w:tcPr>
          <w:p>
            <w:r>
              <w:rPr>
                <w:sz w:val="16"/>
              </w:rPr>
              <w:t>319</w:t>
            </w:r>
          </w:p>
        </w:tc>
        <w:tc>
          <w:tcPr>
            <w:tcW w:type="dxa" w:w="1218"/>
            <w:vAlign w:val="center"/>
          </w:tcPr>
          <w:p>
            <w:r>
              <w:rPr>
                <w:sz w:val="16"/>
              </w:rPr>
              <w:t>18</w:t>
            </w:r>
          </w:p>
        </w:tc>
        <w:tc>
          <w:tcPr>
            <w:tcW w:type="dxa" w:w="1218"/>
            <w:vAlign w:val="center"/>
          </w:tcPr>
          <w:p>
            <w:r>
              <w:rPr>
                <w:sz w:val="16"/>
              </w:rPr>
              <w:t>153/166</w:t>
            </w:r>
          </w:p>
        </w:tc>
      </w:tr>
      <w:tr>
        <w:trPr>
          <w:cantSplit/>
        </w:trPr>
        <w:tc>
          <w:tcPr>
            <w:tcW w:type="dxa" w:w="1218"/>
            <w:vAlign w:val="center"/>
          </w:tcPr>
          <w:p>
            <w:r>
              <w:rPr>
                <w:sz w:val="16"/>
              </w:rPr>
              <w:t>COAD–APC</w:t>
            </w:r>
          </w:p>
        </w:tc>
        <w:tc>
          <w:tcPr>
            <w:tcW w:type="dxa" w:w="1218"/>
            <w:vAlign w:val="center"/>
          </w:tcPr>
          <w:p>
            <w:r>
              <w:rPr>
                <w:sz w:val="16"/>
              </w:rPr>
              <w:t>2</w:t>
            </w:r>
          </w:p>
        </w:tc>
        <w:tc>
          <w:tcPr>
            <w:tcW w:type="dxa" w:w="1218"/>
            <w:vAlign w:val="center"/>
          </w:tcPr>
          <w:p>
            <w:r>
              <w:rPr>
                <w:sz w:val="16"/>
              </w:rPr>
              <w:t>177</w:t>
            </w:r>
          </w:p>
        </w:tc>
        <w:tc>
          <w:tcPr>
            <w:tcW w:type="dxa" w:w="1218"/>
            <w:vAlign w:val="center"/>
          </w:tcPr>
          <w:p>
            <w:r>
              <w:rPr>
                <w:sz w:val="16"/>
              </w:rPr>
              <w:t>6</w:t>
            </w:r>
          </w:p>
        </w:tc>
        <w:tc>
          <w:tcPr>
            <w:tcW w:type="dxa" w:w="1218"/>
            <w:vAlign w:val="center"/>
          </w:tcPr>
          <w:p>
            <w:r>
              <w:rPr>
                <w:sz w:val="16"/>
              </w:rPr>
              <w:t>47/130</w:t>
            </w:r>
          </w:p>
        </w:tc>
        <w:tc>
          <w:tcPr>
            <w:tcW w:type="dxa" w:w="1218"/>
            <w:vAlign w:val="center"/>
          </w:tcPr>
          <w:p>
            <w:r>
              <w:rPr>
                <w:sz w:val="16"/>
              </w:rPr>
              <w:t>205</w:t>
            </w:r>
          </w:p>
        </w:tc>
        <w:tc>
          <w:tcPr>
            <w:tcW w:type="dxa" w:w="1218"/>
            <w:vAlign w:val="center"/>
          </w:tcPr>
          <w:p>
            <w:r>
              <w:rPr>
                <w:sz w:val="16"/>
              </w:rPr>
              <w:t>18</w:t>
            </w:r>
          </w:p>
        </w:tc>
        <w:tc>
          <w:tcPr>
            <w:tcW w:type="dxa" w:w="1218"/>
            <w:vAlign w:val="center"/>
          </w:tcPr>
          <w:p>
            <w:r>
              <w:rPr>
                <w:sz w:val="16"/>
              </w:rPr>
              <w:t>149/56</w:t>
            </w:r>
          </w:p>
        </w:tc>
      </w:tr>
      <w:tr>
        <w:trPr>
          <w:cantSplit/>
        </w:trPr>
        <w:tc>
          <w:tcPr>
            <w:tcW w:type="dxa" w:w="1218"/>
            <w:vAlign w:val="center"/>
          </w:tcPr>
          <w:p>
            <w:r>
              <w:rPr>
                <w:sz w:val="16"/>
              </w:rPr>
              <w:t>COAD–APC</w:t>
            </w:r>
          </w:p>
        </w:tc>
        <w:tc>
          <w:tcPr>
            <w:tcW w:type="dxa" w:w="1218"/>
            <w:vAlign w:val="center"/>
          </w:tcPr>
          <w:p>
            <w:r>
              <w:rPr>
                <w:sz w:val="16"/>
              </w:rPr>
              <w:t>3</w:t>
            </w:r>
          </w:p>
        </w:tc>
        <w:tc>
          <w:tcPr>
            <w:tcW w:type="dxa" w:w="1218"/>
            <w:vAlign w:val="center"/>
          </w:tcPr>
          <w:p>
            <w:r>
              <w:rPr>
                <w:sz w:val="16"/>
              </w:rPr>
              <w:t>35</w:t>
            </w:r>
          </w:p>
        </w:tc>
        <w:tc>
          <w:tcPr>
            <w:tcW w:type="dxa" w:w="1218"/>
            <w:vAlign w:val="center"/>
          </w:tcPr>
          <w:p>
            <w:r>
              <w:rPr>
                <w:sz w:val="16"/>
              </w:rPr>
              <w:t>4</w:t>
            </w:r>
          </w:p>
        </w:tc>
        <w:tc>
          <w:tcPr>
            <w:tcW w:type="dxa" w:w="1218"/>
            <w:vAlign w:val="center"/>
          </w:tcPr>
          <w:p>
            <w:r>
              <w:rPr>
                <w:sz w:val="16"/>
              </w:rPr>
              <w:t>30/5</w:t>
            </w:r>
          </w:p>
        </w:tc>
        <w:tc>
          <w:tcPr>
            <w:tcW w:type="dxa" w:w="1218"/>
            <w:vAlign w:val="center"/>
          </w:tcPr>
          <w:p>
            <w:r>
              <w:rPr>
                <w:sz w:val="16"/>
              </w:rPr>
              <w:t>347</w:t>
            </w:r>
          </w:p>
        </w:tc>
        <w:tc>
          <w:tcPr>
            <w:tcW w:type="dxa" w:w="1218"/>
            <w:vAlign w:val="center"/>
          </w:tcPr>
          <w:p>
            <w:r>
              <w:rPr>
                <w:sz w:val="16"/>
              </w:rPr>
              <w:t>20</w:t>
            </w:r>
          </w:p>
        </w:tc>
        <w:tc>
          <w:tcPr>
            <w:tcW w:type="dxa" w:w="1218"/>
            <w:vAlign w:val="center"/>
          </w:tcPr>
          <w:p>
            <w:r>
              <w:rPr>
                <w:sz w:val="16"/>
              </w:rPr>
              <w:t>166/181</w:t>
            </w:r>
          </w:p>
        </w:tc>
      </w:tr>
      <w:tr>
        <w:trPr>
          <w:cantSplit/>
        </w:trPr>
        <w:tc>
          <w:tcPr>
            <w:tcW w:type="dxa" w:w="1218"/>
            <w:vAlign w:val="center"/>
          </w:tcPr>
          <w:p>
            <w:r>
              <w:rPr>
                <w:sz w:val="16"/>
              </w:rPr>
              <w:t>COAD–APC</w:t>
            </w:r>
          </w:p>
        </w:tc>
        <w:tc>
          <w:tcPr>
            <w:tcW w:type="dxa" w:w="1218"/>
            <w:vAlign w:val="center"/>
          </w:tcPr>
          <w:p>
            <w:r>
              <w:rPr>
                <w:sz w:val="16"/>
              </w:rPr>
              <w:t>4</w:t>
            </w:r>
          </w:p>
        </w:tc>
        <w:tc>
          <w:tcPr>
            <w:tcW w:type="dxa" w:w="1218"/>
            <w:vAlign w:val="center"/>
          </w:tcPr>
          <w:p>
            <w:r>
              <w:rPr>
                <w:sz w:val="16"/>
              </w:rPr>
              <w:t>85</w:t>
            </w:r>
          </w:p>
        </w:tc>
        <w:tc>
          <w:tcPr>
            <w:tcW w:type="dxa" w:w="1218"/>
            <w:vAlign w:val="center"/>
          </w:tcPr>
          <w:p>
            <w:r>
              <w:rPr>
                <w:sz w:val="16"/>
              </w:rPr>
              <w:t>4</w:t>
            </w:r>
          </w:p>
        </w:tc>
        <w:tc>
          <w:tcPr>
            <w:tcW w:type="dxa" w:w="1218"/>
            <w:vAlign w:val="center"/>
          </w:tcPr>
          <w:p>
            <w:r>
              <w:rPr>
                <w:sz w:val="16"/>
              </w:rPr>
              <w:t>61/24</w:t>
            </w:r>
          </w:p>
        </w:tc>
        <w:tc>
          <w:tcPr>
            <w:tcW w:type="dxa" w:w="1218"/>
            <w:vAlign w:val="center"/>
          </w:tcPr>
          <w:p>
            <w:r>
              <w:rPr>
                <w:sz w:val="16"/>
              </w:rPr>
              <w:t>297</w:t>
            </w:r>
          </w:p>
        </w:tc>
        <w:tc>
          <w:tcPr>
            <w:tcW w:type="dxa" w:w="1218"/>
            <w:vAlign w:val="center"/>
          </w:tcPr>
          <w:p>
            <w:r>
              <w:rPr>
                <w:sz w:val="16"/>
              </w:rPr>
              <w:t>20</w:t>
            </w:r>
          </w:p>
        </w:tc>
        <w:tc>
          <w:tcPr>
            <w:tcW w:type="dxa" w:w="1218"/>
            <w:vAlign w:val="center"/>
          </w:tcPr>
          <w:p>
            <w:r>
              <w:rPr>
                <w:sz w:val="16"/>
              </w:rPr>
              <w:t>135/162</w:t>
            </w:r>
          </w:p>
        </w:tc>
      </w:tr>
      <w:tr>
        <w:trPr>
          <w:cantSplit/>
        </w:trPr>
        <w:tc>
          <w:tcPr>
            <w:tcW w:type="dxa" w:w="1218"/>
            <w:vAlign w:val="center"/>
          </w:tcPr>
          <w:p>
            <w:r>
              <w:rPr>
                <w:sz w:val="16"/>
              </w:rPr>
              <w:t>COAD–APC</w:t>
            </w:r>
          </w:p>
        </w:tc>
        <w:tc>
          <w:tcPr>
            <w:tcW w:type="dxa" w:w="1218"/>
            <w:vAlign w:val="center"/>
          </w:tcPr>
          <w:p>
            <w:r>
              <w:rPr>
                <w:sz w:val="16"/>
              </w:rPr>
              <w:t>5</w:t>
            </w:r>
          </w:p>
        </w:tc>
        <w:tc>
          <w:tcPr>
            <w:tcW w:type="dxa" w:w="1218"/>
            <w:vAlign w:val="center"/>
          </w:tcPr>
          <w:p>
            <w:r>
              <w:rPr>
                <w:sz w:val="16"/>
              </w:rPr>
              <w:t>22</w:t>
            </w:r>
          </w:p>
        </w:tc>
        <w:tc>
          <w:tcPr>
            <w:tcW w:type="dxa" w:w="1218"/>
            <w:vAlign w:val="center"/>
          </w:tcPr>
          <w:p>
            <w:r>
              <w:rPr>
                <w:sz w:val="16"/>
              </w:rPr>
              <w:t>4</w:t>
            </w:r>
          </w:p>
        </w:tc>
        <w:tc>
          <w:tcPr>
            <w:tcW w:type="dxa" w:w="1218"/>
            <w:vAlign w:val="center"/>
          </w:tcPr>
          <w:p>
            <w:r>
              <w:rPr>
                <w:sz w:val="16"/>
              </w:rPr>
              <w:t>15/7</w:t>
            </w:r>
          </w:p>
        </w:tc>
        <w:tc>
          <w:tcPr>
            <w:tcW w:type="dxa" w:w="1218"/>
            <w:vAlign w:val="center"/>
          </w:tcPr>
          <w:p>
            <w:r>
              <w:rPr>
                <w:sz w:val="16"/>
              </w:rPr>
              <w:t>360</w:t>
            </w:r>
          </w:p>
        </w:tc>
        <w:tc>
          <w:tcPr>
            <w:tcW w:type="dxa" w:w="1218"/>
            <w:vAlign w:val="center"/>
          </w:tcPr>
          <w:p>
            <w:r>
              <w:rPr>
                <w:sz w:val="16"/>
              </w:rPr>
              <w:t>20</w:t>
            </w:r>
          </w:p>
        </w:tc>
        <w:tc>
          <w:tcPr>
            <w:tcW w:type="dxa" w:w="1218"/>
            <w:vAlign w:val="center"/>
          </w:tcPr>
          <w:p>
            <w:r>
              <w:rPr>
                <w:sz w:val="16"/>
              </w:rPr>
              <w:t>181/179</w:t>
            </w:r>
          </w:p>
        </w:tc>
      </w:tr>
      <w:tr>
        <w:trPr>
          <w:cantSplit/>
        </w:trPr>
        <w:tc>
          <w:tcPr>
            <w:tcW w:type="dxa" w:w="1218"/>
            <w:vAlign w:val="center"/>
          </w:tcPr>
          <w:p>
            <w:r>
              <w:rPr>
                <w:sz w:val="16"/>
              </w:rPr>
              <w:t>READ–APC</w:t>
            </w:r>
          </w:p>
        </w:tc>
        <w:tc>
          <w:tcPr>
            <w:tcW w:type="dxa" w:w="1218"/>
            <w:vAlign w:val="center"/>
          </w:tcPr>
          <w:p>
            <w:r>
              <w:rPr>
                <w:sz w:val="16"/>
              </w:rPr>
              <w:t>1</w:t>
            </w:r>
          </w:p>
        </w:tc>
        <w:tc>
          <w:tcPr>
            <w:tcW w:type="dxa" w:w="1218"/>
            <w:vAlign w:val="center"/>
          </w:tcPr>
          <w:p>
            <w:r>
              <w:rPr>
                <w:sz w:val="16"/>
              </w:rPr>
              <w:t>5</w:t>
            </w:r>
          </w:p>
        </w:tc>
        <w:tc>
          <w:tcPr>
            <w:tcW w:type="dxa" w:w="1218"/>
            <w:vAlign w:val="center"/>
          </w:tcPr>
          <w:p>
            <w:r>
              <w:rPr>
                <w:sz w:val="16"/>
              </w:rPr>
              <w:t>3</w:t>
            </w:r>
          </w:p>
        </w:tc>
        <w:tc>
          <w:tcPr>
            <w:tcW w:type="dxa" w:w="1218"/>
            <w:vAlign w:val="center"/>
          </w:tcPr>
          <w:p>
            <w:r>
              <w:rPr>
                <w:sz w:val="16"/>
              </w:rPr>
              <w:t>4/1</w:t>
            </w:r>
          </w:p>
        </w:tc>
        <w:tc>
          <w:tcPr>
            <w:tcW w:type="dxa" w:w="1218"/>
            <w:vAlign w:val="center"/>
          </w:tcPr>
          <w:p>
            <w:r>
              <w:rPr>
                <w:sz w:val="16"/>
              </w:rPr>
              <w:t>130</w:t>
            </w:r>
          </w:p>
        </w:tc>
        <w:tc>
          <w:tcPr>
            <w:tcW w:type="dxa" w:w="1218"/>
            <w:vAlign w:val="center"/>
          </w:tcPr>
          <w:p>
            <w:r>
              <w:rPr>
                <w:sz w:val="16"/>
              </w:rPr>
              <w:t>10</w:t>
            </w:r>
          </w:p>
        </w:tc>
        <w:tc>
          <w:tcPr>
            <w:tcW w:type="dxa" w:w="1218"/>
            <w:vAlign w:val="center"/>
          </w:tcPr>
          <w:p>
            <w:r>
              <w:rPr>
                <w:sz w:val="16"/>
              </w:rPr>
              <w:t>61/69</w:t>
            </w:r>
          </w:p>
        </w:tc>
      </w:tr>
      <w:tr>
        <w:trPr>
          <w:cantSplit/>
        </w:trPr>
        <w:tc>
          <w:tcPr>
            <w:tcW w:type="dxa" w:w="1218"/>
            <w:vAlign w:val="center"/>
          </w:tcPr>
          <w:p>
            <w:r>
              <w:rPr>
                <w:sz w:val="16"/>
              </w:rPr>
              <w:t>READ–APC</w:t>
            </w:r>
          </w:p>
        </w:tc>
        <w:tc>
          <w:tcPr>
            <w:tcW w:type="dxa" w:w="1218"/>
            <w:vAlign w:val="center"/>
          </w:tcPr>
          <w:p>
            <w:r>
              <w:rPr>
                <w:sz w:val="16"/>
              </w:rPr>
              <w:t>2</w:t>
            </w:r>
          </w:p>
        </w:tc>
        <w:tc>
          <w:tcPr>
            <w:tcW w:type="dxa" w:w="1218"/>
            <w:vAlign w:val="center"/>
          </w:tcPr>
          <w:p>
            <w:r>
              <w:rPr>
                <w:sz w:val="16"/>
              </w:rPr>
              <w:t>10</w:t>
            </w:r>
          </w:p>
        </w:tc>
        <w:tc>
          <w:tcPr>
            <w:tcW w:type="dxa" w:w="1218"/>
            <w:vAlign w:val="center"/>
          </w:tcPr>
          <w:p>
            <w:r>
              <w:rPr>
                <w:sz w:val="16"/>
              </w:rPr>
              <w:t>3</w:t>
            </w:r>
          </w:p>
        </w:tc>
        <w:tc>
          <w:tcPr>
            <w:tcW w:type="dxa" w:w="1218"/>
            <w:vAlign w:val="center"/>
          </w:tcPr>
          <w:p>
            <w:r>
              <w:rPr>
                <w:sz w:val="16"/>
              </w:rPr>
              <w:t>9/1</w:t>
            </w:r>
          </w:p>
        </w:tc>
        <w:tc>
          <w:tcPr>
            <w:tcW w:type="dxa" w:w="1218"/>
            <w:vAlign w:val="center"/>
          </w:tcPr>
          <w:p>
            <w:r>
              <w:rPr>
                <w:sz w:val="16"/>
              </w:rPr>
              <w:t>125</w:t>
            </w:r>
          </w:p>
        </w:tc>
        <w:tc>
          <w:tcPr>
            <w:tcW w:type="dxa" w:w="1218"/>
            <w:vAlign w:val="center"/>
          </w:tcPr>
          <w:p>
            <w:r>
              <w:rPr>
                <w:sz w:val="16"/>
              </w:rPr>
              <w:t>10</w:t>
            </w:r>
          </w:p>
        </w:tc>
        <w:tc>
          <w:tcPr>
            <w:tcW w:type="dxa" w:w="1218"/>
            <w:vAlign w:val="center"/>
          </w:tcPr>
          <w:p>
            <w:r>
              <w:rPr>
                <w:sz w:val="16"/>
              </w:rPr>
              <w:t>56/69</w:t>
            </w:r>
          </w:p>
        </w:tc>
      </w:tr>
      <w:tr>
        <w:trPr>
          <w:cantSplit/>
        </w:trPr>
        <w:tc>
          <w:tcPr>
            <w:tcW w:type="dxa" w:w="1218"/>
            <w:vAlign w:val="center"/>
          </w:tcPr>
          <w:p>
            <w:r>
              <w:rPr>
                <w:sz w:val="16"/>
              </w:rPr>
              <w:t>READ–APC</w:t>
            </w:r>
          </w:p>
        </w:tc>
        <w:tc>
          <w:tcPr>
            <w:tcW w:type="dxa" w:w="1218"/>
            <w:vAlign w:val="center"/>
          </w:tcPr>
          <w:p>
            <w:r>
              <w:rPr>
                <w:sz w:val="16"/>
              </w:rPr>
              <w:t>3</w:t>
            </w:r>
          </w:p>
        </w:tc>
        <w:tc>
          <w:tcPr>
            <w:tcW w:type="dxa" w:w="1218"/>
            <w:vAlign w:val="center"/>
          </w:tcPr>
          <w:p>
            <w:r>
              <w:rPr>
                <w:sz w:val="16"/>
              </w:rPr>
              <w:t>30</w:t>
            </w:r>
          </w:p>
        </w:tc>
        <w:tc>
          <w:tcPr>
            <w:tcW w:type="dxa" w:w="1218"/>
            <w:vAlign w:val="center"/>
          </w:tcPr>
          <w:p>
            <w:r>
              <w:rPr>
                <w:sz w:val="16"/>
              </w:rPr>
              <w:t>3</w:t>
            </w:r>
          </w:p>
        </w:tc>
        <w:tc>
          <w:tcPr>
            <w:tcW w:type="dxa" w:w="1218"/>
            <w:vAlign w:val="center"/>
          </w:tcPr>
          <w:p>
            <w:r>
              <w:rPr>
                <w:sz w:val="16"/>
              </w:rPr>
              <w:t>25/5</w:t>
            </w:r>
          </w:p>
        </w:tc>
        <w:tc>
          <w:tcPr>
            <w:tcW w:type="dxa" w:w="1218"/>
            <w:vAlign w:val="center"/>
          </w:tcPr>
          <w:p>
            <w:r>
              <w:rPr>
                <w:sz w:val="16"/>
              </w:rPr>
              <w:t>105</w:t>
            </w:r>
          </w:p>
        </w:tc>
        <w:tc>
          <w:tcPr>
            <w:tcW w:type="dxa" w:w="1218"/>
            <w:vAlign w:val="center"/>
          </w:tcPr>
          <w:p>
            <w:r>
              <w:rPr>
                <w:sz w:val="16"/>
              </w:rPr>
              <w:t>10</w:t>
            </w:r>
          </w:p>
        </w:tc>
        <w:tc>
          <w:tcPr>
            <w:tcW w:type="dxa" w:w="1218"/>
            <w:vAlign w:val="center"/>
          </w:tcPr>
          <w:p>
            <w:r>
              <w:rPr>
                <w:sz w:val="16"/>
              </w:rPr>
              <w:t>40/65</w:t>
            </w:r>
          </w:p>
        </w:tc>
      </w:tr>
      <w:tr>
        <w:trPr>
          <w:cantSplit/>
        </w:trPr>
        <w:tc>
          <w:tcPr>
            <w:tcW w:type="dxa" w:w="1218"/>
            <w:vAlign w:val="center"/>
          </w:tcPr>
          <w:p>
            <w:r>
              <w:rPr>
                <w:sz w:val="16"/>
              </w:rPr>
              <w:t>READ–APC</w:t>
            </w:r>
          </w:p>
        </w:tc>
        <w:tc>
          <w:tcPr>
            <w:tcW w:type="dxa" w:w="1218"/>
            <w:vAlign w:val="center"/>
          </w:tcPr>
          <w:p>
            <w:r>
              <w:rPr>
                <w:sz w:val="16"/>
              </w:rPr>
              <w:t>4</w:t>
            </w:r>
          </w:p>
        </w:tc>
        <w:tc>
          <w:tcPr>
            <w:tcW w:type="dxa" w:w="1218"/>
            <w:vAlign w:val="center"/>
          </w:tcPr>
          <w:p>
            <w:r>
              <w:rPr>
                <w:sz w:val="16"/>
              </w:rPr>
              <w:t>25</w:t>
            </w:r>
          </w:p>
        </w:tc>
        <w:tc>
          <w:tcPr>
            <w:tcW w:type="dxa" w:w="1218"/>
            <w:vAlign w:val="center"/>
          </w:tcPr>
          <w:p>
            <w:r>
              <w:rPr>
                <w:sz w:val="16"/>
              </w:rPr>
              <w:t>2</w:t>
            </w:r>
          </w:p>
        </w:tc>
        <w:tc>
          <w:tcPr>
            <w:tcW w:type="dxa" w:w="1218"/>
            <w:vAlign w:val="center"/>
          </w:tcPr>
          <w:p>
            <w:r>
              <w:rPr>
                <w:sz w:val="16"/>
              </w:rPr>
              <w:t>15/10</w:t>
            </w:r>
          </w:p>
        </w:tc>
        <w:tc>
          <w:tcPr>
            <w:tcW w:type="dxa" w:w="1218"/>
            <w:vAlign w:val="center"/>
          </w:tcPr>
          <w:p>
            <w:r>
              <w:rPr>
                <w:sz w:val="16"/>
              </w:rPr>
              <w:t>110</w:t>
            </w:r>
          </w:p>
        </w:tc>
        <w:tc>
          <w:tcPr>
            <w:tcW w:type="dxa" w:w="1218"/>
            <w:vAlign w:val="center"/>
          </w:tcPr>
          <w:p>
            <w:r>
              <w:rPr>
                <w:sz w:val="16"/>
              </w:rPr>
              <w:t>11</w:t>
            </w:r>
          </w:p>
        </w:tc>
        <w:tc>
          <w:tcPr>
            <w:tcW w:type="dxa" w:w="1218"/>
            <w:vAlign w:val="center"/>
          </w:tcPr>
          <w:p>
            <w:r>
              <w:rPr>
                <w:sz w:val="16"/>
              </w:rPr>
              <w:t>50/60</w:t>
            </w:r>
          </w:p>
        </w:tc>
      </w:tr>
      <w:tr>
        <w:trPr>
          <w:cantSplit/>
        </w:trPr>
        <w:tc>
          <w:tcPr>
            <w:tcW w:type="dxa" w:w="1218"/>
            <w:vAlign w:val="center"/>
          </w:tcPr>
          <w:p>
            <w:r>
              <w:rPr>
                <w:sz w:val="16"/>
              </w:rPr>
              <w:t>READ–APC</w:t>
            </w:r>
          </w:p>
        </w:tc>
        <w:tc>
          <w:tcPr>
            <w:tcW w:type="dxa" w:w="1218"/>
            <w:vAlign w:val="center"/>
          </w:tcPr>
          <w:p>
            <w:r>
              <w:rPr>
                <w:sz w:val="16"/>
              </w:rPr>
              <w:t>5</w:t>
            </w:r>
          </w:p>
        </w:tc>
        <w:tc>
          <w:tcPr>
            <w:tcW w:type="dxa" w:w="1218"/>
            <w:vAlign w:val="center"/>
          </w:tcPr>
          <w:p>
            <w:r>
              <w:rPr>
                <w:sz w:val="16"/>
              </w:rPr>
              <w:t>65</w:t>
            </w:r>
          </w:p>
        </w:tc>
        <w:tc>
          <w:tcPr>
            <w:tcW w:type="dxa" w:w="1218"/>
            <w:vAlign w:val="center"/>
          </w:tcPr>
          <w:p>
            <w:r>
              <w:rPr>
                <w:sz w:val="16"/>
              </w:rPr>
              <w:t>2</w:t>
            </w:r>
          </w:p>
        </w:tc>
        <w:tc>
          <w:tcPr>
            <w:tcW w:type="dxa" w:w="1218"/>
            <w:vAlign w:val="center"/>
          </w:tcPr>
          <w:p>
            <w:r>
              <w:rPr>
                <w:sz w:val="16"/>
              </w:rPr>
              <w:t>12/53</w:t>
            </w:r>
          </w:p>
        </w:tc>
        <w:tc>
          <w:tcPr>
            <w:tcW w:type="dxa" w:w="1218"/>
            <w:vAlign w:val="center"/>
          </w:tcPr>
          <w:p>
            <w:r>
              <w:rPr>
                <w:sz w:val="16"/>
              </w:rPr>
              <w:t>70</w:t>
            </w:r>
          </w:p>
        </w:tc>
        <w:tc>
          <w:tcPr>
            <w:tcW w:type="dxa" w:w="1218"/>
            <w:vAlign w:val="center"/>
          </w:tcPr>
          <w:p>
            <w:r>
              <w:rPr>
                <w:sz w:val="16"/>
              </w:rPr>
              <w:t>11</w:t>
            </w:r>
          </w:p>
        </w:tc>
        <w:tc>
          <w:tcPr>
            <w:tcW w:type="dxa" w:w="1218"/>
            <w:vAlign w:val="center"/>
          </w:tcPr>
          <w:p>
            <w:r>
              <w:rPr>
                <w:sz w:val="16"/>
              </w:rPr>
              <w:t>53/17</w:t>
            </w:r>
          </w:p>
        </w:tc>
      </w:tr>
    </w:tbl>
    <w:p/>
    <w:p>
      <w:pPr>
        <w:pStyle w:val="Heading1"/>
      </w:pPr>
      <w:r>
        <w:t>Table S10d. Within-cancer prediction of TCGA tissue-source site from TITAN representations</w:t>
      </w:r>
    </w:p>
    <w:p>
      <w:r>
        <w:t>Sites with fewer than 10 patients were excluded only from this dedicated confounding analysis. Macro balanced accuracy is the mean per-site recall; its chance reference is 1/k for k analysed sites. Good site prediction demonstrates that the representation carries submitting-site information, but tissue-source site is not a complete scanner, laboratory or staining-batch identifier.</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Eligible</w:t>
            </w:r>
          </w:p>
        </w:tc>
        <w:tc>
          <w:tcPr>
            <w:tcW w:type="dxa" w:w="1218"/>
          </w:tcPr>
          <w:p>
            <w:r>
              <w:rPr>
                <w:b/>
                <w:sz w:val="17"/>
              </w:rPr>
              <w:t>Analysed patients</w:t>
            </w:r>
          </w:p>
        </w:tc>
        <w:tc>
          <w:tcPr>
            <w:tcW w:type="dxa" w:w="1218"/>
          </w:tcPr>
          <w:p>
            <w:r>
              <w:rPr>
                <w:b/>
                <w:sz w:val="17"/>
              </w:rPr>
              <w:t>Analysed sites</w:t>
            </w:r>
          </w:p>
        </w:tc>
        <w:tc>
          <w:tcPr>
            <w:tcW w:type="dxa" w:w="1218"/>
          </w:tcPr>
          <w:p>
            <w:r>
              <w:rPr>
                <w:b/>
                <w:sz w:val="17"/>
              </w:rPr>
              <w:t>Macro BA, mean (SD)</w:t>
            </w:r>
          </w:p>
        </w:tc>
        <w:tc>
          <w:tcPr>
            <w:tcW w:type="dxa" w:w="1218"/>
          </w:tcPr>
          <w:p>
            <w:r>
              <w:rPr>
                <w:b/>
                <w:sz w:val="17"/>
              </w:rPr>
              <w:t>Chance 1/k</w:t>
            </w:r>
          </w:p>
        </w:tc>
        <w:tc>
          <w:tcPr>
            <w:tcW w:type="dxa" w:w="1218"/>
          </w:tcPr>
          <w:p>
            <w:r>
              <w:rPr>
                <w:b/>
                <w:sz w:val="17"/>
              </w:rPr>
              <w:t>Chance-normalised BA</w:t>
            </w:r>
          </w:p>
        </w:tc>
        <w:tc>
          <w:tcPr>
            <w:tcW w:type="dxa" w:w="1218"/>
          </w:tcPr>
          <w:p>
            <w:r>
              <w:rPr>
                <w:b/>
                <w:sz w:val="17"/>
              </w:rPr>
              <w:t>Reason if ineligible</w:t>
            </w:r>
          </w:p>
        </w:tc>
      </w:tr>
      <w:tr>
        <w:trPr>
          <w:cantSplit/>
        </w:trPr>
        <w:tc>
          <w:tcPr>
            <w:tcW w:type="dxa" w:w="1218"/>
            <w:vAlign w:val="center"/>
          </w:tcPr>
          <w:p>
            <w:r>
              <w:rPr>
                <w:sz w:val="16"/>
              </w:rPr>
              <w:t>ACC</w:t>
            </w:r>
          </w:p>
        </w:tc>
        <w:tc>
          <w:tcPr>
            <w:tcW w:type="dxa" w:w="1218"/>
            <w:vAlign w:val="center"/>
          </w:tcPr>
          <w:p>
            <w:r>
              <w:rPr>
                <w:sz w:val="16"/>
              </w:rPr>
              <w:t>FALSE</w:t>
            </w:r>
          </w:p>
        </w:tc>
        <w:tc>
          <w:tcPr>
            <w:tcW w:type="dxa" w:w="1218"/>
            <w:vAlign w:val="center"/>
          </w:tcPr>
          <w:p>
            <w:r>
              <w:rPr>
                <w:sz w:val="16"/>
              </w:rPr>
              <w:t>48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BLCA</w:t>
            </w:r>
          </w:p>
        </w:tc>
        <w:tc>
          <w:tcPr>
            <w:tcW w:type="dxa" w:w="1218"/>
            <w:vAlign w:val="center"/>
          </w:tcPr>
          <w:p>
            <w:r>
              <w:rPr>
                <w:sz w:val="16"/>
              </w:rPr>
              <w:t>TRUE</w:t>
            </w:r>
          </w:p>
        </w:tc>
        <w:tc>
          <w:tcPr>
            <w:tcW w:type="dxa" w:w="1218"/>
            <w:vAlign w:val="center"/>
          </w:tcPr>
          <w:p>
            <w:r>
              <w:rPr>
                <w:sz w:val="16"/>
              </w:rPr>
              <w:t>324</w:t>
            </w:r>
          </w:p>
        </w:tc>
        <w:tc>
          <w:tcPr>
            <w:tcW w:type="dxa" w:w="1218"/>
            <w:vAlign w:val="center"/>
          </w:tcPr>
          <w:p>
            <w:r>
              <w:rPr>
                <w:sz w:val="16"/>
              </w:rPr>
              <w:t>14</w:t>
            </w:r>
          </w:p>
        </w:tc>
        <w:tc>
          <w:tcPr>
            <w:tcW w:type="dxa" w:w="1218"/>
            <w:vAlign w:val="center"/>
          </w:tcPr>
          <w:p>
            <w:r>
              <w:rPr>
                <w:sz w:val="16"/>
              </w:rPr>
              <w:t>0.425 (0.015)</w:t>
            </w:r>
          </w:p>
        </w:tc>
        <w:tc>
          <w:tcPr>
            <w:tcW w:type="dxa" w:w="1218"/>
            <w:vAlign w:val="center"/>
          </w:tcPr>
          <w:p>
            <w:r>
              <w:rPr>
                <w:sz w:val="16"/>
              </w:rPr>
              <w:t>0.071</w:t>
            </w:r>
          </w:p>
        </w:tc>
        <w:tc>
          <w:tcPr>
            <w:tcW w:type="dxa" w:w="1218"/>
            <w:vAlign w:val="center"/>
          </w:tcPr>
          <w:p>
            <w:r>
              <w:rPr>
                <w:sz w:val="16"/>
              </w:rPr>
              <w:t>0.381</w:t>
            </w:r>
          </w:p>
        </w:tc>
        <w:tc>
          <w:tcPr>
            <w:tcW w:type="dxa" w:w="1218"/>
            <w:vAlign w:val="center"/>
          </w:tcPr>
          <w:p>
            <w:r>
              <w:rPr>
                <w:sz w:val="16"/>
              </w:rPr>
            </w:r>
          </w:p>
        </w:tc>
      </w:tr>
      <w:tr>
        <w:trPr>
          <w:cantSplit/>
        </w:trPr>
        <w:tc>
          <w:tcPr>
            <w:tcW w:type="dxa" w:w="1218"/>
            <w:vAlign w:val="center"/>
          </w:tcPr>
          <w:p>
            <w:r>
              <w:rPr>
                <w:sz w:val="16"/>
              </w:rPr>
              <w:t>BRCA</w:t>
            </w:r>
          </w:p>
        </w:tc>
        <w:tc>
          <w:tcPr>
            <w:tcW w:type="dxa" w:w="1218"/>
            <w:vAlign w:val="center"/>
          </w:tcPr>
          <w:p>
            <w:r>
              <w:rPr>
                <w:sz w:val="16"/>
              </w:rPr>
              <w:t>TRUE</w:t>
            </w:r>
          </w:p>
        </w:tc>
        <w:tc>
          <w:tcPr>
            <w:tcW w:type="dxa" w:w="1218"/>
            <w:vAlign w:val="center"/>
          </w:tcPr>
          <w:p>
            <w:r>
              <w:rPr>
                <w:sz w:val="16"/>
              </w:rPr>
              <w:t>1010</w:t>
            </w:r>
          </w:p>
        </w:tc>
        <w:tc>
          <w:tcPr>
            <w:tcW w:type="dxa" w:w="1218"/>
            <w:vAlign w:val="center"/>
          </w:tcPr>
          <w:p>
            <w:r>
              <w:rPr>
                <w:sz w:val="16"/>
              </w:rPr>
              <w:t>19</w:t>
            </w:r>
          </w:p>
        </w:tc>
        <w:tc>
          <w:tcPr>
            <w:tcW w:type="dxa" w:w="1218"/>
            <w:vAlign w:val="center"/>
          </w:tcPr>
          <w:p>
            <w:r>
              <w:rPr>
                <w:sz w:val="16"/>
              </w:rPr>
              <w:t>0.460 (0.004)</w:t>
            </w:r>
          </w:p>
        </w:tc>
        <w:tc>
          <w:tcPr>
            <w:tcW w:type="dxa" w:w="1218"/>
            <w:vAlign w:val="center"/>
          </w:tcPr>
          <w:p>
            <w:r>
              <w:rPr>
                <w:sz w:val="16"/>
              </w:rPr>
              <w:t>0.053</w:t>
            </w:r>
          </w:p>
        </w:tc>
        <w:tc>
          <w:tcPr>
            <w:tcW w:type="dxa" w:w="1218"/>
            <w:vAlign w:val="center"/>
          </w:tcPr>
          <w:p>
            <w:r>
              <w:rPr>
                <w:sz w:val="16"/>
              </w:rPr>
              <w:t>0.430</w:t>
            </w:r>
          </w:p>
        </w:tc>
        <w:tc>
          <w:tcPr>
            <w:tcW w:type="dxa" w:w="1218"/>
            <w:vAlign w:val="center"/>
          </w:tcPr>
          <w:p>
            <w:r>
              <w:rPr>
                <w:sz w:val="16"/>
              </w:rPr>
            </w:r>
          </w:p>
        </w:tc>
      </w:tr>
      <w:tr>
        <w:trPr>
          <w:cantSplit/>
        </w:trPr>
        <w:tc>
          <w:tcPr>
            <w:tcW w:type="dxa" w:w="1218"/>
            <w:vAlign w:val="center"/>
          </w:tcPr>
          <w:p>
            <w:r>
              <w:rPr>
                <w:sz w:val="16"/>
              </w:rPr>
              <w:t>CESC</w:t>
            </w:r>
          </w:p>
        </w:tc>
        <w:tc>
          <w:tcPr>
            <w:tcW w:type="dxa" w:w="1218"/>
            <w:vAlign w:val="center"/>
          </w:tcPr>
          <w:p>
            <w:r>
              <w:rPr>
                <w:sz w:val="16"/>
              </w:rPr>
              <w:t>TRUE</w:t>
            </w:r>
          </w:p>
        </w:tc>
        <w:tc>
          <w:tcPr>
            <w:tcW w:type="dxa" w:w="1218"/>
            <w:vAlign w:val="center"/>
          </w:tcPr>
          <w:p>
            <w:r>
              <w:rPr>
                <w:sz w:val="16"/>
              </w:rPr>
              <w:t>194</w:t>
            </w:r>
          </w:p>
        </w:tc>
        <w:tc>
          <w:tcPr>
            <w:tcW w:type="dxa" w:w="1218"/>
            <w:vAlign w:val="center"/>
          </w:tcPr>
          <w:p>
            <w:r>
              <w:rPr>
                <w:sz w:val="16"/>
              </w:rPr>
              <w:t>7</w:t>
            </w:r>
          </w:p>
        </w:tc>
        <w:tc>
          <w:tcPr>
            <w:tcW w:type="dxa" w:w="1218"/>
            <w:vAlign w:val="center"/>
          </w:tcPr>
          <w:p>
            <w:r>
              <w:rPr>
                <w:sz w:val="16"/>
              </w:rPr>
              <w:t>0.632 (0.026)</w:t>
            </w:r>
          </w:p>
        </w:tc>
        <w:tc>
          <w:tcPr>
            <w:tcW w:type="dxa" w:w="1218"/>
            <w:vAlign w:val="center"/>
          </w:tcPr>
          <w:p>
            <w:r>
              <w:rPr>
                <w:sz w:val="16"/>
              </w:rPr>
              <w:t>0.143</w:t>
            </w:r>
          </w:p>
        </w:tc>
        <w:tc>
          <w:tcPr>
            <w:tcW w:type="dxa" w:w="1218"/>
            <w:vAlign w:val="center"/>
          </w:tcPr>
          <w:p>
            <w:r>
              <w:rPr>
                <w:sz w:val="16"/>
              </w:rPr>
              <w:t>0.571</w:t>
            </w:r>
          </w:p>
        </w:tc>
        <w:tc>
          <w:tcPr>
            <w:tcW w:type="dxa" w:w="1218"/>
            <w:vAlign w:val="center"/>
          </w:tcPr>
          <w:p>
            <w:r>
              <w:rPr>
                <w:sz w:val="16"/>
              </w:rPr>
            </w:r>
          </w:p>
        </w:tc>
      </w:tr>
      <w:tr>
        <w:trPr>
          <w:cantSplit/>
        </w:trPr>
        <w:tc>
          <w:tcPr>
            <w:tcW w:type="dxa" w:w="1218"/>
            <w:vAlign w:val="center"/>
          </w:tcPr>
          <w:p>
            <w:r>
              <w:rPr>
                <w:sz w:val="16"/>
              </w:rPr>
              <w:t>CHOL</w:t>
            </w:r>
          </w:p>
        </w:tc>
        <w:tc>
          <w:tcPr>
            <w:tcW w:type="dxa" w:w="1218"/>
            <w:vAlign w:val="center"/>
          </w:tcPr>
          <w:p>
            <w:r>
              <w:rPr>
                <w:sz w:val="16"/>
              </w:rPr>
              <w:t>FALSE</w:t>
            </w:r>
          </w:p>
        </w:tc>
        <w:tc>
          <w:tcPr>
            <w:tcW w:type="dxa" w:w="1218"/>
            <w:vAlign w:val="center"/>
          </w:tcPr>
          <w:p>
            <w:r>
              <w:rPr>
                <w:sz w:val="16"/>
              </w:rPr>
              <w:t>18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COAD</w:t>
            </w:r>
          </w:p>
        </w:tc>
        <w:tc>
          <w:tcPr>
            <w:tcW w:type="dxa" w:w="1218"/>
            <w:vAlign w:val="center"/>
          </w:tcPr>
          <w:p>
            <w:r>
              <w:rPr>
                <w:sz w:val="16"/>
              </w:rPr>
              <w:t>TRUE</w:t>
            </w:r>
          </w:p>
        </w:tc>
        <w:tc>
          <w:tcPr>
            <w:tcW w:type="dxa" w:w="1218"/>
            <w:vAlign w:val="center"/>
          </w:tcPr>
          <w:p>
            <w:r>
              <w:rPr>
                <w:sz w:val="16"/>
              </w:rPr>
              <w:t>404</w:t>
            </w:r>
          </w:p>
        </w:tc>
        <w:tc>
          <w:tcPr>
            <w:tcW w:type="dxa" w:w="1218"/>
            <w:vAlign w:val="center"/>
          </w:tcPr>
          <w:p>
            <w:r>
              <w:rPr>
                <w:sz w:val="16"/>
              </w:rPr>
              <w:t>12</w:t>
            </w:r>
          </w:p>
        </w:tc>
        <w:tc>
          <w:tcPr>
            <w:tcW w:type="dxa" w:w="1218"/>
            <w:vAlign w:val="center"/>
          </w:tcPr>
          <w:p>
            <w:r>
              <w:rPr>
                <w:sz w:val="16"/>
              </w:rPr>
              <w:t>0.598 (0.022)</w:t>
            </w:r>
          </w:p>
        </w:tc>
        <w:tc>
          <w:tcPr>
            <w:tcW w:type="dxa" w:w="1218"/>
            <w:vAlign w:val="center"/>
          </w:tcPr>
          <w:p>
            <w:r>
              <w:rPr>
                <w:sz w:val="16"/>
              </w:rPr>
              <w:t>0.083</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DLBC</w:t>
            </w:r>
          </w:p>
        </w:tc>
        <w:tc>
          <w:tcPr>
            <w:tcW w:type="dxa" w:w="1218"/>
            <w:vAlign w:val="center"/>
          </w:tcPr>
          <w:p>
            <w:r>
              <w:rPr>
                <w:sz w:val="16"/>
              </w:rPr>
              <w:t>FALSE</w:t>
            </w:r>
          </w:p>
        </w:tc>
        <w:tc>
          <w:tcPr>
            <w:tcW w:type="dxa" w:w="1218"/>
            <w:vAlign w:val="center"/>
          </w:tcPr>
          <w:p>
            <w:r>
              <w:rPr>
                <w:sz w:val="16"/>
              </w:rPr>
              <w:t>10</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ESCA</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7</w:t>
            </w:r>
          </w:p>
        </w:tc>
        <w:tc>
          <w:tcPr>
            <w:tcW w:type="dxa" w:w="1218"/>
            <w:vAlign w:val="center"/>
          </w:tcPr>
          <w:p>
            <w:r>
              <w:rPr>
                <w:sz w:val="16"/>
              </w:rPr>
              <w:t>0.861 (0.011)</w:t>
            </w:r>
          </w:p>
        </w:tc>
        <w:tc>
          <w:tcPr>
            <w:tcW w:type="dxa" w:w="1218"/>
            <w:vAlign w:val="center"/>
          </w:tcPr>
          <w:p>
            <w:r>
              <w:rPr>
                <w:sz w:val="16"/>
              </w:rPr>
              <w:t>0.143</w:t>
            </w:r>
          </w:p>
        </w:tc>
        <w:tc>
          <w:tcPr>
            <w:tcW w:type="dxa" w:w="1218"/>
            <w:vAlign w:val="center"/>
          </w:tcPr>
          <w:p>
            <w:r>
              <w:rPr>
                <w:sz w:val="16"/>
              </w:rPr>
              <w:t>0.837</w:t>
            </w:r>
          </w:p>
        </w:tc>
        <w:tc>
          <w:tcPr>
            <w:tcW w:type="dxa" w:w="1218"/>
            <w:vAlign w:val="center"/>
          </w:tcPr>
          <w:p>
            <w:r>
              <w:rPr>
                <w:sz w:val="16"/>
              </w:rPr>
            </w:r>
          </w:p>
        </w:tc>
      </w:tr>
      <w:tr>
        <w:trPr>
          <w:cantSplit/>
        </w:trPr>
        <w:tc>
          <w:tcPr>
            <w:tcW w:type="dxa" w:w="1218"/>
            <w:vAlign w:val="center"/>
          </w:tcPr>
          <w:p>
            <w:r>
              <w:rPr>
                <w:sz w:val="16"/>
              </w:rPr>
              <w:t>GBM</w:t>
            </w:r>
          </w:p>
        </w:tc>
        <w:tc>
          <w:tcPr>
            <w:tcW w:type="dxa" w:w="1218"/>
            <w:vAlign w:val="center"/>
          </w:tcPr>
          <w:p>
            <w:r>
              <w:rPr>
                <w:sz w:val="16"/>
              </w:rPr>
              <w:t>TRUE</w:t>
            </w:r>
          </w:p>
        </w:tc>
        <w:tc>
          <w:tcPr>
            <w:tcW w:type="dxa" w:w="1218"/>
            <w:vAlign w:val="center"/>
          </w:tcPr>
          <w:p>
            <w:r>
              <w:rPr>
                <w:sz w:val="16"/>
              </w:rPr>
              <w:t>351</w:t>
            </w:r>
          </w:p>
        </w:tc>
        <w:tc>
          <w:tcPr>
            <w:tcW w:type="dxa" w:w="1218"/>
            <w:vAlign w:val="center"/>
          </w:tcPr>
          <w:p>
            <w:r>
              <w:rPr>
                <w:sz w:val="16"/>
              </w:rPr>
              <w:t>8</w:t>
            </w:r>
          </w:p>
        </w:tc>
        <w:tc>
          <w:tcPr>
            <w:tcW w:type="dxa" w:w="1218"/>
            <w:vAlign w:val="center"/>
          </w:tcPr>
          <w:p>
            <w:r>
              <w:rPr>
                <w:sz w:val="16"/>
              </w:rPr>
              <w:t>0.667 (0.022)</w:t>
            </w:r>
          </w:p>
        </w:tc>
        <w:tc>
          <w:tcPr>
            <w:tcW w:type="dxa" w:w="1218"/>
            <w:vAlign w:val="center"/>
          </w:tcPr>
          <w:p>
            <w:r>
              <w:rPr>
                <w:sz w:val="16"/>
              </w:rPr>
              <w:t>0.125</w:t>
            </w:r>
          </w:p>
        </w:tc>
        <w:tc>
          <w:tcPr>
            <w:tcW w:type="dxa" w:w="1218"/>
            <w:vAlign w:val="center"/>
          </w:tcPr>
          <w:p>
            <w:r>
              <w:rPr>
                <w:sz w:val="16"/>
              </w:rPr>
              <w:t>0.619</w:t>
            </w:r>
          </w:p>
        </w:tc>
        <w:tc>
          <w:tcPr>
            <w:tcW w:type="dxa" w:w="1218"/>
            <w:vAlign w:val="center"/>
          </w:tcPr>
          <w:p>
            <w:r>
              <w:rPr>
                <w:sz w:val="16"/>
              </w:rPr>
            </w:r>
          </w:p>
        </w:tc>
      </w:tr>
      <w:tr>
        <w:trPr>
          <w:cantSplit/>
        </w:trPr>
        <w:tc>
          <w:tcPr>
            <w:tcW w:type="dxa" w:w="1218"/>
            <w:vAlign w:val="center"/>
          </w:tcPr>
          <w:p>
            <w:r>
              <w:rPr>
                <w:sz w:val="16"/>
              </w:rPr>
              <w:t>HNSC</w:t>
            </w:r>
          </w:p>
        </w:tc>
        <w:tc>
          <w:tcPr>
            <w:tcW w:type="dxa" w:w="1218"/>
            <w:vAlign w:val="center"/>
          </w:tcPr>
          <w:p>
            <w:r>
              <w:rPr>
                <w:sz w:val="16"/>
              </w:rPr>
              <w:t>TRUE</w:t>
            </w:r>
          </w:p>
        </w:tc>
        <w:tc>
          <w:tcPr>
            <w:tcW w:type="dxa" w:w="1218"/>
            <w:vAlign w:val="center"/>
          </w:tcPr>
          <w:p>
            <w:r>
              <w:rPr>
                <w:sz w:val="16"/>
              </w:rPr>
              <w:t>412</w:t>
            </w:r>
          </w:p>
        </w:tc>
        <w:tc>
          <w:tcPr>
            <w:tcW w:type="dxa" w:w="1218"/>
            <w:vAlign w:val="center"/>
          </w:tcPr>
          <w:p>
            <w:r>
              <w:rPr>
                <w:sz w:val="16"/>
              </w:rPr>
              <w:t>13</w:t>
            </w:r>
          </w:p>
        </w:tc>
        <w:tc>
          <w:tcPr>
            <w:tcW w:type="dxa" w:w="1218"/>
            <w:vAlign w:val="center"/>
          </w:tcPr>
          <w:p>
            <w:r>
              <w:rPr>
                <w:sz w:val="16"/>
              </w:rPr>
              <w:t>0.454 (0.013)</w:t>
            </w:r>
          </w:p>
        </w:tc>
        <w:tc>
          <w:tcPr>
            <w:tcW w:type="dxa" w:w="1218"/>
            <w:vAlign w:val="center"/>
          </w:tcPr>
          <w:p>
            <w:r>
              <w:rPr>
                <w:sz w:val="16"/>
              </w:rPr>
              <w:t>0.077</w:t>
            </w:r>
          </w:p>
        </w:tc>
        <w:tc>
          <w:tcPr>
            <w:tcW w:type="dxa" w:w="1218"/>
            <w:vAlign w:val="center"/>
          </w:tcPr>
          <w:p>
            <w:r>
              <w:rPr>
                <w:sz w:val="16"/>
              </w:rPr>
              <w:t>0.408</w:t>
            </w:r>
          </w:p>
        </w:tc>
        <w:tc>
          <w:tcPr>
            <w:tcW w:type="dxa" w:w="1218"/>
            <w:vAlign w:val="center"/>
          </w:tcPr>
          <w:p>
            <w:r>
              <w:rPr>
                <w:sz w:val="16"/>
              </w:rPr>
            </w:r>
          </w:p>
        </w:tc>
      </w:tr>
      <w:tr>
        <w:trPr>
          <w:cantSplit/>
        </w:trPr>
        <w:tc>
          <w:tcPr>
            <w:tcW w:type="dxa" w:w="1218"/>
            <w:vAlign w:val="center"/>
          </w:tcPr>
          <w:p>
            <w:r>
              <w:rPr>
                <w:sz w:val="16"/>
              </w:rPr>
              <w:t>KICH</w:t>
            </w:r>
          </w:p>
        </w:tc>
        <w:tc>
          <w:tcPr>
            <w:tcW w:type="dxa" w:w="1218"/>
            <w:vAlign w:val="center"/>
          </w:tcPr>
          <w:p>
            <w:r>
              <w:rPr>
                <w:sz w:val="16"/>
              </w:rPr>
              <w:t>TRUE</w:t>
            </w:r>
          </w:p>
        </w:tc>
        <w:tc>
          <w:tcPr>
            <w:tcW w:type="dxa" w:w="1218"/>
            <w:vAlign w:val="center"/>
          </w:tcPr>
          <w:p>
            <w:r>
              <w:rPr>
                <w:sz w:val="16"/>
              </w:rPr>
              <w:t>101</w:t>
            </w:r>
          </w:p>
        </w:tc>
        <w:tc>
          <w:tcPr>
            <w:tcW w:type="dxa" w:w="1218"/>
            <w:vAlign w:val="center"/>
          </w:tcPr>
          <w:p>
            <w:r>
              <w:rPr>
                <w:sz w:val="16"/>
              </w:rPr>
              <w:t>5</w:t>
            </w:r>
          </w:p>
        </w:tc>
        <w:tc>
          <w:tcPr>
            <w:tcW w:type="dxa" w:w="1218"/>
            <w:vAlign w:val="center"/>
          </w:tcPr>
          <w:p>
            <w:r>
              <w:rPr>
                <w:sz w:val="16"/>
              </w:rPr>
              <w:t>0.688 (0.037)</w:t>
            </w:r>
          </w:p>
        </w:tc>
        <w:tc>
          <w:tcPr>
            <w:tcW w:type="dxa" w:w="1218"/>
            <w:vAlign w:val="center"/>
          </w:tcPr>
          <w:p>
            <w:r>
              <w:rPr>
                <w:sz w:val="16"/>
              </w:rPr>
              <w:t>0.200</w:t>
            </w:r>
          </w:p>
        </w:tc>
        <w:tc>
          <w:tcPr>
            <w:tcW w:type="dxa" w:w="1218"/>
            <w:vAlign w:val="center"/>
          </w:tcPr>
          <w:p>
            <w:r>
              <w:rPr>
                <w:sz w:val="16"/>
              </w:rPr>
              <w:t>0.610</w:t>
            </w:r>
          </w:p>
        </w:tc>
        <w:tc>
          <w:tcPr>
            <w:tcW w:type="dxa" w:w="1218"/>
            <w:vAlign w:val="center"/>
          </w:tcPr>
          <w:p>
            <w:r>
              <w:rPr>
                <w:sz w:val="16"/>
              </w:rPr>
            </w:r>
          </w:p>
        </w:tc>
      </w:tr>
      <w:tr>
        <w:trPr>
          <w:cantSplit/>
        </w:trPr>
        <w:tc>
          <w:tcPr>
            <w:tcW w:type="dxa" w:w="1218"/>
            <w:vAlign w:val="center"/>
          </w:tcPr>
          <w:p>
            <w:r>
              <w:rPr>
                <w:sz w:val="16"/>
              </w:rPr>
              <w:t>KIRC</w:t>
            </w:r>
          </w:p>
        </w:tc>
        <w:tc>
          <w:tcPr>
            <w:tcW w:type="dxa" w:w="1218"/>
            <w:vAlign w:val="center"/>
          </w:tcPr>
          <w:p>
            <w:r>
              <w:rPr>
                <w:sz w:val="16"/>
              </w:rPr>
              <w:t>TRUE</w:t>
            </w:r>
          </w:p>
        </w:tc>
        <w:tc>
          <w:tcPr>
            <w:tcW w:type="dxa" w:w="1218"/>
            <w:vAlign w:val="center"/>
          </w:tcPr>
          <w:p>
            <w:r>
              <w:rPr>
                <w:sz w:val="16"/>
              </w:rPr>
              <w:t>488</w:t>
            </w:r>
          </w:p>
        </w:tc>
        <w:tc>
          <w:tcPr>
            <w:tcW w:type="dxa" w:w="1218"/>
            <w:vAlign w:val="center"/>
          </w:tcPr>
          <w:p>
            <w:r>
              <w:rPr>
                <w:sz w:val="16"/>
              </w:rPr>
              <w:t>9</w:t>
            </w:r>
          </w:p>
        </w:tc>
        <w:tc>
          <w:tcPr>
            <w:tcW w:type="dxa" w:w="1218"/>
            <w:vAlign w:val="center"/>
          </w:tcPr>
          <w:p>
            <w:r>
              <w:rPr>
                <w:sz w:val="16"/>
              </w:rPr>
              <w:t>0.609 (0.032)</w:t>
            </w:r>
          </w:p>
        </w:tc>
        <w:tc>
          <w:tcPr>
            <w:tcW w:type="dxa" w:w="1218"/>
            <w:vAlign w:val="center"/>
          </w:tcPr>
          <w:p>
            <w:r>
              <w:rPr>
                <w:sz w:val="16"/>
              </w:rPr>
              <w:t>0.111</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KIRP</w:t>
            </w:r>
          </w:p>
        </w:tc>
        <w:tc>
          <w:tcPr>
            <w:tcW w:type="dxa" w:w="1218"/>
            <w:vAlign w:val="center"/>
          </w:tcPr>
          <w:p>
            <w:r>
              <w:rPr>
                <w:sz w:val="16"/>
              </w:rPr>
              <w:t>TRUE</w:t>
            </w:r>
          </w:p>
        </w:tc>
        <w:tc>
          <w:tcPr>
            <w:tcW w:type="dxa" w:w="1218"/>
            <w:vAlign w:val="center"/>
          </w:tcPr>
          <w:p>
            <w:r>
              <w:rPr>
                <w:sz w:val="16"/>
              </w:rPr>
              <w:t>184</w:t>
            </w:r>
          </w:p>
        </w:tc>
        <w:tc>
          <w:tcPr>
            <w:tcW w:type="dxa" w:w="1218"/>
            <w:vAlign w:val="center"/>
          </w:tcPr>
          <w:p>
            <w:r>
              <w:rPr>
                <w:sz w:val="16"/>
              </w:rPr>
              <w:t>10</w:t>
            </w:r>
          </w:p>
        </w:tc>
        <w:tc>
          <w:tcPr>
            <w:tcW w:type="dxa" w:w="1218"/>
            <w:vAlign w:val="center"/>
          </w:tcPr>
          <w:p>
            <w:r>
              <w:rPr>
                <w:sz w:val="16"/>
              </w:rPr>
              <w:t>0.600 (0.032)</w:t>
            </w:r>
          </w:p>
        </w:tc>
        <w:tc>
          <w:tcPr>
            <w:tcW w:type="dxa" w:w="1218"/>
            <w:vAlign w:val="center"/>
          </w:tcPr>
          <w:p>
            <w:r>
              <w:rPr>
                <w:sz w:val="16"/>
              </w:rPr>
              <w:t>0.100</w:t>
            </w:r>
          </w:p>
        </w:tc>
        <w:tc>
          <w:tcPr>
            <w:tcW w:type="dxa" w:w="1218"/>
            <w:vAlign w:val="center"/>
          </w:tcPr>
          <w:p>
            <w:r>
              <w:rPr>
                <w:sz w:val="16"/>
              </w:rPr>
              <w:t>0.555</w:t>
            </w:r>
          </w:p>
        </w:tc>
        <w:tc>
          <w:tcPr>
            <w:tcW w:type="dxa" w:w="1218"/>
            <w:vAlign w:val="center"/>
          </w:tcPr>
          <w:p>
            <w:r>
              <w:rPr>
                <w:sz w:val="16"/>
              </w:rPr>
            </w:r>
          </w:p>
        </w:tc>
      </w:tr>
      <w:tr>
        <w:trPr>
          <w:cantSplit/>
        </w:trPr>
        <w:tc>
          <w:tcPr>
            <w:tcW w:type="dxa" w:w="1218"/>
            <w:vAlign w:val="center"/>
          </w:tcPr>
          <w:p>
            <w:r>
              <w:rPr>
                <w:sz w:val="16"/>
              </w:rPr>
              <w:t>LGG</w:t>
            </w:r>
          </w:p>
        </w:tc>
        <w:tc>
          <w:tcPr>
            <w:tcW w:type="dxa" w:w="1218"/>
            <w:vAlign w:val="center"/>
          </w:tcPr>
          <w:p>
            <w:r>
              <w:rPr>
                <w:sz w:val="16"/>
              </w:rPr>
              <w:t>TRUE</w:t>
            </w:r>
          </w:p>
        </w:tc>
        <w:tc>
          <w:tcPr>
            <w:tcW w:type="dxa" w:w="1218"/>
            <w:vAlign w:val="center"/>
          </w:tcPr>
          <w:p>
            <w:r>
              <w:rPr>
                <w:sz w:val="16"/>
              </w:rPr>
              <w:t>451</w:t>
            </w:r>
          </w:p>
        </w:tc>
        <w:tc>
          <w:tcPr>
            <w:tcW w:type="dxa" w:w="1218"/>
            <w:vAlign w:val="center"/>
          </w:tcPr>
          <w:p>
            <w:r>
              <w:rPr>
                <w:sz w:val="16"/>
              </w:rPr>
              <w:t>13</w:t>
            </w:r>
          </w:p>
        </w:tc>
        <w:tc>
          <w:tcPr>
            <w:tcW w:type="dxa" w:w="1218"/>
            <w:vAlign w:val="center"/>
          </w:tcPr>
          <w:p>
            <w:r>
              <w:rPr>
                <w:sz w:val="16"/>
              </w:rPr>
              <w:t>0.539 (0.020)</w:t>
            </w:r>
          </w:p>
        </w:tc>
        <w:tc>
          <w:tcPr>
            <w:tcW w:type="dxa" w:w="1218"/>
            <w:vAlign w:val="center"/>
          </w:tcPr>
          <w:p>
            <w:r>
              <w:rPr>
                <w:sz w:val="16"/>
              </w:rPr>
              <w:t>0.077</w:t>
            </w:r>
          </w:p>
        </w:tc>
        <w:tc>
          <w:tcPr>
            <w:tcW w:type="dxa" w:w="1218"/>
            <w:vAlign w:val="center"/>
          </w:tcPr>
          <w:p>
            <w:r>
              <w:rPr>
                <w:sz w:val="16"/>
              </w:rPr>
              <w:t>0.501</w:t>
            </w:r>
          </w:p>
        </w:tc>
        <w:tc>
          <w:tcPr>
            <w:tcW w:type="dxa" w:w="1218"/>
            <w:vAlign w:val="center"/>
          </w:tcPr>
          <w:p>
            <w:r>
              <w:rPr>
                <w:sz w:val="16"/>
              </w:rPr>
            </w:r>
          </w:p>
        </w:tc>
      </w:tr>
      <w:tr>
        <w:trPr>
          <w:cantSplit/>
        </w:trPr>
        <w:tc>
          <w:tcPr>
            <w:tcW w:type="dxa" w:w="1218"/>
            <w:vAlign w:val="center"/>
          </w:tcPr>
          <w:p>
            <w:r>
              <w:rPr>
                <w:sz w:val="16"/>
              </w:rPr>
              <w:t>LIHC</w:t>
            </w:r>
          </w:p>
        </w:tc>
        <w:tc>
          <w:tcPr>
            <w:tcW w:type="dxa" w:w="1218"/>
            <w:vAlign w:val="center"/>
          </w:tcPr>
          <w:p>
            <w:r>
              <w:rPr>
                <w:sz w:val="16"/>
              </w:rPr>
              <w:t>TRUE</w:t>
            </w:r>
          </w:p>
        </w:tc>
        <w:tc>
          <w:tcPr>
            <w:tcW w:type="dxa" w:w="1218"/>
            <w:vAlign w:val="center"/>
          </w:tcPr>
          <w:p>
            <w:r>
              <w:rPr>
                <w:sz w:val="16"/>
              </w:rPr>
              <w:t>280</w:t>
            </w:r>
          </w:p>
        </w:tc>
        <w:tc>
          <w:tcPr>
            <w:tcW w:type="dxa" w:w="1218"/>
            <w:vAlign w:val="center"/>
          </w:tcPr>
          <w:p>
            <w:r>
              <w:rPr>
                <w:sz w:val="16"/>
              </w:rPr>
              <w:t>7</w:t>
            </w:r>
          </w:p>
        </w:tc>
        <w:tc>
          <w:tcPr>
            <w:tcW w:type="dxa" w:w="1218"/>
            <w:vAlign w:val="center"/>
          </w:tcPr>
          <w:p>
            <w:r>
              <w:rPr>
                <w:sz w:val="16"/>
              </w:rPr>
              <w:t>0.635 (0.025)</w:t>
            </w:r>
          </w:p>
        </w:tc>
        <w:tc>
          <w:tcPr>
            <w:tcW w:type="dxa" w:w="1218"/>
            <w:vAlign w:val="center"/>
          </w:tcPr>
          <w:p>
            <w:r>
              <w:rPr>
                <w:sz w:val="16"/>
              </w:rPr>
              <w:t>0.143</w:t>
            </w:r>
          </w:p>
        </w:tc>
        <w:tc>
          <w:tcPr>
            <w:tcW w:type="dxa" w:w="1218"/>
            <w:vAlign w:val="center"/>
          </w:tcPr>
          <w:p>
            <w:r>
              <w:rPr>
                <w:sz w:val="16"/>
              </w:rPr>
              <w:t>0.574</w:t>
            </w:r>
          </w:p>
        </w:tc>
        <w:tc>
          <w:tcPr>
            <w:tcW w:type="dxa" w:w="1218"/>
            <w:vAlign w:val="center"/>
          </w:tcPr>
          <w:p>
            <w:r>
              <w:rPr>
                <w:sz w:val="16"/>
              </w:rPr>
            </w:r>
          </w:p>
        </w:tc>
      </w:tr>
      <w:tr>
        <w:trPr>
          <w:cantSplit/>
        </w:trPr>
        <w:tc>
          <w:tcPr>
            <w:tcW w:type="dxa" w:w="1218"/>
            <w:vAlign w:val="center"/>
          </w:tcPr>
          <w:p>
            <w:r>
              <w:rPr>
                <w:sz w:val="16"/>
              </w:rPr>
              <w:t>LUAD</w:t>
            </w:r>
          </w:p>
        </w:tc>
        <w:tc>
          <w:tcPr>
            <w:tcW w:type="dxa" w:w="1218"/>
            <w:vAlign w:val="center"/>
          </w:tcPr>
          <w:p>
            <w:r>
              <w:rPr>
                <w:sz w:val="16"/>
              </w:rPr>
              <w:t>TRUE</w:t>
            </w:r>
          </w:p>
        </w:tc>
        <w:tc>
          <w:tcPr>
            <w:tcW w:type="dxa" w:w="1218"/>
            <w:vAlign w:val="center"/>
          </w:tcPr>
          <w:p>
            <w:r>
              <w:rPr>
                <w:sz w:val="16"/>
              </w:rPr>
              <w:t>392</w:t>
            </w:r>
          </w:p>
        </w:tc>
        <w:tc>
          <w:tcPr>
            <w:tcW w:type="dxa" w:w="1218"/>
            <w:vAlign w:val="center"/>
          </w:tcPr>
          <w:p>
            <w:r>
              <w:rPr>
                <w:sz w:val="16"/>
              </w:rPr>
              <w:t>15</w:t>
            </w:r>
          </w:p>
        </w:tc>
        <w:tc>
          <w:tcPr>
            <w:tcW w:type="dxa" w:w="1218"/>
            <w:vAlign w:val="center"/>
          </w:tcPr>
          <w:p>
            <w:r>
              <w:rPr>
                <w:sz w:val="16"/>
              </w:rPr>
              <w:t>0.465 (0.013)</w:t>
            </w:r>
          </w:p>
        </w:tc>
        <w:tc>
          <w:tcPr>
            <w:tcW w:type="dxa" w:w="1218"/>
            <w:vAlign w:val="center"/>
          </w:tcPr>
          <w:p>
            <w:r>
              <w:rPr>
                <w:sz w:val="16"/>
              </w:rPr>
              <w:t>0.067</w:t>
            </w:r>
          </w:p>
        </w:tc>
        <w:tc>
          <w:tcPr>
            <w:tcW w:type="dxa" w:w="1218"/>
            <w:vAlign w:val="center"/>
          </w:tcPr>
          <w:p>
            <w:r>
              <w:rPr>
                <w:sz w:val="16"/>
              </w:rPr>
              <w:t>0.427</w:t>
            </w:r>
          </w:p>
        </w:tc>
        <w:tc>
          <w:tcPr>
            <w:tcW w:type="dxa" w:w="1218"/>
            <w:vAlign w:val="center"/>
          </w:tcPr>
          <w:p>
            <w:r>
              <w:rPr>
                <w:sz w:val="16"/>
              </w:rPr>
            </w:r>
          </w:p>
        </w:tc>
      </w:tr>
      <w:tr>
        <w:trPr>
          <w:cantSplit/>
        </w:trPr>
        <w:tc>
          <w:tcPr>
            <w:tcW w:type="dxa" w:w="1218"/>
            <w:vAlign w:val="center"/>
          </w:tcPr>
          <w:p>
            <w:r>
              <w:rPr>
                <w:sz w:val="16"/>
              </w:rPr>
              <w:t>LUSC</w:t>
            </w:r>
          </w:p>
        </w:tc>
        <w:tc>
          <w:tcPr>
            <w:tcW w:type="dxa" w:w="1218"/>
            <w:vAlign w:val="center"/>
          </w:tcPr>
          <w:p>
            <w:r>
              <w:rPr>
                <w:sz w:val="16"/>
              </w:rPr>
              <w:t>TRUE</w:t>
            </w:r>
          </w:p>
        </w:tc>
        <w:tc>
          <w:tcPr>
            <w:tcW w:type="dxa" w:w="1218"/>
            <w:vAlign w:val="center"/>
          </w:tcPr>
          <w:p>
            <w:r>
              <w:rPr>
                <w:sz w:val="16"/>
              </w:rPr>
              <w:t>405</w:t>
            </w:r>
          </w:p>
        </w:tc>
        <w:tc>
          <w:tcPr>
            <w:tcW w:type="dxa" w:w="1218"/>
            <w:vAlign w:val="center"/>
          </w:tcPr>
          <w:p>
            <w:r>
              <w:rPr>
                <w:sz w:val="16"/>
              </w:rPr>
              <w:t>16</w:t>
            </w:r>
          </w:p>
        </w:tc>
        <w:tc>
          <w:tcPr>
            <w:tcW w:type="dxa" w:w="1218"/>
            <w:vAlign w:val="center"/>
          </w:tcPr>
          <w:p>
            <w:r>
              <w:rPr>
                <w:sz w:val="16"/>
              </w:rPr>
              <w:t>0.531 (0.014)</w:t>
            </w:r>
          </w:p>
        </w:tc>
        <w:tc>
          <w:tcPr>
            <w:tcW w:type="dxa" w:w="1218"/>
            <w:vAlign w:val="center"/>
          </w:tcPr>
          <w:p>
            <w:r>
              <w:rPr>
                <w:sz w:val="16"/>
              </w:rPr>
              <w:t>0.062</w:t>
            </w:r>
          </w:p>
        </w:tc>
        <w:tc>
          <w:tcPr>
            <w:tcW w:type="dxa" w:w="1218"/>
            <w:vAlign w:val="center"/>
          </w:tcPr>
          <w:p>
            <w:r>
              <w:rPr>
                <w:sz w:val="16"/>
              </w:rPr>
              <w:t>0.499</w:t>
            </w:r>
          </w:p>
        </w:tc>
        <w:tc>
          <w:tcPr>
            <w:tcW w:type="dxa" w:w="1218"/>
            <w:vAlign w:val="center"/>
          </w:tcPr>
          <w:p>
            <w:r>
              <w:rPr>
                <w:sz w:val="16"/>
              </w:rPr>
            </w:r>
          </w:p>
        </w:tc>
      </w:tr>
      <w:tr>
        <w:trPr>
          <w:cantSplit/>
        </w:trPr>
        <w:tc>
          <w:tcPr>
            <w:tcW w:type="dxa" w:w="1218"/>
            <w:vAlign w:val="center"/>
          </w:tcPr>
          <w:p>
            <w:r>
              <w:rPr>
                <w:sz w:val="16"/>
              </w:rPr>
              <w:t>MESO</w:t>
            </w:r>
          </w:p>
        </w:tc>
        <w:tc>
          <w:tcPr>
            <w:tcW w:type="dxa" w:w="1218"/>
            <w:vAlign w:val="center"/>
          </w:tcPr>
          <w:p>
            <w:r>
              <w:rPr>
                <w:sz w:val="16"/>
              </w:rPr>
              <w:t>FALSE</w:t>
            </w:r>
          </w:p>
        </w:tc>
        <w:tc>
          <w:tcPr>
            <w:tcW w:type="dxa" w:w="1218"/>
            <w:vAlign w:val="center"/>
          </w:tcPr>
          <w:p>
            <w:r>
              <w:rPr>
                <w:sz w:val="16"/>
              </w:rPr>
              <w:t>15</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OV</w:t>
            </w:r>
          </w:p>
        </w:tc>
        <w:tc>
          <w:tcPr>
            <w:tcW w:type="dxa" w:w="1218"/>
            <w:vAlign w:val="center"/>
          </w:tcPr>
          <w:p>
            <w:r>
              <w:rPr>
                <w:sz w:val="16"/>
              </w:rPr>
              <w:t>TRUE</w:t>
            </w:r>
          </w:p>
        </w:tc>
        <w:tc>
          <w:tcPr>
            <w:tcW w:type="dxa" w:w="1218"/>
            <w:vAlign w:val="center"/>
          </w:tcPr>
          <w:p>
            <w:r>
              <w:rPr>
                <w:sz w:val="16"/>
              </w:rPr>
              <w:t>83</w:t>
            </w:r>
          </w:p>
        </w:tc>
        <w:tc>
          <w:tcPr>
            <w:tcW w:type="dxa" w:w="1218"/>
            <w:vAlign w:val="center"/>
          </w:tcPr>
          <w:p>
            <w:r>
              <w:rPr>
                <w:sz w:val="16"/>
              </w:rPr>
              <w:t>2</w:t>
            </w:r>
          </w:p>
        </w:tc>
        <w:tc>
          <w:tcPr>
            <w:tcW w:type="dxa" w:w="1218"/>
            <w:vAlign w:val="center"/>
          </w:tcPr>
          <w:p>
            <w:r>
              <w:rPr>
                <w:sz w:val="16"/>
              </w:rPr>
              <w:t>0.963 (0.010)</w:t>
            </w:r>
          </w:p>
        </w:tc>
        <w:tc>
          <w:tcPr>
            <w:tcW w:type="dxa" w:w="1218"/>
            <w:vAlign w:val="center"/>
          </w:tcPr>
          <w:p>
            <w:r>
              <w:rPr>
                <w:sz w:val="16"/>
              </w:rPr>
              <w:t>0.500</w:t>
            </w:r>
          </w:p>
        </w:tc>
        <w:tc>
          <w:tcPr>
            <w:tcW w:type="dxa" w:w="1218"/>
            <w:vAlign w:val="center"/>
          </w:tcPr>
          <w:p>
            <w:r>
              <w:rPr>
                <w:sz w:val="16"/>
              </w:rPr>
              <w:t>0.926</w:t>
            </w:r>
          </w:p>
        </w:tc>
        <w:tc>
          <w:tcPr>
            <w:tcW w:type="dxa" w:w="1218"/>
            <w:vAlign w:val="center"/>
          </w:tcPr>
          <w:p>
            <w:r>
              <w:rPr>
                <w:sz w:val="16"/>
              </w:rPr>
            </w:r>
          </w:p>
        </w:tc>
      </w:tr>
      <w:tr>
        <w:trPr>
          <w:cantSplit/>
        </w:trPr>
        <w:tc>
          <w:tcPr>
            <w:tcW w:type="dxa" w:w="1218"/>
            <w:vAlign w:val="center"/>
          </w:tcPr>
          <w:p>
            <w:r>
              <w:rPr>
                <w:sz w:val="16"/>
              </w:rPr>
              <w:t>PAAD</w:t>
            </w:r>
          </w:p>
        </w:tc>
        <w:tc>
          <w:tcPr>
            <w:tcW w:type="dxa" w:w="1218"/>
            <w:vAlign w:val="center"/>
          </w:tcPr>
          <w:p>
            <w:r>
              <w:rPr>
                <w:sz w:val="16"/>
              </w:rPr>
              <w:t>TRUE</w:t>
            </w:r>
          </w:p>
        </w:tc>
        <w:tc>
          <w:tcPr>
            <w:tcW w:type="dxa" w:w="1218"/>
            <w:vAlign w:val="center"/>
          </w:tcPr>
          <w:p>
            <w:r>
              <w:rPr>
                <w:sz w:val="16"/>
              </w:rPr>
              <w:t>120</w:t>
            </w:r>
          </w:p>
        </w:tc>
        <w:tc>
          <w:tcPr>
            <w:tcW w:type="dxa" w:w="1218"/>
            <w:vAlign w:val="center"/>
          </w:tcPr>
          <w:p>
            <w:r>
              <w:rPr>
                <w:sz w:val="16"/>
              </w:rPr>
              <w:t>5</w:t>
            </w:r>
          </w:p>
        </w:tc>
        <w:tc>
          <w:tcPr>
            <w:tcW w:type="dxa" w:w="1218"/>
            <w:vAlign w:val="center"/>
          </w:tcPr>
          <w:p>
            <w:r>
              <w:rPr>
                <w:sz w:val="16"/>
              </w:rPr>
              <w:t>0.911 (0.015)</w:t>
            </w:r>
          </w:p>
        </w:tc>
        <w:tc>
          <w:tcPr>
            <w:tcW w:type="dxa" w:w="1218"/>
            <w:vAlign w:val="center"/>
          </w:tcPr>
          <w:p>
            <w:r>
              <w:rPr>
                <w:sz w:val="16"/>
              </w:rPr>
              <w:t>0.200</w:t>
            </w:r>
          </w:p>
        </w:tc>
        <w:tc>
          <w:tcPr>
            <w:tcW w:type="dxa" w:w="1218"/>
            <w:vAlign w:val="center"/>
          </w:tcPr>
          <w:p>
            <w:r>
              <w:rPr>
                <w:sz w:val="16"/>
              </w:rPr>
              <w:t>0.888</w:t>
            </w:r>
          </w:p>
        </w:tc>
        <w:tc>
          <w:tcPr>
            <w:tcW w:type="dxa" w:w="1218"/>
            <w:vAlign w:val="center"/>
          </w:tcPr>
          <w:p>
            <w:r>
              <w:rPr>
                <w:sz w:val="16"/>
              </w:rPr>
            </w:r>
          </w:p>
        </w:tc>
      </w:tr>
      <w:tr>
        <w:trPr>
          <w:cantSplit/>
        </w:trPr>
        <w:tc>
          <w:tcPr>
            <w:tcW w:type="dxa" w:w="1218"/>
            <w:vAlign w:val="center"/>
          </w:tcPr>
          <w:p>
            <w:r>
              <w:rPr>
                <w:sz w:val="16"/>
              </w:rPr>
              <w:t>PCPG</w:t>
            </w:r>
          </w:p>
        </w:tc>
        <w:tc>
          <w:tcPr>
            <w:tcW w:type="dxa" w:w="1218"/>
            <w:vAlign w:val="center"/>
          </w:tcPr>
          <w:p>
            <w:r>
              <w:rPr>
                <w:sz w:val="16"/>
              </w:rPr>
              <w:t>TRUE</w:t>
            </w:r>
          </w:p>
        </w:tc>
        <w:tc>
          <w:tcPr>
            <w:tcW w:type="dxa" w:w="1218"/>
            <w:vAlign w:val="center"/>
          </w:tcPr>
          <w:p>
            <w:r>
              <w:rPr>
                <w:sz w:val="16"/>
              </w:rPr>
              <w:t>138</w:t>
            </w:r>
          </w:p>
        </w:tc>
        <w:tc>
          <w:tcPr>
            <w:tcW w:type="dxa" w:w="1218"/>
            <w:vAlign w:val="center"/>
          </w:tcPr>
          <w:p>
            <w:r>
              <w:rPr>
                <w:sz w:val="16"/>
              </w:rPr>
              <w:t>6</w:t>
            </w:r>
          </w:p>
        </w:tc>
        <w:tc>
          <w:tcPr>
            <w:tcW w:type="dxa" w:w="1218"/>
            <w:vAlign w:val="center"/>
          </w:tcPr>
          <w:p>
            <w:r>
              <w:rPr>
                <w:sz w:val="16"/>
              </w:rPr>
              <w:t>0.516 (0.033)</w:t>
            </w:r>
          </w:p>
        </w:tc>
        <w:tc>
          <w:tcPr>
            <w:tcW w:type="dxa" w:w="1218"/>
            <w:vAlign w:val="center"/>
          </w:tcPr>
          <w:p>
            <w:r>
              <w:rPr>
                <w:sz w:val="16"/>
              </w:rPr>
              <w:t>0.167</w:t>
            </w:r>
          </w:p>
        </w:tc>
        <w:tc>
          <w:tcPr>
            <w:tcW w:type="dxa" w:w="1218"/>
            <w:vAlign w:val="center"/>
          </w:tcPr>
          <w:p>
            <w:r>
              <w:rPr>
                <w:sz w:val="16"/>
              </w:rPr>
              <w:t>0.419</w:t>
            </w:r>
          </w:p>
        </w:tc>
        <w:tc>
          <w:tcPr>
            <w:tcW w:type="dxa" w:w="1218"/>
            <w:vAlign w:val="center"/>
          </w:tcPr>
          <w:p>
            <w:r>
              <w:rPr>
                <w:sz w:val="16"/>
              </w:rPr>
            </w:r>
          </w:p>
        </w:tc>
      </w:tr>
      <w:tr>
        <w:trPr>
          <w:cantSplit/>
        </w:trPr>
        <w:tc>
          <w:tcPr>
            <w:tcW w:type="dxa" w:w="1218"/>
            <w:vAlign w:val="center"/>
          </w:tcPr>
          <w:p>
            <w:r>
              <w:rPr>
                <w:sz w:val="16"/>
              </w:rPr>
              <w:t>PRAD</w:t>
            </w:r>
          </w:p>
        </w:tc>
        <w:tc>
          <w:tcPr>
            <w:tcW w:type="dxa" w:w="1218"/>
            <w:vAlign w:val="center"/>
          </w:tcPr>
          <w:p>
            <w:r>
              <w:rPr>
                <w:sz w:val="16"/>
              </w:rPr>
              <w:t>TRUE</w:t>
            </w:r>
          </w:p>
        </w:tc>
        <w:tc>
          <w:tcPr>
            <w:tcW w:type="dxa" w:w="1218"/>
            <w:vAlign w:val="center"/>
          </w:tcPr>
          <w:p>
            <w:r>
              <w:rPr>
                <w:sz w:val="16"/>
              </w:rPr>
              <w:t>345</w:t>
            </w:r>
          </w:p>
        </w:tc>
        <w:tc>
          <w:tcPr>
            <w:tcW w:type="dxa" w:w="1218"/>
            <w:vAlign w:val="center"/>
          </w:tcPr>
          <w:p>
            <w:r>
              <w:rPr>
                <w:sz w:val="16"/>
              </w:rPr>
              <w:t>10</w:t>
            </w:r>
          </w:p>
        </w:tc>
        <w:tc>
          <w:tcPr>
            <w:tcW w:type="dxa" w:w="1218"/>
            <w:vAlign w:val="center"/>
          </w:tcPr>
          <w:p>
            <w:r>
              <w:rPr>
                <w:sz w:val="16"/>
              </w:rPr>
              <w:t>0.767 (0.012)</w:t>
            </w:r>
          </w:p>
        </w:tc>
        <w:tc>
          <w:tcPr>
            <w:tcW w:type="dxa" w:w="1218"/>
            <w:vAlign w:val="center"/>
          </w:tcPr>
          <w:p>
            <w:r>
              <w:rPr>
                <w:sz w:val="16"/>
              </w:rPr>
              <w:t>0.100</w:t>
            </w:r>
          </w:p>
        </w:tc>
        <w:tc>
          <w:tcPr>
            <w:tcW w:type="dxa" w:w="1218"/>
            <w:vAlign w:val="center"/>
          </w:tcPr>
          <w:p>
            <w:r>
              <w:rPr>
                <w:sz w:val="16"/>
              </w:rPr>
              <w:t>0.741</w:t>
            </w:r>
          </w:p>
        </w:tc>
        <w:tc>
          <w:tcPr>
            <w:tcW w:type="dxa" w:w="1218"/>
            <w:vAlign w:val="center"/>
          </w:tcPr>
          <w:p>
            <w:r>
              <w:rPr>
                <w:sz w:val="16"/>
              </w:rPr>
            </w:r>
          </w:p>
        </w:tc>
      </w:tr>
      <w:tr>
        <w:trPr>
          <w:cantSplit/>
        </w:trPr>
        <w:tc>
          <w:tcPr>
            <w:tcW w:type="dxa" w:w="1218"/>
            <w:vAlign w:val="center"/>
          </w:tcPr>
          <w:p>
            <w:r>
              <w:rPr>
                <w:sz w:val="16"/>
              </w:rPr>
              <w:t>READ</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5</w:t>
            </w:r>
          </w:p>
        </w:tc>
        <w:tc>
          <w:tcPr>
            <w:tcW w:type="dxa" w:w="1218"/>
            <w:vAlign w:val="center"/>
          </w:tcPr>
          <w:p>
            <w:r>
              <w:rPr>
                <w:sz w:val="16"/>
              </w:rPr>
              <w:t>0.862 (0.030)</w:t>
            </w:r>
          </w:p>
        </w:tc>
        <w:tc>
          <w:tcPr>
            <w:tcW w:type="dxa" w:w="1218"/>
            <w:vAlign w:val="center"/>
          </w:tcPr>
          <w:p>
            <w:r>
              <w:rPr>
                <w:sz w:val="16"/>
              </w:rPr>
              <w:t>0.200</w:t>
            </w:r>
          </w:p>
        </w:tc>
        <w:tc>
          <w:tcPr>
            <w:tcW w:type="dxa" w:w="1218"/>
            <w:vAlign w:val="center"/>
          </w:tcPr>
          <w:p>
            <w:r>
              <w:rPr>
                <w:sz w:val="16"/>
              </w:rPr>
              <w:t>0.828</w:t>
            </w:r>
          </w:p>
        </w:tc>
        <w:tc>
          <w:tcPr>
            <w:tcW w:type="dxa" w:w="1218"/>
            <w:vAlign w:val="center"/>
          </w:tcPr>
          <w:p>
            <w:r>
              <w:rPr>
                <w:sz w:val="16"/>
              </w:rPr>
            </w:r>
          </w:p>
        </w:tc>
      </w:tr>
      <w:tr>
        <w:trPr>
          <w:cantSplit/>
        </w:trPr>
        <w:tc>
          <w:tcPr>
            <w:tcW w:type="dxa" w:w="1218"/>
            <w:vAlign w:val="center"/>
          </w:tcPr>
          <w:p>
            <w:r>
              <w:rPr>
                <w:sz w:val="16"/>
              </w:rPr>
              <w:t>SARC</w:t>
            </w:r>
          </w:p>
        </w:tc>
        <w:tc>
          <w:tcPr>
            <w:tcW w:type="dxa" w:w="1218"/>
            <w:vAlign w:val="center"/>
          </w:tcPr>
          <w:p>
            <w:r>
              <w:rPr>
                <w:sz w:val="16"/>
              </w:rPr>
              <w:t>TRUE</w:t>
            </w:r>
          </w:p>
        </w:tc>
        <w:tc>
          <w:tcPr>
            <w:tcW w:type="dxa" w:w="1218"/>
            <w:vAlign w:val="center"/>
          </w:tcPr>
          <w:p>
            <w:r>
              <w:rPr>
                <w:sz w:val="16"/>
              </w:rPr>
              <w:t>158</w:t>
            </w:r>
          </w:p>
        </w:tc>
        <w:tc>
          <w:tcPr>
            <w:tcW w:type="dxa" w:w="1218"/>
            <w:vAlign w:val="center"/>
          </w:tcPr>
          <w:p>
            <w:r>
              <w:rPr>
                <w:sz w:val="16"/>
              </w:rPr>
              <w:t>4</w:t>
            </w:r>
          </w:p>
        </w:tc>
        <w:tc>
          <w:tcPr>
            <w:tcW w:type="dxa" w:w="1218"/>
            <w:vAlign w:val="center"/>
          </w:tcPr>
          <w:p>
            <w:r>
              <w:rPr>
                <w:sz w:val="16"/>
              </w:rPr>
              <w:t>0.628 (0.034)</w:t>
            </w:r>
          </w:p>
        </w:tc>
        <w:tc>
          <w:tcPr>
            <w:tcW w:type="dxa" w:w="1218"/>
            <w:vAlign w:val="center"/>
          </w:tcPr>
          <w:p>
            <w:r>
              <w:rPr>
                <w:sz w:val="16"/>
              </w:rPr>
              <w:t>0.250</w:t>
            </w:r>
          </w:p>
        </w:tc>
        <w:tc>
          <w:tcPr>
            <w:tcW w:type="dxa" w:w="1218"/>
            <w:vAlign w:val="center"/>
          </w:tcPr>
          <w:p>
            <w:r>
              <w:rPr>
                <w:sz w:val="16"/>
              </w:rPr>
              <w:t>0.504</w:t>
            </w:r>
          </w:p>
        </w:tc>
        <w:tc>
          <w:tcPr>
            <w:tcW w:type="dxa" w:w="1218"/>
            <w:vAlign w:val="center"/>
          </w:tcPr>
          <w:p>
            <w:r>
              <w:rPr>
                <w:sz w:val="16"/>
              </w:rPr>
            </w:r>
          </w:p>
        </w:tc>
      </w:tr>
      <w:tr>
        <w:trPr>
          <w:cantSplit/>
        </w:trPr>
        <w:tc>
          <w:tcPr>
            <w:tcW w:type="dxa" w:w="1218"/>
            <w:vAlign w:val="center"/>
          </w:tcPr>
          <w:p>
            <w:r>
              <w:rPr>
                <w:sz w:val="16"/>
              </w:rPr>
              <w:t>SKCM</w:t>
            </w:r>
          </w:p>
        </w:tc>
        <w:tc>
          <w:tcPr>
            <w:tcW w:type="dxa" w:w="1218"/>
            <w:vAlign w:val="center"/>
          </w:tcPr>
          <w:p>
            <w:r>
              <w:rPr>
                <w:sz w:val="16"/>
              </w:rPr>
              <w:t>TRUE</w:t>
            </w:r>
          </w:p>
        </w:tc>
        <w:tc>
          <w:tcPr>
            <w:tcW w:type="dxa" w:w="1218"/>
            <w:vAlign w:val="center"/>
          </w:tcPr>
          <w:p>
            <w:r>
              <w:rPr>
                <w:sz w:val="16"/>
              </w:rPr>
              <w:t>245</w:t>
            </w:r>
          </w:p>
        </w:tc>
        <w:tc>
          <w:tcPr>
            <w:tcW w:type="dxa" w:w="1218"/>
            <w:vAlign w:val="center"/>
          </w:tcPr>
          <w:p>
            <w:r>
              <w:rPr>
                <w:sz w:val="16"/>
              </w:rPr>
              <w:t>8</w:t>
            </w:r>
          </w:p>
        </w:tc>
        <w:tc>
          <w:tcPr>
            <w:tcW w:type="dxa" w:w="1218"/>
            <w:vAlign w:val="center"/>
          </w:tcPr>
          <w:p>
            <w:r>
              <w:rPr>
                <w:sz w:val="16"/>
              </w:rPr>
              <w:t>0.555 (0.040)</w:t>
            </w:r>
          </w:p>
        </w:tc>
        <w:tc>
          <w:tcPr>
            <w:tcW w:type="dxa" w:w="1218"/>
            <w:vAlign w:val="center"/>
          </w:tcPr>
          <w:p>
            <w:r>
              <w:rPr>
                <w:sz w:val="16"/>
              </w:rPr>
              <w:t>0.125</w:t>
            </w:r>
          </w:p>
        </w:tc>
        <w:tc>
          <w:tcPr>
            <w:tcW w:type="dxa" w:w="1218"/>
            <w:vAlign w:val="center"/>
          </w:tcPr>
          <w:p>
            <w:r>
              <w:rPr>
                <w:sz w:val="16"/>
              </w:rPr>
              <w:t>0.491</w:t>
            </w:r>
          </w:p>
        </w:tc>
        <w:tc>
          <w:tcPr>
            <w:tcW w:type="dxa" w:w="1218"/>
            <w:vAlign w:val="center"/>
          </w:tcPr>
          <w:p>
            <w:r>
              <w:rPr>
                <w:sz w:val="16"/>
              </w:rPr>
            </w:r>
          </w:p>
        </w:tc>
      </w:tr>
      <w:tr>
        <w:trPr>
          <w:cantSplit/>
        </w:trPr>
        <w:tc>
          <w:tcPr>
            <w:tcW w:type="dxa" w:w="1218"/>
            <w:vAlign w:val="center"/>
          </w:tcPr>
          <w:p>
            <w:r>
              <w:rPr>
                <w:sz w:val="16"/>
              </w:rPr>
              <w:t>STAD</w:t>
            </w:r>
          </w:p>
        </w:tc>
        <w:tc>
          <w:tcPr>
            <w:tcW w:type="dxa" w:w="1218"/>
            <w:vAlign w:val="center"/>
          </w:tcPr>
          <w:p>
            <w:r>
              <w:rPr>
                <w:sz w:val="16"/>
              </w:rPr>
              <w:t>TRUE</w:t>
            </w:r>
          </w:p>
        </w:tc>
        <w:tc>
          <w:tcPr>
            <w:tcW w:type="dxa" w:w="1218"/>
            <w:vAlign w:val="center"/>
          </w:tcPr>
          <w:p>
            <w:r>
              <w:rPr>
                <w:sz w:val="16"/>
              </w:rPr>
              <w:t>334</w:t>
            </w:r>
          </w:p>
        </w:tc>
        <w:tc>
          <w:tcPr>
            <w:tcW w:type="dxa" w:w="1218"/>
            <w:vAlign w:val="center"/>
          </w:tcPr>
          <w:p>
            <w:r>
              <w:rPr>
                <w:sz w:val="16"/>
              </w:rPr>
              <w:t>8</w:t>
            </w:r>
          </w:p>
        </w:tc>
        <w:tc>
          <w:tcPr>
            <w:tcW w:type="dxa" w:w="1218"/>
            <w:vAlign w:val="center"/>
          </w:tcPr>
          <w:p>
            <w:r>
              <w:rPr>
                <w:sz w:val="16"/>
              </w:rPr>
              <w:t>0.712 (0.016)</w:t>
            </w:r>
          </w:p>
        </w:tc>
        <w:tc>
          <w:tcPr>
            <w:tcW w:type="dxa" w:w="1218"/>
            <w:vAlign w:val="center"/>
          </w:tcPr>
          <w:p>
            <w:r>
              <w:rPr>
                <w:sz w:val="16"/>
              </w:rPr>
              <w:t>0.125</w:t>
            </w:r>
          </w:p>
        </w:tc>
        <w:tc>
          <w:tcPr>
            <w:tcW w:type="dxa" w:w="1218"/>
            <w:vAlign w:val="center"/>
          </w:tcPr>
          <w:p>
            <w:r>
              <w:rPr>
                <w:sz w:val="16"/>
              </w:rPr>
              <w:t>0.671</w:t>
            </w:r>
          </w:p>
        </w:tc>
        <w:tc>
          <w:tcPr>
            <w:tcW w:type="dxa" w:w="1218"/>
            <w:vAlign w:val="center"/>
          </w:tcPr>
          <w:p>
            <w:r>
              <w:rPr>
                <w:sz w:val="16"/>
              </w:rPr>
            </w:r>
          </w:p>
        </w:tc>
      </w:tr>
      <w:tr>
        <w:trPr>
          <w:cantSplit/>
        </w:trPr>
        <w:tc>
          <w:tcPr>
            <w:tcW w:type="dxa" w:w="1218"/>
            <w:vAlign w:val="center"/>
          </w:tcPr>
          <w:p>
            <w:r>
              <w:rPr>
                <w:sz w:val="16"/>
              </w:rPr>
              <w:t>TGCT</w:t>
            </w:r>
          </w:p>
        </w:tc>
        <w:tc>
          <w:tcPr>
            <w:tcW w:type="dxa" w:w="1218"/>
            <w:vAlign w:val="center"/>
          </w:tcPr>
          <w:p>
            <w:r>
              <w:rPr>
                <w:sz w:val="16"/>
              </w:rPr>
              <w:t>TRUE</w:t>
            </w:r>
          </w:p>
        </w:tc>
        <w:tc>
          <w:tcPr>
            <w:tcW w:type="dxa" w:w="1218"/>
            <w:vAlign w:val="center"/>
          </w:tcPr>
          <w:p>
            <w:r>
              <w:rPr>
                <w:sz w:val="16"/>
              </w:rPr>
              <w:t>106</w:t>
            </w:r>
          </w:p>
        </w:tc>
        <w:tc>
          <w:tcPr>
            <w:tcW w:type="dxa" w:w="1218"/>
            <w:vAlign w:val="center"/>
          </w:tcPr>
          <w:p>
            <w:r>
              <w:rPr>
                <w:sz w:val="16"/>
              </w:rPr>
              <w:t>3</w:t>
            </w:r>
          </w:p>
        </w:tc>
        <w:tc>
          <w:tcPr>
            <w:tcW w:type="dxa" w:w="1218"/>
            <w:vAlign w:val="center"/>
          </w:tcPr>
          <w:p>
            <w:r>
              <w:rPr>
                <w:sz w:val="16"/>
              </w:rPr>
              <w:t>0.795 (0.055)</w:t>
            </w:r>
          </w:p>
        </w:tc>
        <w:tc>
          <w:tcPr>
            <w:tcW w:type="dxa" w:w="1218"/>
            <w:vAlign w:val="center"/>
          </w:tcPr>
          <w:p>
            <w:r>
              <w:rPr>
                <w:sz w:val="16"/>
              </w:rPr>
              <w:t>0.333</w:t>
            </w:r>
          </w:p>
        </w:tc>
        <w:tc>
          <w:tcPr>
            <w:tcW w:type="dxa" w:w="1218"/>
            <w:vAlign w:val="center"/>
          </w:tcPr>
          <w:p>
            <w:r>
              <w:rPr>
                <w:sz w:val="16"/>
              </w:rPr>
              <w:t>0.693</w:t>
            </w:r>
          </w:p>
        </w:tc>
        <w:tc>
          <w:tcPr>
            <w:tcW w:type="dxa" w:w="1218"/>
            <w:vAlign w:val="center"/>
          </w:tcPr>
          <w:p>
            <w:r>
              <w:rPr>
                <w:sz w:val="16"/>
              </w:rPr>
            </w:r>
          </w:p>
        </w:tc>
      </w:tr>
      <w:tr>
        <w:trPr>
          <w:cantSplit/>
        </w:trPr>
        <w:tc>
          <w:tcPr>
            <w:tcW w:type="dxa" w:w="1218"/>
            <w:vAlign w:val="center"/>
          </w:tcPr>
          <w:p>
            <w:r>
              <w:rPr>
                <w:sz w:val="16"/>
              </w:rPr>
              <w:t>THCA</w:t>
            </w:r>
          </w:p>
        </w:tc>
        <w:tc>
          <w:tcPr>
            <w:tcW w:type="dxa" w:w="1218"/>
            <w:vAlign w:val="center"/>
          </w:tcPr>
          <w:p>
            <w:r>
              <w:rPr>
                <w:sz w:val="16"/>
              </w:rPr>
              <w:t>TRUE</w:t>
            </w:r>
          </w:p>
        </w:tc>
        <w:tc>
          <w:tcPr>
            <w:tcW w:type="dxa" w:w="1218"/>
            <w:vAlign w:val="center"/>
          </w:tcPr>
          <w:p>
            <w:r>
              <w:rPr>
                <w:sz w:val="16"/>
              </w:rPr>
              <w:t>455</w:t>
            </w:r>
          </w:p>
        </w:tc>
        <w:tc>
          <w:tcPr>
            <w:tcW w:type="dxa" w:w="1218"/>
            <w:vAlign w:val="center"/>
          </w:tcPr>
          <w:p>
            <w:r>
              <w:rPr>
                <w:sz w:val="16"/>
              </w:rPr>
              <w:t>11</w:t>
            </w:r>
          </w:p>
        </w:tc>
        <w:tc>
          <w:tcPr>
            <w:tcW w:type="dxa" w:w="1218"/>
            <w:vAlign w:val="center"/>
          </w:tcPr>
          <w:p>
            <w:r>
              <w:rPr>
                <w:sz w:val="16"/>
              </w:rPr>
              <w:t>0.489 (0.016)</w:t>
            </w:r>
          </w:p>
        </w:tc>
        <w:tc>
          <w:tcPr>
            <w:tcW w:type="dxa" w:w="1218"/>
            <w:vAlign w:val="center"/>
          </w:tcPr>
          <w:p>
            <w:r>
              <w:rPr>
                <w:sz w:val="16"/>
              </w:rPr>
              <w:t>0.091</w:t>
            </w:r>
          </w:p>
        </w:tc>
        <w:tc>
          <w:tcPr>
            <w:tcW w:type="dxa" w:w="1218"/>
            <w:vAlign w:val="center"/>
          </w:tcPr>
          <w:p>
            <w:r>
              <w:rPr>
                <w:sz w:val="16"/>
              </w:rPr>
              <w:t>0.438</w:t>
            </w:r>
          </w:p>
        </w:tc>
        <w:tc>
          <w:tcPr>
            <w:tcW w:type="dxa" w:w="1218"/>
            <w:vAlign w:val="center"/>
          </w:tcPr>
          <w:p>
            <w:r>
              <w:rPr>
                <w:sz w:val="16"/>
              </w:rPr>
            </w:r>
          </w:p>
        </w:tc>
      </w:tr>
      <w:tr>
        <w:trPr>
          <w:cantSplit/>
        </w:trPr>
        <w:tc>
          <w:tcPr>
            <w:tcW w:type="dxa" w:w="1218"/>
            <w:vAlign w:val="center"/>
          </w:tcPr>
          <w:p>
            <w:r>
              <w:rPr>
                <w:sz w:val="16"/>
              </w:rPr>
              <w:t>THYM</w:t>
            </w:r>
          </w:p>
        </w:tc>
        <w:tc>
          <w:tcPr>
            <w:tcW w:type="dxa" w:w="1218"/>
            <w:vAlign w:val="center"/>
          </w:tcPr>
          <w:p>
            <w:r>
              <w:rPr>
                <w:sz w:val="16"/>
              </w:rPr>
              <w:t>TRUE</w:t>
            </w:r>
          </w:p>
        </w:tc>
        <w:tc>
          <w:tcPr>
            <w:tcW w:type="dxa" w:w="1218"/>
            <w:vAlign w:val="center"/>
          </w:tcPr>
          <w:p>
            <w:r>
              <w:rPr>
                <w:sz w:val="16"/>
              </w:rPr>
              <w:t>91</w:t>
            </w:r>
          </w:p>
        </w:tc>
        <w:tc>
          <w:tcPr>
            <w:tcW w:type="dxa" w:w="1218"/>
            <w:vAlign w:val="center"/>
          </w:tcPr>
          <w:p>
            <w:r>
              <w:rPr>
                <w:sz w:val="16"/>
              </w:rPr>
              <w:t>5</w:t>
            </w:r>
          </w:p>
        </w:tc>
        <w:tc>
          <w:tcPr>
            <w:tcW w:type="dxa" w:w="1218"/>
            <w:vAlign w:val="center"/>
          </w:tcPr>
          <w:p>
            <w:r>
              <w:rPr>
                <w:sz w:val="16"/>
              </w:rPr>
              <w:t>0.786 (0.031)</w:t>
            </w:r>
          </w:p>
        </w:tc>
        <w:tc>
          <w:tcPr>
            <w:tcW w:type="dxa" w:w="1218"/>
            <w:vAlign w:val="center"/>
          </w:tcPr>
          <w:p>
            <w:r>
              <w:rPr>
                <w:sz w:val="16"/>
              </w:rPr>
              <w:t>0.200</w:t>
            </w:r>
          </w:p>
        </w:tc>
        <w:tc>
          <w:tcPr>
            <w:tcW w:type="dxa" w:w="1218"/>
            <w:vAlign w:val="center"/>
          </w:tcPr>
          <w:p>
            <w:r>
              <w:rPr>
                <w:sz w:val="16"/>
              </w:rPr>
              <w:t>0.732</w:t>
            </w:r>
          </w:p>
        </w:tc>
        <w:tc>
          <w:tcPr>
            <w:tcW w:type="dxa" w:w="1218"/>
            <w:vAlign w:val="center"/>
          </w:tcPr>
          <w:p>
            <w:r>
              <w:rPr>
                <w:sz w:val="16"/>
              </w:rPr>
            </w:r>
          </w:p>
        </w:tc>
      </w:tr>
      <w:tr>
        <w:trPr>
          <w:cantSplit/>
        </w:trPr>
        <w:tc>
          <w:tcPr>
            <w:tcW w:type="dxa" w:w="1218"/>
            <w:vAlign w:val="center"/>
          </w:tcPr>
          <w:p>
            <w:r>
              <w:rPr>
                <w:sz w:val="16"/>
              </w:rPr>
              <w:t>UCEC</w:t>
            </w:r>
          </w:p>
        </w:tc>
        <w:tc>
          <w:tcPr>
            <w:tcW w:type="dxa" w:w="1218"/>
            <w:vAlign w:val="center"/>
          </w:tcPr>
          <w:p>
            <w:r>
              <w:rPr>
                <w:sz w:val="16"/>
              </w:rPr>
              <w:t>TRUE</w:t>
            </w:r>
          </w:p>
        </w:tc>
        <w:tc>
          <w:tcPr>
            <w:tcW w:type="dxa" w:w="1218"/>
            <w:vAlign w:val="center"/>
          </w:tcPr>
          <w:p>
            <w:r>
              <w:rPr>
                <w:sz w:val="16"/>
              </w:rPr>
              <w:t>456</w:t>
            </w:r>
          </w:p>
        </w:tc>
        <w:tc>
          <w:tcPr>
            <w:tcW w:type="dxa" w:w="1218"/>
            <w:vAlign w:val="center"/>
          </w:tcPr>
          <w:p>
            <w:r>
              <w:rPr>
                <w:sz w:val="16"/>
              </w:rPr>
              <w:t>12</w:t>
            </w:r>
          </w:p>
        </w:tc>
        <w:tc>
          <w:tcPr>
            <w:tcW w:type="dxa" w:w="1218"/>
            <w:vAlign w:val="center"/>
          </w:tcPr>
          <w:p>
            <w:r>
              <w:rPr>
                <w:sz w:val="16"/>
              </w:rPr>
              <w:t>0.586 (0.007)</w:t>
            </w:r>
          </w:p>
        </w:tc>
        <w:tc>
          <w:tcPr>
            <w:tcW w:type="dxa" w:w="1218"/>
            <w:vAlign w:val="center"/>
          </w:tcPr>
          <w:p>
            <w:r>
              <w:rPr>
                <w:sz w:val="16"/>
              </w:rPr>
              <w:t>0.083</w:t>
            </w:r>
          </w:p>
        </w:tc>
        <w:tc>
          <w:tcPr>
            <w:tcW w:type="dxa" w:w="1218"/>
            <w:vAlign w:val="center"/>
          </w:tcPr>
          <w:p>
            <w:r>
              <w:rPr>
                <w:sz w:val="16"/>
              </w:rPr>
              <w:t>0.548</w:t>
            </w:r>
          </w:p>
        </w:tc>
        <w:tc>
          <w:tcPr>
            <w:tcW w:type="dxa" w:w="1218"/>
            <w:vAlign w:val="center"/>
          </w:tcPr>
          <w:p>
            <w:r>
              <w:rPr>
                <w:sz w:val="16"/>
              </w:rPr>
            </w:r>
          </w:p>
        </w:tc>
      </w:tr>
      <w:tr>
        <w:trPr>
          <w:cantSplit/>
        </w:trPr>
        <w:tc>
          <w:tcPr>
            <w:tcW w:type="dxa" w:w="1218"/>
            <w:vAlign w:val="center"/>
          </w:tcPr>
          <w:p>
            <w:r>
              <w:rPr>
                <w:sz w:val="16"/>
              </w:rPr>
              <w:t>UCS</w:t>
            </w:r>
          </w:p>
        </w:tc>
        <w:tc>
          <w:tcPr>
            <w:tcW w:type="dxa" w:w="1218"/>
            <w:vAlign w:val="center"/>
          </w:tcPr>
          <w:p>
            <w:r>
              <w:rPr>
                <w:sz w:val="16"/>
              </w:rPr>
              <w:t>FALSE</w:t>
            </w:r>
          </w:p>
        </w:tc>
        <w:tc>
          <w:tcPr>
            <w:tcW w:type="dxa" w:w="1218"/>
            <w:vAlign w:val="center"/>
          </w:tcPr>
          <w:p>
            <w:r>
              <w:rPr>
                <w:sz w:val="16"/>
              </w:rPr>
              <w:t>14</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UVM</w:t>
            </w:r>
          </w:p>
        </w:tc>
        <w:tc>
          <w:tcPr>
            <w:tcW w:type="dxa" w:w="1218"/>
            <w:vAlign w:val="center"/>
          </w:tcPr>
          <w:p>
            <w:r>
              <w:rPr>
                <w:sz w:val="16"/>
              </w:rPr>
              <w:t>TRUE</w:t>
            </w:r>
          </w:p>
        </w:tc>
        <w:tc>
          <w:tcPr>
            <w:tcW w:type="dxa" w:w="1218"/>
            <w:vAlign w:val="center"/>
          </w:tcPr>
          <w:p>
            <w:r>
              <w:rPr>
                <w:sz w:val="16"/>
              </w:rPr>
              <w:t>72</w:t>
            </w:r>
          </w:p>
        </w:tc>
        <w:tc>
          <w:tcPr>
            <w:tcW w:type="dxa" w:w="1218"/>
            <w:vAlign w:val="center"/>
          </w:tcPr>
          <w:p>
            <w:r>
              <w:rPr>
                <w:sz w:val="16"/>
              </w:rPr>
              <w:t>3</w:t>
            </w:r>
          </w:p>
        </w:tc>
        <w:tc>
          <w:tcPr>
            <w:tcW w:type="dxa" w:w="1218"/>
            <w:vAlign w:val="center"/>
          </w:tcPr>
          <w:p>
            <w:r>
              <w:rPr>
                <w:sz w:val="16"/>
              </w:rPr>
              <w:t>0.966 (0.010)</w:t>
            </w:r>
          </w:p>
        </w:tc>
        <w:tc>
          <w:tcPr>
            <w:tcW w:type="dxa" w:w="1218"/>
            <w:vAlign w:val="center"/>
          </w:tcPr>
          <w:p>
            <w:r>
              <w:rPr>
                <w:sz w:val="16"/>
              </w:rPr>
              <w:t>0.333</w:t>
            </w:r>
          </w:p>
        </w:tc>
        <w:tc>
          <w:tcPr>
            <w:tcW w:type="dxa" w:w="1218"/>
            <w:vAlign w:val="center"/>
          </w:tcPr>
          <w:p>
            <w:r>
              <w:rPr>
                <w:sz w:val="16"/>
              </w:rPr>
              <w:t>0.949</w:t>
            </w:r>
          </w:p>
        </w:tc>
        <w:tc>
          <w:tcPr>
            <w:tcW w:type="dxa" w:w="1218"/>
            <w:vAlign w:val="center"/>
          </w:tcPr>
          <w:p>
            <w:r>
              <w:rPr>
                <w:sz w:val="16"/>
              </w:rPr>
            </w:r>
          </w:p>
        </w:tc>
      </w:tr>
    </w:tbl>
    <w:p/>
    <w:p>
      <w:pPr>
        <w:pStyle w:val="Heading1"/>
      </w:pPr>
      <w:r>
        <w:t>Table S10e. PLS versus exportable ridge benchmark for highlighted models</w:t>
      </w:r>
    </w:p>
    <w:p>
      <w:r>
        <w:t>The benchmark is conditional on selection of PLS screen-positive highlighted models. Positive differences favour ridge; metrics and paired-repeat intervals should be interpreted by magnitude rather than winner counts.</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tblHeader w:val="true"/>
          <w:cantSplit/>
        </w:trPr>
        <w:tc>
          <w:tcPr>
            <w:tcW w:type="dxa" w:w="975"/>
          </w:tcPr>
          <w:p>
            <w:r>
              <w:rPr>
                <w:b/>
                <w:sz w:val="17"/>
              </w:rPr>
              <w:t>Type</w:t>
            </w:r>
          </w:p>
        </w:tc>
        <w:tc>
          <w:tcPr>
            <w:tcW w:type="dxa" w:w="975"/>
          </w:tcPr>
          <w:p>
            <w:r>
              <w:rPr>
                <w:b/>
                <w:sz w:val="17"/>
              </w:rPr>
              <w:t>Family</w:t>
            </w:r>
          </w:p>
        </w:tc>
        <w:tc>
          <w:tcPr>
            <w:tcW w:type="dxa" w:w="975"/>
          </w:tcPr>
          <w:p>
            <w:r>
              <w:rPr>
                <w:b/>
                <w:sz w:val="17"/>
              </w:rPr>
              <w:t>Cancer</w:t>
            </w:r>
          </w:p>
        </w:tc>
        <w:tc>
          <w:tcPr>
            <w:tcW w:type="dxa" w:w="975"/>
          </w:tcPr>
          <w:p>
            <w:r>
              <w:rPr>
                <w:b/>
                <w:sz w:val="17"/>
              </w:rPr>
              <w:t>Endpoint</w:t>
            </w:r>
          </w:p>
        </w:tc>
        <w:tc>
          <w:tcPr>
            <w:tcW w:type="dxa" w:w="975"/>
          </w:tcPr>
          <w:p>
            <w:r>
              <w:rPr>
                <w:b/>
                <w:sz w:val="17"/>
              </w:rPr>
              <w:t>Metric</w:t>
            </w:r>
          </w:p>
        </w:tc>
        <w:tc>
          <w:tcPr>
            <w:tcW w:type="dxa" w:w="975"/>
          </w:tcPr>
          <w:p>
            <w:r>
              <w:rPr>
                <w:b/>
                <w:sz w:val="17"/>
              </w:rPr>
              <w:t>PLS mean</w:t>
            </w:r>
          </w:p>
        </w:tc>
        <w:tc>
          <w:tcPr>
            <w:tcW w:type="dxa" w:w="975"/>
          </w:tcPr>
          <w:p>
            <w:r>
              <w:rPr>
                <w:b/>
                <w:sz w:val="17"/>
              </w:rPr>
              <w:t>Ridge mean</w:t>
            </w:r>
          </w:p>
        </w:tc>
        <w:tc>
          <w:tcPr>
            <w:tcW w:type="dxa" w:w="975"/>
          </w:tcPr>
          <w:p>
            <w:r>
              <w:rPr>
                <w:b/>
                <w:sz w:val="17"/>
              </w:rPr>
              <w:t>Ridge−PLS</w:t>
            </w:r>
          </w:p>
        </w:tc>
        <w:tc>
          <w:tcPr>
            <w:tcW w:type="dxa" w:w="975"/>
          </w:tcPr>
          <w:p>
            <w:r>
              <w:rPr>
                <w:b/>
                <w:sz w:val="17"/>
              </w:rPr>
              <w:t>95% interval</w:t>
            </w:r>
          </w:p>
        </w:tc>
        <w:tc>
          <w:tcPr>
            <w:tcW w:type="dxa" w:w="975"/>
          </w:tcPr>
          <w:p>
            <w:r>
              <w:rPr>
                <w:b/>
                <w:sz w:val="17"/>
              </w:rPr>
              <w:t>Interpretation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balanced accuracy</w:t>
            </w:r>
          </w:p>
        </w:tc>
        <w:tc>
          <w:tcPr>
            <w:tcW w:type="dxa" w:w="975"/>
            <w:vAlign w:val="center"/>
          </w:tcPr>
          <w:p>
            <w:r>
              <w:rPr>
                <w:sz w:val="16"/>
              </w:rPr>
              <w:t>0.862</w:t>
            </w:r>
          </w:p>
        </w:tc>
        <w:tc>
          <w:tcPr>
            <w:tcW w:type="dxa" w:w="975"/>
            <w:vAlign w:val="center"/>
          </w:tcPr>
          <w:p>
            <w:r>
              <w:rPr>
                <w:sz w:val="16"/>
              </w:rPr>
              <w:t>0.858</w:t>
            </w:r>
          </w:p>
        </w:tc>
        <w:tc>
          <w:tcPr>
            <w:tcW w:type="dxa" w:w="975"/>
            <w:vAlign w:val="center"/>
          </w:tcPr>
          <w:p>
            <w:r>
              <w:rPr>
                <w:sz w:val="16"/>
              </w:rPr>
              <w:t>-0.004</w:t>
            </w:r>
          </w:p>
        </w:tc>
        <w:tc>
          <w:tcPr>
            <w:tcW w:type="dxa" w:w="975"/>
            <w:vAlign w:val="center"/>
          </w:tcPr>
          <w:p>
            <w:r>
              <w:rPr>
                <w:sz w:val="16"/>
              </w:rPr>
              <w:t>-0.014 to 0.007</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THYM</w:t>
            </w:r>
          </w:p>
        </w:tc>
        <w:tc>
          <w:tcPr>
            <w:tcW w:type="dxa" w:w="975"/>
            <w:vAlign w:val="center"/>
          </w:tcPr>
          <w:p>
            <w:r>
              <w:rPr>
                <w:sz w:val="16"/>
              </w:rPr>
              <w:t>GTF2I</w:t>
            </w:r>
          </w:p>
        </w:tc>
        <w:tc>
          <w:tcPr>
            <w:tcW w:type="dxa" w:w="975"/>
            <w:vAlign w:val="center"/>
          </w:tcPr>
          <w:p>
            <w:r>
              <w:rPr>
                <w:sz w:val="16"/>
              </w:rPr>
              <w:t>balanced accuracy</w:t>
            </w:r>
          </w:p>
        </w:tc>
        <w:tc>
          <w:tcPr>
            <w:tcW w:type="dxa" w:w="975"/>
            <w:vAlign w:val="center"/>
          </w:tcPr>
          <w:p>
            <w:r>
              <w:rPr>
                <w:sz w:val="16"/>
              </w:rPr>
              <w:t>0.859</w:t>
            </w:r>
          </w:p>
        </w:tc>
        <w:tc>
          <w:tcPr>
            <w:tcW w:type="dxa" w:w="975"/>
            <w:vAlign w:val="center"/>
          </w:tcPr>
          <w:p>
            <w:r>
              <w:rPr>
                <w:sz w:val="16"/>
              </w:rPr>
              <w:t>0.866</w:t>
            </w:r>
          </w:p>
        </w:tc>
        <w:tc>
          <w:tcPr>
            <w:tcW w:type="dxa" w:w="975"/>
            <w:vAlign w:val="center"/>
          </w:tcPr>
          <w:p>
            <w:r>
              <w:rPr>
                <w:sz w:val="16"/>
              </w:rPr>
              <w:t>0.007</w:t>
            </w:r>
          </w:p>
        </w:tc>
        <w:tc>
          <w:tcPr>
            <w:tcW w:type="dxa" w:w="975"/>
            <w:vAlign w:val="center"/>
          </w:tcPr>
          <w:p>
            <w:r>
              <w:rPr>
                <w:sz w:val="16"/>
              </w:rPr>
              <w:t>-0.027 to 0.041</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READ</w:t>
            </w:r>
          </w:p>
        </w:tc>
        <w:tc>
          <w:tcPr>
            <w:tcW w:type="dxa" w:w="975"/>
            <w:vAlign w:val="center"/>
          </w:tcPr>
          <w:p>
            <w:r>
              <w:rPr>
                <w:sz w:val="16"/>
              </w:rPr>
              <w:t>TP53</w:t>
            </w:r>
          </w:p>
        </w:tc>
        <w:tc>
          <w:tcPr>
            <w:tcW w:type="dxa" w:w="975"/>
            <w:vAlign w:val="center"/>
          </w:tcPr>
          <w:p>
            <w:r>
              <w:rPr>
                <w:sz w:val="16"/>
              </w:rPr>
              <w:t>balanced accuracy</w:t>
            </w:r>
          </w:p>
        </w:tc>
        <w:tc>
          <w:tcPr>
            <w:tcW w:type="dxa" w:w="975"/>
            <w:vAlign w:val="center"/>
          </w:tcPr>
          <w:p>
            <w:r>
              <w:rPr>
                <w:sz w:val="16"/>
              </w:rPr>
              <w:t>0.858</w:t>
            </w:r>
          </w:p>
        </w:tc>
        <w:tc>
          <w:tcPr>
            <w:tcW w:type="dxa" w:w="975"/>
            <w:vAlign w:val="center"/>
          </w:tcPr>
          <w:p>
            <w:r>
              <w:rPr>
                <w:sz w:val="16"/>
              </w:rPr>
              <w:t>0.874</w:t>
            </w:r>
          </w:p>
        </w:tc>
        <w:tc>
          <w:tcPr>
            <w:tcW w:type="dxa" w:w="975"/>
            <w:vAlign w:val="center"/>
          </w:tcPr>
          <w:p>
            <w:r>
              <w:rPr>
                <w:sz w:val="16"/>
              </w:rPr>
              <w:t>0.016</w:t>
            </w:r>
          </w:p>
        </w:tc>
        <w:tc>
          <w:tcPr>
            <w:tcW w:type="dxa" w:w="975"/>
            <w:vAlign w:val="center"/>
          </w:tcPr>
          <w:p>
            <w:r>
              <w:rPr>
                <w:sz w:val="16"/>
              </w:rPr>
              <w:t>-0.001 to 0.033</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THCA</w:t>
            </w:r>
          </w:p>
        </w:tc>
        <w:tc>
          <w:tcPr>
            <w:tcW w:type="dxa" w:w="975"/>
            <w:vAlign w:val="center"/>
          </w:tcPr>
          <w:p>
            <w:r>
              <w:rPr>
                <w:sz w:val="16"/>
              </w:rPr>
              <w:t>BRAF</w:t>
            </w:r>
          </w:p>
        </w:tc>
        <w:tc>
          <w:tcPr>
            <w:tcW w:type="dxa" w:w="975"/>
            <w:vAlign w:val="center"/>
          </w:tcPr>
          <w:p>
            <w:r>
              <w:rPr>
                <w:sz w:val="16"/>
              </w:rPr>
              <w:t>balanced accuracy</w:t>
            </w:r>
          </w:p>
        </w:tc>
        <w:tc>
          <w:tcPr>
            <w:tcW w:type="dxa" w:w="975"/>
            <w:vAlign w:val="center"/>
          </w:tcPr>
          <w:p>
            <w:r>
              <w:rPr>
                <w:sz w:val="16"/>
              </w:rPr>
              <w:t>0.837</w:t>
            </w:r>
          </w:p>
        </w:tc>
        <w:tc>
          <w:tcPr>
            <w:tcW w:type="dxa" w:w="975"/>
            <w:vAlign w:val="center"/>
          </w:tcPr>
          <w:p>
            <w:r>
              <w:rPr>
                <w:sz w:val="16"/>
              </w:rPr>
              <w:t>0.826</w:t>
            </w:r>
          </w:p>
        </w:tc>
        <w:tc>
          <w:tcPr>
            <w:tcW w:type="dxa" w:w="975"/>
            <w:vAlign w:val="center"/>
          </w:tcPr>
          <w:p>
            <w:r>
              <w:rPr>
                <w:sz w:val="16"/>
              </w:rPr>
              <w:t>-0.010</w:t>
            </w:r>
          </w:p>
        </w:tc>
        <w:tc>
          <w:tcPr>
            <w:tcW w:type="dxa" w:w="975"/>
            <w:vAlign w:val="center"/>
          </w:tcPr>
          <w:p>
            <w:r>
              <w:rPr>
                <w:sz w:val="16"/>
              </w:rPr>
              <w:t>-0.018 to -0.003</w:t>
            </w:r>
          </w:p>
        </w:tc>
        <w:tc>
          <w:tcPr>
            <w:tcW w:type="dxa" w:w="975"/>
            <w:vAlign w:val="center"/>
          </w:tcPr>
          <w:p>
            <w:r>
              <w:rPr>
                <w:sz w:val="16"/>
              </w:rPr>
              <w:t>PLS</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READ</w:t>
            </w:r>
          </w:p>
        </w:tc>
        <w:tc>
          <w:tcPr>
            <w:tcW w:type="dxa" w:w="975"/>
            <w:vAlign w:val="center"/>
          </w:tcPr>
          <w:p>
            <w:r>
              <w:rPr>
                <w:sz w:val="16"/>
              </w:rPr>
              <w:t>APC</w:t>
            </w:r>
          </w:p>
        </w:tc>
        <w:tc>
          <w:tcPr>
            <w:tcW w:type="dxa" w:w="975"/>
            <w:vAlign w:val="center"/>
          </w:tcPr>
          <w:p>
            <w:r>
              <w:rPr>
                <w:sz w:val="16"/>
              </w:rPr>
              <w:t>balanced accuracy</w:t>
            </w:r>
          </w:p>
        </w:tc>
        <w:tc>
          <w:tcPr>
            <w:tcW w:type="dxa" w:w="975"/>
            <w:vAlign w:val="center"/>
          </w:tcPr>
          <w:p>
            <w:r>
              <w:rPr>
                <w:sz w:val="16"/>
              </w:rPr>
              <w:t>0.827</w:t>
            </w:r>
          </w:p>
        </w:tc>
        <w:tc>
          <w:tcPr>
            <w:tcW w:type="dxa" w:w="975"/>
            <w:vAlign w:val="center"/>
          </w:tcPr>
          <w:p>
            <w:r>
              <w:rPr>
                <w:sz w:val="16"/>
              </w:rPr>
              <w:t>0.860</w:t>
            </w:r>
          </w:p>
        </w:tc>
        <w:tc>
          <w:tcPr>
            <w:tcW w:type="dxa" w:w="975"/>
            <w:vAlign w:val="center"/>
          </w:tcPr>
          <w:p>
            <w:r>
              <w:rPr>
                <w:sz w:val="16"/>
              </w:rPr>
              <w:t>0.033</w:t>
            </w:r>
          </w:p>
        </w:tc>
        <w:tc>
          <w:tcPr>
            <w:tcW w:type="dxa" w:w="975"/>
            <w:vAlign w:val="center"/>
          </w:tcPr>
          <w:p>
            <w:r>
              <w:rPr>
                <w:sz w:val="16"/>
              </w:rPr>
              <w:t>0.006 to 0.060</w:t>
            </w:r>
          </w:p>
        </w:tc>
        <w:tc>
          <w:tcPr>
            <w:tcW w:type="dxa" w:w="975"/>
            <w:vAlign w:val="center"/>
          </w:tcPr>
          <w:p>
            <w:r>
              <w:rPr>
                <w:sz w:val="16"/>
              </w:rPr>
              <w:t>ridge</w:t>
            </w:r>
          </w:p>
        </w:tc>
      </w:tr>
      <w:tr>
        <w:trPr>
          <w:cantSplit/>
        </w:trPr>
        <w:tc>
          <w:tcPr>
            <w:tcW w:type="dxa" w:w="975"/>
            <w:vAlign w:val="center"/>
          </w:tcPr>
          <w:p>
            <w:r>
              <w:rPr>
                <w:sz w:val="16"/>
              </w:rPr>
              <w:t>binary</w:t>
            </w:r>
          </w:p>
        </w:tc>
        <w:tc>
          <w:tcPr>
            <w:tcW w:type="dxa" w:w="975"/>
            <w:vAlign w:val="center"/>
          </w:tcPr>
          <w:p>
            <w:r>
              <w:rPr>
                <w:sz w:val="16"/>
              </w:rPr>
              <w:t>oncogenic_pathway</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balanced accuracy</w:t>
            </w:r>
          </w:p>
        </w:tc>
        <w:tc>
          <w:tcPr>
            <w:tcW w:type="dxa" w:w="975"/>
            <w:vAlign w:val="center"/>
          </w:tcPr>
          <w:p>
            <w:r>
              <w:rPr>
                <w:sz w:val="16"/>
              </w:rPr>
              <w:t>0.825</w:t>
            </w:r>
          </w:p>
        </w:tc>
        <w:tc>
          <w:tcPr>
            <w:tcW w:type="dxa" w:w="975"/>
            <w:vAlign w:val="center"/>
          </w:tcPr>
          <w:p>
            <w:r>
              <w:rPr>
                <w:sz w:val="16"/>
              </w:rPr>
              <w:t>0.833</w:t>
            </w:r>
          </w:p>
        </w:tc>
        <w:tc>
          <w:tcPr>
            <w:tcW w:type="dxa" w:w="975"/>
            <w:vAlign w:val="center"/>
          </w:tcPr>
          <w:p>
            <w:r>
              <w:rPr>
                <w:sz w:val="16"/>
              </w:rPr>
              <w:t>0.007</w:t>
            </w:r>
          </w:p>
        </w:tc>
        <w:tc>
          <w:tcPr>
            <w:tcW w:type="dxa" w:w="975"/>
            <w:vAlign w:val="center"/>
          </w:tcPr>
          <w:p>
            <w:r>
              <w:rPr>
                <w:sz w:val="16"/>
              </w:rPr>
              <w:t>-0.005 to 0.020</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oncogenic_pathway</w:t>
            </w:r>
          </w:p>
        </w:tc>
        <w:tc>
          <w:tcPr>
            <w:tcW w:type="dxa" w:w="975"/>
            <w:vAlign w:val="center"/>
          </w:tcPr>
          <w:p>
            <w:r>
              <w:rPr>
                <w:sz w:val="16"/>
              </w:rPr>
              <w:t>LGG</w:t>
            </w:r>
          </w:p>
        </w:tc>
        <w:tc>
          <w:tcPr>
            <w:tcW w:type="dxa" w:w="975"/>
            <w:vAlign w:val="center"/>
          </w:tcPr>
          <w:p>
            <w:r>
              <w:rPr>
                <w:sz w:val="16"/>
              </w:rPr>
              <w:t>HIPPO</w:t>
            </w:r>
          </w:p>
        </w:tc>
        <w:tc>
          <w:tcPr>
            <w:tcW w:type="dxa" w:w="975"/>
            <w:vAlign w:val="center"/>
          </w:tcPr>
          <w:p>
            <w:r>
              <w:rPr>
                <w:sz w:val="16"/>
              </w:rPr>
              <w:t>balanced accuracy</w:t>
            </w:r>
          </w:p>
        </w:tc>
        <w:tc>
          <w:tcPr>
            <w:tcW w:type="dxa" w:w="975"/>
            <w:vAlign w:val="center"/>
          </w:tcPr>
          <w:p>
            <w:r>
              <w:rPr>
                <w:sz w:val="16"/>
              </w:rPr>
              <w:t>0.818</w:t>
            </w:r>
          </w:p>
        </w:tc>
        <w:tc>
          <w:tcPr>
            <w:tcW w:type="dxa" w:w="975"/>
            <w:vAlign w:val="center"/>
          </w:tcPr>
          <w:p>
            <w:r>
              <w:rPr>
                <w:sz w:val="16"/>
              </w:rPr>
              <w:t>0.832</w:t>
            </w:r>
          </w:p>
        </w:tc>
        <w:tc>
          <w:tcPr>
            <w:tcW w:type="dxa" w:w="975"/>
            <w:vAlign w:val="center"/>
          </w:tcPr>
          <w:p>
            <w:r>
              <w:rPr>
                <w:sz w:val="16"/>
              </w:rPr>
              <w:t>0.014</w:t>
            </w:r>
          </w:p>
        </w:tc>
        <w:tc>
          <w:tcPr>
            <w:tcW w:type="dxa" w:w="975"/>
            <w:vAlign w:val="center"/>
          </w:tcPr>
          <w:p>
            <w:r>
              <w:rPr>
                <w:sz w:val="16"/>
              </w:rPr>
              <w:t>-0.006 to 0.034</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COAD</w:t>
            </w:r>
          </w:p>
        </w:tc>
        <w:tc>
          <w:tcPr>
            <w:tcW w:type="dxa" w:w="975"/>
            <w:vAlign w:val="center"/>
          </w:tcPr>
          <w:p>
            <w:r>
              <w:rPr>
                <w:sz w:val="16"/>
              </w:rPr>
              <w:t>APC</w:t>
            </w:r>
          </w:p>
        </w:tc>
        <w:tc>
          <w:tcPr>
            <w:tcW w:type="dxa" w:w="975"/>
            <w:vAlign w:val="center"/>
          </w:tcPr>
          <w:p>
            <w:r>
              <w:rPr>
                <w:sz w:val="16"/>
              </w:rPr>
              <w:t>balanced accuracy</w:t>
            </w:r>
          </w:p>
        </w:tc>
        <w:tc>
          <w:tcPr>
            <w:tcW w:type="dxa" w:w="975"/>
            <w:vAlign w:val="center"/>
          </w:tcPr>
          <w:p>
            <w:r>
              <w:rPr>
                <w:sz w:val="16"/>
              </w:rPr>
              <w:t>0.794</w:t>
            </w:r>
          </w:p>
        </w:tc>
        <w:tc>
          <w:tcPr>
            <w:tcW w:type="dxa" w:w="975"/>
            <w:vAlign w:val="center"/>
          </w:tcPr>
          <w:p>
            <w:r>
              <w:rPr>
                <w:sz w:val="16"/>
              </w:rPr>
              <w:t>0.788</w:t>
            </w:r>
          </w:p>
        </w:tc>
        <w:tc>
          <w:tcPr>
            <w:tcW w:type="dxa" w:w="975"/>
            <w:vAlign w:val="center"/>
          </w:tcPr>
          <w:p>
            <w:r>
              <w:rPr>
                <w:sz w:val="16"/>
              </w:rPr>
              <w:t>-0.006</w:t>
            </w:r>
          </w:p>
        </w:tc>
        <w:tc>
          <w:tcPr>
            <w:tcW w:type="dxa" w:w="975"/>
            <w:vAlign w:val="center"/>
          </w:tcPr>
          <w:p>
            <w:r>
              <w:rPr>
                <w:sz w:val="16"/>
              </w:rPr>
              <w:t>-0.021 to 0.009</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microsatellite_instability_sensitivity</w:t>
            </w:r>
          </w:p>
        </w:tc>
        <w:tc>
          <w:tcPr>
            <w:tcW w:type="dxa" w:w="975"/>
            <w:vAlign w:val="center"/>
          </w:tcPr>
          <w:p>
            <w:r>
              <w:rPr>
                <w:sz w:val="16"/>
              </w:rPr>
              <w:t>COAD</w:t>
            </w:r>
          </w:p>
        </w:tc>
        <w:tc>
          <w:tcPr>
            <w:tcW w:type="dxa" w:w="975"/>
            <w:vAlign w:val="center"/>
          </w:tcPr>
          <w:p>
            <w:r>
              <w:rPr>
                <w:sz w:val="16"/>
              </w:rPr>
              <w:t>MSI-H strict (MANTIS &gt;0.6)</w:t>
            </w:r>
          </w:p>
        </w:tc>
        <w:tc>
          <w:tcPr>
            <w:tcW w:type="dxa" w:w="975"/>
            <w:vAlign w:val="center"/>
          </w:tcPr>
          <w:p>
            <w:r>
              <w:rPr>
                <w:sz w:val="16"/>
              </w:rPr>
              <w:t>balanced accuracy</w:t>
            </w:r>
          </w:p>
        </w:tc>
        <w:tc>
          <w:tcPr>
            <w:tcW w:type="dxa" w:w="975"/>
            <w:vAlign w:val="center"/>
          </w:tcPr>
          <w:p>
            <w:r>
              <w:rPr>
                <w:sz w:val="16"/>
              </w:rPr>
              <w:t>0.782</w:t>
            </w:r>
          </w:p>
        </w:tc>
        <w:tc>
          <w:tcPr>
            <w:tcW w:type="dxa" w:w="975"/>
            <w:vAlign w:val="center"/>
          </w:tcPr>
          <w:p>
            <w:r>
              <w:rPr>
                <w:sz w:val="16"/>
              </w:rPr>
              <w:t>0.835</w:t>
            </w:r>
          </w:p>
        </w:tc>
        <w:tc>
          <w:tcPr>
            <w:tcW w:type="dxa" w:w="975"/>
            <w:vAlign w:val="center"/>
          </w:tcPr>
          <w:p>
            <w:r>
              <w:rPr>
                <w:sz w:val="16"/>
              </w:rPr>
              <w:t>0.053</w:t>
            </w:r>
          </w:p>
        </w:tc>
        <w:tc>
          <w:tcPr>
            <w:tcW w:type="dxa" w:w="975"/>
            <w:vAlign w:val="center"/>
          </w:tcPr>
          <w:p>
            <w:r>
              <w:rPr>
                <w:sz w:val="16"/>
              </w:rPr>
              <w:t>0.010 to 0.097</w:t>
            </w:r>
          </w:p>
        </w:tc>
        <w:tc>
          <w:tcPr>
            <w:tcW w:type="dxa" w:w="975"/>
            <w:vAlign w:val="center"/>
          </w:tcPr>
          <w:p>
            <w:r>
              <w:rPr>
                <w:sz w:val="16"/>
              </w:rPr>
              <w:t>ridge</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LGG</w:t>
            </w:r>
          </w:p>
        </w:tc>
        <w:tc>
          <w:tcPr>
            <w:tcW w:type="dxa" w:w="975"/>
            <w:vAlign w:val="center"/>
          </w:tcPr>
          <w:p>
            <w:r>
              <w:rPr>
                <w:sz w:val="16"/>
              </w:rPr>
              <w:t>IDH1</w:t>
            </w:r>
          </w:p>
        </w:tc>
        <w:tc>
          <w:tcPr>
            <w:tcW w:type="dxa" w:w="975"/>
            <w:vAlign w:val="center"/>
          </w:tcPr>
          <w:p>
            <w:r>
              <w:rPr>
                <w:sz w:val="16"/>
              </w:rPr>
              <w:t>balanced accuracy</w:t>
            </w:r>
          </w:p>
        </w:tc>
        <w:tc>
          <w:tcPr>
            <w:tcW w:type="dxa" w:w="975"/>
            <w:vAlign w:val="center"/>
          </w:tcPr>
          <w:p>
            <w:r>
              <w:rPr>
                <w:sz w:val="16"/>
              </w:rPr>
              <w:t>0.782</w:t>
            </w:r>
          </w:p>
        </w:tc>
        <w:tc>
          <w:tcPr>
            <w:tcW w:type="dxa" w:w="975"/>
            <w:vAlign w:val="center"/>
          </w:tcPr>
          <w:p>
            <w:r>
              <w:rPr>
                <w:sz w:val="16"/>
              </w:rPr>
              <w:t>0.792</w:t>
            </w:r>
          </w:p>
        </w:tc>
        <w:tc>
          <w:tcPr>
            <w:tcW w:type="dxa" w:w="975"/>
            <w:vAlign w:val="center"/>
          </w:tcPr>
          <w:p>
            <w:r>
              <w:rPr>
                <w:sz w:val="16"/>
              </w:rPr>
              <w:t>0.010</w:t>
            </w:r>
          </w:p>
        </w:tc>
        <w:tc>
          <w:tcPr>
            <w:tcW w:type="dxa" w:w="975"/>
            <w:vAlign w:val="center"/>
          </w:tcPr>
          <w:p>
            <w:r>
              <w:rPr>
                <w:sz w:val="16"/>
              </w:rPr>
              <w:t>-0.003 to 0.023</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fusion</w:t>
            </w:r>
          </w:p>
        </w:tc>
        <w:tc>
          <w:tcPr>
            <w:tcW w:type="dxa" w:w="975"/>
            <w:vAlign w:val="center"/>
          </w:tcPr>
          <w:p>
            <w:r>
              <w:rPr>
                <w:sz w:val="16"/>
              </w:rPr>
              <w:t>UCEC</w:t>
            </w:r>
          </w:p>
        </w:tc>
        <w:tc>
          <w:tcPr>
            <w:tcW w:type="dxa" w:w="975"/>
            <w:vAlign w:val="center"/>
          </w:tcPr>
          <w:p>
            <w:r>
              <w:rPr>
                <w:sz w:val="16"/>
              </w:rPr>
              <w:t>Any called fusion</w:t>
            </w:r>
          </w:p>
        </w:tc>
        <w:tc>
          <w:tcPr>
            <w:tcW w:type="dxa" w:w="975"/>
            <w:vAlign w:val="center"/>
          </w:tcPr>
          <w:p>
            <w:r>
              <w:rPr>
                <w:sz w:val="16"/>
              </w:rPr>
              <w:t>balanced accuracy</w:t>
            </w:r>
          </w:p>
        </w:tc>
        <w:tc>
          <w:tcPr>
            <w:tcW w:type="dxa" w:w="975"/>
            <w:vAlign w:val="center"/>
          </w:tcPr>
          <w:p>
            <w:r>
              <w:rPr>
                <w:sz w:val="16"/>
              </w:rPr>
              <w:t>0.781</w:t>
            </w:r>
          </w:p>
        </w:tc>
        <w:tc>
          <w:tcPr>
            <w:tcW w:type="dxa" w:w="975"/>
            <w:vAlign w:val="center"/>
          </w:tcPr>
          <w:p>
            <w:r>
              <w:rPr>
                <w:sz w:val="16"/>
              </w:rPr>
              <w:t>0.787</w:t>
            </w:r>
          </w:p>
        </w:tc>
        <w:tc>
          <w:tcPr>
            <w:tcW w:type="dxa" w:w="975"/>
            <w:vAlign w:val="center"/>
          </w:tcPr>
          <w:p>
            <w:r>
              <w:rPr>
                <w:sz w:val="16"/>
              </w:rPr>
              <w:t>0.006</w:t>
            </w:r>
          </w:p>
        </w:tc>
        <w:tc>
          <w:tcPr>
            <w:tcW w:type="dxa" w:w="975"/>
            <w:vAlign w:val="center"/>
          </w:tcPr>
          <w:p>
            <w:r>
              <w:rPr>
                <w:sz w:val="16"/>
              </w:rPr>
              <w:t>-0.024 to 0.036</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COAD</w:t>
            </w:r>
          </w:p>
        </w:tc>
        <w:tc>
          <w:tcPr>
            <w:tcW w:type="dxa" w:w="975"/>
            <w:vAlign w:val="center"/>
          </w:tcPr>
          <w:p>
            <w:r>
              <w:rPr>
                <w:sz w:val="16"/>
              </w:rPr>
              <w:t>TP53</w:t>
            </w:r>
          </w:p>
        </w:tc>
        <w:tc>
          <w:tcPr>
            <w:tcW w:type="dxa" w:w="975"/>
            <w:vAlign w:val="center"/>
          </w:tcPr>
          <w:p>
            <w:r>
              <w:rPr>
                <w:sz w:val="16"/>
              </w:rPr>
              <w:t>balanced accuracy</w:t>
            </w:r>
          </w:p>
        </w:tc>
        <w:tc>
          <w:tcPr>
            <w:tcW w:type="dxa" w:w="975"/>
            <w:vAlign w:val="center"/>
          </w:tcPr>
          <w:p>
            <w:r>
              <w:rPr>
                <w:sz w:val="16"/>
              </w:rPr>
              <w:t>0.778</w:t>
            </w:r>
          </w:p>
        </w:tc>
        <w:tc>
          <w:tcPr>
            <w:tcW w:type="dxa" w:w="975"/>
            <w:vAlign w:val="center"/>
          </w:tcPr>
          <w:p>
            <w:r>
              <w:rPr>
                <w:sz w:val="16"/>
              </w:rPr>
              <w:t>0.773</w:t>
            </w:r>
          </w:p>
        </w:tc>
        <w:tc>
          <w:tcPr>
            <w:tcW w:type="dxa" w:w="975"/>
            <w:vAlign w:val="center"/>
          </w:tcPr>
          <w:p>
            <w:r>
              <w:rPr>
                <w:sz w:val="16"/>
              </w:rPr>
              <w:t>-0.005</w:t>
            </w:r>
          </w:p>
        </w:tc>
        <w:tc>
          <w:tcPr>
            <w:tcW w:type="dxa" w:w="975"/>
            <w:vAlign w:val="center"/>
          </w:tcPr>
          <w:p>
            <w:r>
              <w:rPr>
                <w:sz w:val="16"/>
              </w:rPr>
              <w:t>-0.018 to 0.008</w:t>
            </w:r>
          </w:p>
        </w:tc>
        <w:tc>
          <w:tcPr>
            <w:tcW w:type="dxa" w:w="975"/>
            <w:vAlign w:val="center"/>
          </w:tcPr>
          <w:p>
            <w:r>
              <w:rPr>
                <w:sz w:val="16"/>
              </w:rPr>
              <w:t>PLS (prespecified; difference uncertain)</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TGCT</w:t>
            </w:r>
          </w:p>
        </w:tc>
        <w:tc>
          <w:tcPr>
            <w:tcW w:type="dxa" w:w="975"/>
            <w:vAlign w:val="center"/>
          </w:tcPr>
          <w:p>
            <w:r>
              <w:rPr>
                <w:sz w:val="16"/>
              </w:rPr>
              <w:t>TGF-beta Response</w:t>
            </w:r>
          </w:p>
        </w:tc>
        <w:tc>
          <w:tcPr>
            <w:tcW w:type="dxa" w:w="975"/>
            <w:vAlign w:val="center"/>
          </w:tcPr>
          <w:p>
            <w:r>
              <w:rPr>
                <w:sz w:val="16"/>
              </w:rPr>
              <w:t>Q2</w:t>
            </w:r>
          </w:p>
        </w:tc>
        <w:tc>
          <w:tcPr>
            <w:tcW w:type="dxa" w:w="975"/>
            <w:vAlign w:val="center"/>
          </w:tcPr>
          <w:p>
            <w:r>
              <w:rPr>
                <w:sz w:val="16"/>
              </w:rPr>
              <w:t>0.670</w:t>
            </w:r>
          </w:p>
        </w:tc>
        <w:tc>
          <w:tcPr>
            <w:tcW w:type="dxa" w:w="975"/>
            <w:vAlign w:val="center"/>
          </w:tcPr>
          <w:p>
            <w:r>
              <w:rPr>
                <w:sz w:val="16"/>
              </w:rPr>
              <w:t>0.683</w:t>
            </w:r>
          </w:p>
        </w:tc>
        <w:tc>
          <w:tcPr>
            <w:tcW w:type="dxa" w:w="975"/>
            <w:vAlign w:val="center"/>
          </w:tcPr>
          <w:p>
            <w:r>
              <w:rPr>
                <w:sz w:val="16"/>
              </w:rPr>
              <w:t>0.013</w:t>
            </w:r>
          </w:p>
        </w:tc>
        <w:tc>
          <w:tcPr>
            <w:tcW w:type="dxa" w:w="975"/>
            <w:vAlign w:val="center"/>
          </w:tcPr>
          <w:p>
            <w:r>
              <w:rPr>
                <w:sz w:val="16"/>
              </w:rPr>
              <w:t>-0.001 to 0.028</w:t>
            </w:r>
          </w:p>
        </w:tc>
        <w:tc>
          <w:tcPr>
            <w:tcW w:type="dxa" w:w="975"/>
            <w:vAlign w:val="center"/>
          </w:tcPr>
          <w:p>
            <w:r>
              <w:rPr>
                <w:sz w:val="16"/>
              </w:rPr>
              <w:t>PLS (prespecified; difference uncertain)</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THYM</w:t>
            </w:r>
          </w:p>
        </w:tc>
        <w:tc>
          <w:tcPr>
            <w:tcW w:type="dxa" w:w="975"/>
            <w:vAlign w:val="center"/>
          </w:tcPr>
          <w:p>
            <w:r>
              <w:rPr>
                <w:sz w:val="16"/>
              </w:rPr>
              <w:t>Th17 Cells</w:t>
            </w:r>
          </w:p>
        </w:tc>
        <w:tc>
          <w:tcPr>
            <w:tcW w:type="dxa" w:w="975"/>
            <w:vAlign w:val="center"/>
          </w:tcPr>
          <w:p>
            <w:r>
              <w:rPr>
                <w:sz w:val="16"/>
              </w:rPr>
              <w:t>Q2</w:t>
            </w:r>
          </w:p>
        </w:tc>
        <w:tc>
          <w:tcPr>
            <w:tcW w:type="dxa" w:w="975"/>
            <w:vAlign w:val="center"/>
          </w:tcPr>
          <w:p>
            <w:r>
              <w:rPr>
                <w:sz w:val="16"/>
              </w:rPr>
              <w:t>0.594</w:t>
            </w:r>
          </w:p>
        </w:tc>
        <w:tc>
          <w:tcPr>
            <w:tcW w:type="dxa" w:w="975"/>
            <w:vAlign w:val="center"/>
          </w:tcPr>
          <w:p>
            <w:r>
              <w:rPr>
                <w:sz w:val="16"/>
              </w:rPr>
              <w:t>0.638</w:t>
            </w:r>
          </w:p>
        </w:tc>
        <w:tc>
          <w:tcPr>
            <w:tcW w:type="dxa" w:w="975"/>
            <w:vAlign w:val="center"/>
          </w:tcPr>
          <w:p>
            <w:r>
              <w:rPr>
                <w:sz w:val="16"/>
              </w:rPr>
              <w:t>0.044</w:t>
            </w:r>
          </w:p>
        </w:tc>
        <w:tc>
          <w:tcPr>
            <w:tcW w:type="dxa" w:w="975"/>
            <w:vAlign w:val="center"/>
          </w:tcPr>
          <w:p>
            <w:r>
              <w:rPr>
                <w:sz w:val="16"/>
              </w:rPr>
              <w:t>0.031 to 0.056</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THCA</w:t>
            </w:r>
          </w:p>
        </w:tc>
        <w:tc>
          <w:tcPr>
            <w:tcW w:type="dxa" w:w="975"/>
            <w:vAlign w:val="center"/>
          </w:tcPr>
          <w:p>
            <w:r>
              <w:rPr>
                <w:sz w:val="16"/>
              </w:rPr>
              <w:t>Lymphocyte Infiltration Signature Score</w:t>
            </w:r>
          </w:p>
        </w:tc>
        <w:tc>
          <w:tcPr>
            <w:tcW w:type="dxa" w:w="975"/>
            <w:vAlign w:val="center"/>
          </w:tcPr>
          <w:p>
            <w:r>
              <w:rPr>
                <w:sz w:val="16"/>
              </w:rPr>
              <w:t>Q2</w:t>
            </w:r>
          </w:p>
        </w:tc>
        <w:tc>
          <w:tcPr>
            <w:tcW w:type="dxa" w:w="975"/>
            <w:vAlign w:val="center"/>
          </w:tcPr>
          <w:p>
            <w:r>
              <w:rPr>
                <w:sz w:val="16"/>
              </w:rPr>
              <w:t>0.577</w:t>
            </w:r>
          </w:p>
        </w:tc>
        <w:tc>
          <w:tcPr>
            <w:tcW w:type="dxa" w:w="975"/>
            <w:vAlign w:val="center"/>
          </w:tcPr>
          <w:p>
            <w:r>
              <w:rPr>
                <w:sz w:val="16"/>
              </w:rPr>
              <w:t>0.574</w:t>
            </w:r>
          </w:p>
        </w:tc>
        <w:tc>
          <w:tcPr>
            <w:tcW w:type="dxa" w:w="975"/>
            <w:vAlign w:val="center"/>
          </w:tcPr>
          <w:p>
            <w:r>
              <w:rPr>
                <w:sz w:val="16"/>
              </w:rPr>
              <w:t>-0.003</w:t>
            </w:r>
          </w:p>
        </w:tc>
        <w:tc>
          <w:tcPr>
            <w:tcW w:type="dxa" w:w="975"/>
            <w:vAlign w:val="center"/>
          </w:tcPr>
          <w:p>
            <w:r>
              <w:rPr>
                <w:sz w:val="16"/>
              </w:rPr>
              <w:t>-0.005 to -0.001</w:t>
            </w:r>
          </w:p>
        </w:tc>
        <w:tc>
          <w:tcPr>
            <w:tcW w:type="dxa" w:w="975"/>
            <w:vAlign w:val="center"/>
          </w:tcPr>
          <w:p>
            <w:r>
              <w:rPr>
                <w:sz w:val="16"/>
              </w:rPr>
              <w:t>PLS</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BRCA</w:t>
            </w:r>
          </w:p>
        </w:tc>
        <w:tc>
          <w:tcPr>
            <w:tcW w:type="dxa" w:w="975"/>
            <w:vAlign w:val="center"/>
          </w:tcPr>
          <w:p>
            <w:r>
              <w:rPr>
                <w:sz w:val="16"/>
              </w:rPr>
              <w:t>Wound Healing</w:t>
            </w:r>
          </w:p>
        </w:tc>
        <w:tc>
          <w:tcPr>
            <w:tcW w:type="dxa" w:w="975"/>
            <w:vAlign w:val="center"/>
          </w:tcPr>
          <w:p>
            <w:r>
              <w:rPr>
                <w:sz w:val="16"/>
              </w:rPr>
              <w:t>Q2</w:t>
            </w:r>
          </w:p>
        </w:tc>
        <w:tc>
          <w:tcPr>
            <w:tcW w:type="dxa" w:w="975"/>
            <w:vAlign w:val="center"/>
          </w:tcPr>
          <w:p>
            <w:r>
              <w:rPr>
                <w:sz w:val="16"/>
              </w:rPr>
              <w:t>0.528</w:t>
            </w:r>
          </w:p>
        </w:tc>
        <w:tc>
          <w:tcPr>
            <w:tcW w:type="dxa" w:w="975"/>
            <w:vAlign w:val="center"/>
          </w:tcPr>
          <w:p>
            <w:r>
              <w:rPr>
                <w:sz w:val="16"/>
              </w:rPr>
              <w:t>0.542</w:t>
            </w:r>
          </w:p>
        </w:tc>
        <w:tc>
          <w:tcPr>
            <w:tcW w:type="dxa" w:w="975"/>
            <w:vAlign w:val="center"/>
          </w:tcPr>
          <w:p>
            <w:r>
              <w:rPr>
                <w:sz w:val="16"/>
              </w:rPr>
              <w:t>0.014</w:t>
            </w:r>
          </w:p>
        </w:tc>
        <w:tc>
          <w:tcPr>
            <w:tcW w:type="dxa" w:w="975"/>
            <w:vAlign w:val="center"/>
          </w:tcPr>
          <w:p>
            <w:r>
              <w:rPr>
                <w:sz w:val="16"/>
              </w:rPr>
              <w:t>0.002 to 0.026</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THCA</w:t>
            </w:r>
          </w:p>
        </w:tc>
        <w:tc>
          <w:tcPr>
            <w:tcW w:type="dxa" w:w="975"/>
            <w:vAlign w:val="center"/>
          </w:tcPr>
          <w:p>
            <w:r>
              <w:rPr>
                <w:sz w:val="16"/>
              </w:rPr>
              <w:t>TGF-beta Response</w:t>
            </w:r>
          </w:p>
        </w:tc>
        <w:tc>
          <w:tcPr>
            <w:tcW w:type="dxa" w:w="975"/>
            <w:vAlign w:val="center"/>
          </w:tcPr>
          <w:p>
            <w:r>
              <w:rPr>
                <w:sz w:val="16"/>
              </w:rPr>
              <w:t>Q2</w:t>
            </w:r>
          </w:p>
        </w:tc>
        <w:tc>
          <w:tcPr>
            <w:tcW w:type="dxa" w:w="975"/>
            <w:vAlign w:val="center"/>
          </w:tcPr>
          <w:p>
            <w:r>
              <w:rPr>
                <w:sz w:val="16"/>
              </w:rPr>
              <w:t>0.524</w:t>
            </w:r>
          </w:p>
        </w:tc>
        <w:tc>
          <w:tcPr>
            <w:tcW w:type="dxa" w:w="975"/>
            <w:vAlign w:val="center"/>
          </w:tcPr>
          <w:p>
            <w:r>
              <w:rPr>
                <w:sz w:val="16"/>
              </w:rPr>
              <w:t>0.533</w:t>
            </w:r>
          </w:p>
        </w:tc>
        <w:tc>
          <w:tcPr>
            <w:tcW w:type="dxa" w:w="975"/>
            <w:vAlign w:val="center"/>
          </w:tcPr>
          <w:p>
            <w:r>
              <w:rPr>
                <w:sz w:val="16"/>
              </w:rPr>
              <w:t>0.008</w:t>
            </w:r>
          </w:p>
        </w:tc>
        <w:tc>
          <w:tcPr>
            <w:tcW w:type="dxa" w:w="975"/>
            <w:vAlign w:val="center"/>
          </w:tcPr>
          <w:p>
            <w:r>
              <w:rPr>
                <w:sz w:val="16"/>
              </w:rPr>
              <w:t>-0.000 to 0.017</w:t>
            </w:r>
          </w:p>
        </w:tc>
        <w:tc>
          <w:tcPr>
            <w:tcW w:type="dxa" w:w="975"/>
            <w:vAlign w:val="center"/>
          </w:tcPr>
          <w:p>
            <w:r>
              <w:rPr>
                <w:sz w:val="16"/>
              </w:rPr>
              <w:t>PLS (prespecified; difference uncertain)</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LUAD</w:t>
            </w:r>
          </w:p>
        </w:tc>
        <w:tc>
          <w:tcPr>
            <w:tcW w:type="dxa" w:w="975"/>
            <w:vAlign w:val="center"/>
          </w:tcPr>
          <w:p>
            <w:r>
              <w:rPr>
                <w:sz w:val="16"/>
              </w:rPr>
              <w:t>Proliferation</w:t>
            </w:r>
          </w:p>
        </w:tc>
        <w:tc>
          <w:tcPr>
            <w:tcW w:type="dxa" w:w="975"/>
            <w:vAlign w:val="center"/>
          </w:tcPr>
          <w:p>
            <w:r>
              <w:rPr>
                <w:sz w:val="16"/>
              </w:rPr>
              <w:t>Q2</w:t>
            </w:r>
          </w:p>
        </w:tc>
        <w:tc>
          <w:tcPr>
            <w:tcW w:type="dxa" w:w="975"/>
            <w:vAlign w:val="center"/>
          </w:tcPr>
          <w:p>
            <w:r>
              <w:rPr>
                <w:sz w:val="16"/>
              </w:rPr>
              <w:t>0.524</w:t>
            </w:r>
          </w:p>
        </w:tc>
        <w:tc>
          <w:tcPr>
            <w:tcW w:type="dxa" w:w="975"/>
            <w:vAlign w:val="center"/>
          </w:tcPr>
          <w:p>
            <w:r>
              <w:rPr>
                <w:sz w:val="16"/>
              </w:rPr>
              <w:t>0.537</w:t>
            </w:r>
          </w:p>
        </w:tc>
        <w:tc>
          <w:tcPr>
            <w:tcW w:type="dxa" w:w="975"/>
            <w:vAlign w:val="center"/>
          </w:tcPr>
          <w:p>
            <w:r>
              <w:rPr>
                <w:sz w:val="16"/>
              </w:rPr>
              <w:t>0.013</w:t>
            </w:r>
          </w:p>
        </w:tc>
        <w:tc>
          <w:tcPr>
            <w:tcW w:type="dxa" w:w="975"/>
            <w:vAlign w:val="center"/>
          </w:tcPr>
          <w:p>
            <w:r>
              <w:rPr>
                <w:sz w:val="16"/>
              </w:rPr>
              <w:t>0.005 to 0.020</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BRCA</w:t>
            </w:r>
          </w:p>
        </w:tc>
        <w:tc>
          <w:tcPr>
            <w:tcW w:type="dxa" w:w="975"/>
            <w:vAlign w:val="center"/>
          </w:tcPr>
          <w:p>
            <w:r>
              <w:rPr>
                <w:sz w:val="16"/>
              </w:rPr>
              <w:t>Proliferation</w:t>
            </w:r>
          </w:p>
        </w:tc>
        <w:tc>
          <w:tcPr>
            <w:tcW w:type="dxa" w:w="975"/>
            <w:vAlign w:val="center"/>
          </w:tcPr>
          <w:p>
            <w:r>
              <w:rPr>
                <w:sz w:val="16"/>
              </w:rPr>
              <w:t>Q2</w:t>
            </w:r>
          </w:p>
        </w:tc>
        <w:tc>
          <w:tcPr>
            <w:tcW w:type="dxa" w:w="975"/>
            <w:vAlign w:val="center"/>
          </w:tcPr>
          <w:p>
            <w:r>
              <w:rPr>
                <w:sz w:val="16"/>
              </w:rPr>
              <w:t>0.515</w:t>
            </w:r>
          </w:p>
        </w:tc>
        <w:tc>
          <w:tcPr>
            <w:tcW w:type="dxa" w:w="975"/>
            <w:vAlign w:val="center"/>
          </w:tcPr>
          <w:p>
            <w:r>
              <w:rPr>
                <w:sz w:val="16"/>
              </w:rPr>
              <w:t>0.531</w:t>
            </w:r>
          </w:p>
        </w:tc>
        <w:tc>
          <w:tcPr>
            <w:tcW w:type="dxa" w:w="975"/>
            <w:vAlign w:val="center"/>
          </w:tcPr>
          <w:p>
            <w:r>
              <w:rPr>
                <w:sz w:val="16"/>
              </w:rPr>
              <w:t>0.016</w:t>
            </w:r>
          </w:p>
        </w:tc>
        <w:tc>
          <w:tcPr>
            <w:tcW w:type="dxa" w:w="975"/>
            <w:vAlign w:val="center"/>
          </w:tcPr>
          <w:p>
            <w:r>
              <w:rPr>
                <w:sz w:val="16"/>
              </w:rPr>
              <w:t>0.003 to 0.029</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THCA</w:t>
            </w:r>
          </w:p>
        </w:tc>
        <w:tc>
          <w:tcPr>
            <w:tcW w:type="dxa" w:w="975"/>
            <w:vAlign w:val="center"/>
          </w:tcPr>
          <w:p>
            <w:r>
              <w:rPr>
                <w:sz w:val="16"/>
              </w:rPr>
              <w:t>Th1 Cells</w:t>
            </w:r>
          </w:p>
        </w:tc>
        <w:tc>
          <w:tcPr>
            <w:tcW w:type="dxa" w:w="975"/>
            <w:vAlign w:val="center"/>
          </w:tcPr>
          <w:p>
            <w:r>
              <w:rPr>
                <w:sz w:val="16"/>
              </w:rPr>
              <w:t>Q2</w:t>
            </w:r>
          </w:p>
        </w:tc>
        <w:tc>
          <w:tcPr>
            <w:tcW w:type="dxa" w:w="975"/>
            <w:vAlign w:val="center"/>
          </w:tcPr>
          <w:p>
            <w:r>
              <w:rPr>
                <w:sz w:val="16"/>
              </w:rPr>
              <w:t>0.514</w:t>
            </w:r>
          </w:p>
        </w:tc>
        <w:tc>
          <w:tcPr>
            <w:tcW w:type="dxa" w:w="975"/>
            <w:vAlign w:val="center"/>
          </w:tcPr>
          <w:p>
            <w:r>
              <w:rPr>
                <w:sz w:val="16"/>
              </w:rPr>
              <w:t>0.530</w:t>
            </w:r>
          </w:p>
        </w:tc>
        <w:tc>
          <w:tcPr>
            <w:tcW w:type="dxa" w:w="975"/>
            <w:vAlign w:val="center"/>
          </w:tcPr>
          <w:p>
            <w:r>
              <w:rPr>
                <w:sz w:val="16"/>
              </w:rPr>
              <w:t>0.016</w:t>
            </w:r>
          </w:p>
        </w:tc>
        <w:tc>
          <w:tcPr>
            <w:tcW w:type="dxa" w:w="975"/>
            <w:vAlign w:val="center"/>
          </w:tcPr>
          <w:p>
            <w:r>
              <w:rPr>
                <w:sz w:val="16"/>
              </w:rPr>
              <w:t>0.012 to 0.020</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TGCT</w:t>
            </w:r>
          </w:p>
        </w:tc>
        <w:tc>
          <w:tcPr>
            <w:tcW w:type="dxa" w:w="975"/>
            <w:vAlign w:val="center"/>
          </w:tcPr>
          <w:p>
            <w:r>
              <w:rPr>
                <w:sz w:val="16"/>
              </w:rPr>
              <w:t>Wound Healing</w:t>
            </w:r>
          </w:p>
        </w:tc>
        <w:tc>
          <w:tcPr>
            <w:tcW w:type="dxa" w:w="975"/>
            <w:vAlign w:val="center"/>
          </w:tcPr>
          <w:p>
            <w:r>
              <w:rPr>
                <w:sz w:val="16"/>
              </w:rPr>
              <w:t>Q2</w:t>
            </w:r>
          </w:p>
        </w:tc>
        <w:tc>
          <w:tcPr>
            <w:tcW w:type="dxa" w:w="975"/>
            <w:vAlign w:val="center"/>
          </w:tcPr>
          <w:p>
            <w:r>
              <w:rPr>
                <w:sz w:val="16"/>
              </w:rPr>
              <w:t>0.511</w:t>
            </w:r>
          </w:p>
        </w:tc>
        <w:tc>
          <w:tcPr>
            <w:tcW w:type="dxa" w:w="975"/>
            <w:vAlign w:val="center"/>
          </w:tcPr>
          <w:p>
            <w:r>
              <w:rPr>
                <w:sz w:val="16"/>
              </w:rPr>
              <w:t>0.486</w:t>
            </w:r>
          </w:p>
        </w:tc>
        <w:tc>
          <w:tcPr>
            <w:tcW w:type="dxa" w:w="975"/>
            <w:vAlign w:val="center"/>
          </w:tcPr>
          <w:p>
            <w:r>
              <w:rPr>
                <w:sz w:val="16"/>
              </w:rPr>
              <w:t>-0.025</w:t>
            </w:r>
          </w:p>
        </w:tc>
        <w:tc>
          <w:tcPr>
            <w:tcW w:type="dxa" w:w="975"/>
            <w:vAlign w:val="center"/>
          </w:tcPr>
          <w:p>
            <w:r>
              <w:rPr>
                <w:sz w:val="16"/>
              </w:rPr>
              <w:t>-0.040 to -0.009</w:t>
            </w:r>
          </w:p>
        </w:tc>
        <w:tc>
          <w:tcPr>
            <w:tcW w:type="dxa" w:w="975"/>
            <w:vAlign w:val="center"/>
          </w:tcPr>
          <w:p>
            <w:r>
              <w:rPr>
                <w:sz w:val="16"/>
              </w:rPr>
              <w:t>PLS</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THCA</w:t>
            </w:r>
          </w:p>
        </w:tc>
        <w:tc>
          <w:tcPr>
            <w:tcW w:type="dxa" w:w="975"/>
            <w:vAlign w:val="center"/>
          </w:tcPr>
          <w:p>
            <w:r>
              <w:rPr>
                <w:sz w:val="16"/>
              </w:rPr>
              <w:t>Macrophage Regulation</w:t>
            </w:r>
          </w:p>
        </w:tc>
        <w:tc>
          <w:tcPr>
            <w:tcW w:type="dxa" w:w="975"/>
            <w:vAlign w:val="center"/>
          </w:tcPr>
          <w:p>
            <w:r>
              <w:rPr>
                <w:sz w:val="16"/>
              </w:rPr>
              <w:t>Q2</w:t>
            </w:r>
          </w:p>
        </w:tc>
        <w:tc>
          <w:tcPr>
            <w:tcW w:type="dxa" w:w="975"/>
            <w:vAlign w:val="center"/>
          </w:tcPr>
          <w:p>
            <w:r>
              <w:rPr>
                <w:sz w:val="16"/>
              </w:rPr>
              <w:t>0.509</w:t>
            </w:r>
          </w:p>
        </w:tc>
        <w:tc>
          <w:tcPr>
            <w:tcW w:type="dxa" w:w="975"/>
            <w:vAlign w:val="center"/>
          </w:tcPr>
          <w:p>
            <w:r>
              <w:rPr>
                <w:sz w:val="16"/>
              </w:rPr>
              <w:t>0.513</w:t>
            </w:r>
          </w:p>
        </w:tc>
        <w:tc>
          <w:tcPr>
            <w:tcW w:type="dxa" w:w="975"/>
            <w:vAlign w:val="center"/>
          </w:tcPr>
          <w:p>
            <w:r>
              <w:rPr>
                <w:sz w:val="16"/>
              </w:rPr>
              <w:t>0.004</w:t>
            </w:r>
          </w:p>
        </w:tc>
        <w:tc>
          <w:tcPr>
            <w:tcW w:type="dxa" w:w="975"/>
            <w:vAlign w:val="center"/>
          </w:tcPr>
          <w:p>
            <w:r>
              <w:rPr>
                <w:sz w:val="16"/>
              </w:rPr>
              <w:t>-0.000 to 0.008</w:t>
            </w:r>
          </w:p>
        </w:tc>
        <w:tc>
          <w:tcPr>
            <w:tcW w:type="dxa" w:w="975"/>
            <w:vAlign w:val="center"/>
          </w:tcPr>
          <w:p>
            <w:r>
              <w:rPr>
                <w:sz w:val="16"/>
              </w:rPr>
              <w:t>PLS (prespecified; difference uncertain)</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SARC</w:t>
            </w:r>
          </w:p>
        </w:tc>
        <w:tc>
          <w:tcPr>
            <w:tcW w:type="dxa" w:w="975"/>
            <w:vAlign w:val="center"/>
          </w:tcPr>
          <w:p>
            <w:r>
              <w:rPr>
                <w:sz w:val="16"/>
              </w:rPr>
              <w:t>Macrophage Regulation</w:t>
            </w:r>
          </w:p>
        </w:tc>
        <w:tc>
          <w:tcPr>
            <w:tcW w:type="dxa" w:w="975"/>
            <w:vAlign w:val="center"/>
          </w:tcPr>
          <w:p>
            <w:r>
              <w:rPr>
                <w:sz w:val="16"/>
              </w:rPr>
              <w:t>Q2</w:t>
            </w:r>
          </w:p>
        </w:tc>
        <w:tc>
          <w:tcPr>
            <w:tcW w:type="dxa" w:w="975"/>
            <w:vAlign w:val="center"/>
          </w:tcPr>
          <w:p>
            <w:r>
              <w:rPr>
                <w:sz w:val="16"/>
              </w:rPr>
              <w:t>0.502</w:t>
            </w:r>
          </w:p>
        </w:tc>
        <w:tc>
          <w:tcPr>
            <w:tcW w:type="dxa" w:w="975"/>
            <w:vAlign w:val="center"/>
          </w:tcPr>
          <w:p>
            <w:r>
              <w:rPr>
                <w:sz w:val="16"/>
              </w:rPr>
              <w:t>0.527</w:t>
            </w:r>
          </w:p>
        </w:tc>
        <w:tc>
          <w:tcPr>
            <w:tcW w:type="dxa" w:w="975"/>
            <w:vAlign w:val="center"/>
          </w:tcPr>
          <w:p>
            <w:r>
              <w:rPr>
                <w:sz w:val="16"/>
              </w:rPr>
              <w:t>0.026</w:t>
            </w:r>
          </w:p>
        </w:tc>
        <w:tc>
          <w:tcPr>
            <w:tcW w:type="dxa" w:w="975"/>
            <w:vAlign w:val="center"/>
          </w:tcPr>
          <w:p>
            <w:r>
              <w:rPr>
                <w:sz w:val="16"/>
              </w:rPr>
              <w:t>0.018 to 0.034</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KIRP</w:t>
            </w:r>
          </w:p>
        </w:tc>
        <w:tc>
          <w:tcPr>
            <w:tcW w:type="dxa" w:w="975"/>
            <w:vAlign w:val="center"/>
          </w:tcPr>
          <w:p>
            <w:r>
              <w:rPr>
                <w:sz w:val="16"/>
              </w:rPr>
              <w:t>Proliferation</w:t>
            </w:r>
          </w:p>
        </w:tc>
        <w:tc>
          <w:tcPr>
            <w:tcW w:type="dxa" w:w="975"/>
            <w:vAlign w:val="center"/>
          </w:tcPr>
          <w:p>
            <w:r>
              <w:rPr>
                <w:sz w:val="16"/>
              </w:rPr>
              <w:t>Q2</w:t>
            </w:r>
          </w:p>
        </w:tc>
        <w:tc>
          <w:tcPr>
            <w:tcW w:type="dxa" w:w="975"/>
            <w:vAlign w:val="center"/>
          </w:tcPr>
          <w:p>
            <w:r>
              <w:rPr>
                <w:sz w:val="16"/>
              </w:rPr>
              <w:t>0.499</w:t>
            </w:r>
          </w:p>
        </w:tc>
        <w:tc>
          <w:tcPr>
            <w:tcW w:type="dxa" w:w="975"/>
            <w:vAlign w:val="center"/>
          </w:tcPr>
          <w:p>
            <w:r>
              <w:rPr>
                <w:sz w:val="16"/>
              </w:rPr>
              <w:t>0.519</w:t>
            </w:r>
          </w:p>
        </w:tc>
        <w:tc>
          <w:tcPr>
            <w:tcW w:type="dxa" w:w="975"/>
            <w:vAlign w:val="center"/>
          </w:tcPr>
          <w:p>
            <w:r>
              <w:rPr>
                <w:sz w:val="16"/>
              </w:rPr>
              <w:t>0.020</w:t>
            </w:r>
          </w:p>
        </w:tc>
        <w:tc>
          <w:tcPr>
            <w:tcW w:type="dxa" w:w="975"/>
            <w:vAlign w:val="center"/>
          </w:tcPr>
          <w:p>
            <w:r>
              <w:rPr>
                <w:sz w:val="16"/>
              </w:rPr>
              <w:t>0.010 to 0.030</w:t>
            </w:r>
          </w:p>
        </w:tc>
        <w:tc>
          <w:tcPr>
            <w:tcW w:type="dxa" w:w="975"/>
            <w:vAlign w:val="center"/>
          </w:tcPr>
          <w:p>
            <w:r>
              <w:rPr>
                <w:sz w:val="16"/>
              </w:rPr>
              <w:t>ridge</w:t>
            </w:r>
          </w:p>
        </w:tc>
      </w:tr>
    </w:tbl>
    <w:p/>
    <w:p>
      <w:pPr>
        <w:pStyle w:val="Heading1"/>
      </w:pPr>
      <w:r>
        <w:t>Table S11. Prior histology-based molecular and immune prediction landscape</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Study</w:t>
            </w:r>
          </w:p>
        </w:tc>
        <w:tc>
          <w:tcPr>
            <w:tcW w:type="dxa" w:w="1218"/>
          </w:tcPr>
          <w:p>
            <w:r>
              <w:rPr>
                <w:b/>
                <w:sz w:val="17"/>
              </w:rPr>
              <w:t>Year</w:t>
            </w:r>
          </w:p>
        </w:tc>
        <w:tc>
          <w:tcPr>
            <w:tcW w:type="dxa" w:w="1218"/>
          </w:tcPr>
          <w:p>
            <w:r>
              <w:rPr>
                <w:b/>
                <w:sz w:val="17"/>
              </w:rPr>
              <w:t>Scope</w:t>
            </w:r>
          </w:p>
        </w:tc>
        <w:tc>
          <w:tcPr>
            <w:tcW w:type="dxa" w:w="1218"/>
          </w:tcPr>
          <w:p>
            <w:r>
              <w:rPr>
                <w:b/>
                <w:sz w:val="17"/>
              </w:rPr>
              <w:t>Endpoints</w:t>
            </w:r>
          </w:p>
        </w:tc>
        <w:tc>
          <w:tcPr>
            <w:tcW w:type="dxa" w:w="1218"/>
          </w:tcPr>
          <w:p>
            <w:r>
              <w:rPr>
                <w:b/>
                <w:sz w:val="17"/>
              </w:rPr>
              <w:t>Development cohort</w:t>
            </w:r>
          </w:p>
        </w:tc>
        <w:tc>
          <w:tcPr>
            <w:tcW w:type="dxa" w:w="1218"/>
          </w:tcPr>
          <w:p>
            <w:r>
              <w:rPr>
                <w:b/>
                <w:sz w:val="17"/>
              </w:rPr>
              <w:t>External validation</w:t>
            </w:r>
          </w:p>
        </w:tc>
        <w:tc>
          <w:tcPr>
            <w:tcW w:type="dxa" w:w="1218"/>
          </w:tcPr>
          <w:p>
            <w:r>
              <w:rPr>
                <w:b/>
                <w:sz w:val="17"/>
              </w:rPr>
              <w:t>Reported performance</w:t>
            </w:r>
          </w:p>
        </w:tc>
        <w:tc>
          <w:tcPr>
            <w:tcW w:type="dxa" w:w="1218"/>
          </w:tcPr>
          <w:p>
            <w:r>
              <w:rPr>
                <w:b/>
                <w:sz w:val="17"/>
              </w:rPr>
              <w:t>DOI</w:t>
            </w:r>
          </w:p>
        </w:tc>
      </w:tr>
      <w:tr>
        <w:trPr>
          <w:cantSplit/>
        </w:trPr>
        <w:tc>
          <w:tcPr>
            <w:tcW w:type="dxa" w:w="1218"/>
            <w:vAlign w:val="center"/>
          </w:tcPr>
          <w:p>
            <w:r>
              <w:rPr>
                <w:sz w:val="16"/>
              </w:rPr>
              <w:t>Coudray et al.</w:t>
            </w:r>
          </w:p>
        </w:tc>
        <w:tc>
          <w:tcPr>
            <w:tcW w:type="dxa" w:w="1218"/>
            <w:vAlign w:val="center"/>
          </w:tcPr>
          <w:p>
            <w:r>
              <w:rPr>
                <w:sz w:val="16"/>
              </w:rPr>
              <w:t>2018</w:t>
            </w:r>
          </w:p>
        </w:tc>
        <w:tc>
          <w:tcPr>
            <w:tcW w:type="dxa" w:w="1218"/>
            <w:vAlign w:val="center"/>
          </w:tcPr>
          <w:p>
            <w:r>
              <w:rPr>
                <w:sz w:val="16"/>
              </w:rPr>
              <w:t>NSCLC and LUAD</w:t>
            </w:r>
          </w:p>
        </w:tc>
        <w:tc>
          <w:tcPr>
            <w:tcW w:type="dxa" w:w="1218"/>
            <w:vAlign w:val="center"/>
          </w:tcPr>
          <w:p>
            <w:r>
              <w:rPr>
                <w:sz w:val="16"/>
              </w:rPr>
              <w:t>Histological class and recurrent LUAD mutations</w:t>
            </w:r>
          </w:p>
        </w:tc>
        <w:tc>
          <w:tcPr>
            <w:tcW w:type="dxa" w:w="1218"/>
            <w:vAlign w:val="center"/>
          </w:tcPr>
          <w:p>
            <w:r>
              <w:rPr>
                <w:sz w:val="16"/>
              </w:rPr>
              <w:t>TCGA</w:t>
            </w:r>
          </w:p>
        </w:tc>
        <w:tc>
          <w:tcPr>
            <w:tcW w:type="dxa" w:w="1218"/>
            <w:vAlign w:val="center"/>
          </w:tcPr>
          <w:p>
            <w:r>
              <w:rPr>
                <w:sz w:val="16"/>
              </w:rPr>
              <w:t>Independent NYU cohort for histological classification; mutation models primarily TCGA held-out</w:t>
            </w:r>
          </w:p>
        </w:tc>
        <w:tc>
          <w:tcPr>
            <w:tcW w:type="dxa" w:w="1218"/>
            <w:vAlign w:val="center"/>
          </w:tcPr>
          <w:p>
            <w:r>
              <w:rPr>
                <w:sz w:val="16"/>
              </w:rPr>
              <w:t>Mutation AUROCs varied by gene; six recurrent genes were reported as discriminable</w:t>
            </w:r>
          </w:p>
        </w:tc>
        <w:tc>
          <w:tcPr>
            <w:tcW w:type="dxa" w:w="1218"/>
            <w:vAlign w:val="center"/>
          </w:tcPr>
          <w:p>
            <w:r>
              <w:rPr>
                <w:sz w:val="16"/>
              </w:rPr>
              <w:t>10.1038/s41591-018-0177-5</w:t>
            </w:r>
          </w:p>
        </w:tc>
      </w:tr>
      <w:tr>
        <w:trPr>
          <w:cantSplit/>
        </w:trPr>
        <w:tc>
          <w:tcPr>
            <w:tcW w:type="dxa" w:w="1218"/>
            <w:vAlign w:val="center"/>
          </w:tcPr>
          <w:p>
            <w:r>
              <w:rPr>
                <w:sz w:val="16"/>
              </w:rPr>
              <w:t>Kather et al.</w:t>
            </w:r>
          </w:p>
        </w:tc>
        <w:tc>
          <w:tcPr>
            <w:tcW w:type="dxa" w:w="1218"/>
            <w:vAlign w:val="center"/>
          </w:tcPr>
          <w:p>
            <w:r>
              <w:rPr>
                <w:sz w:val="16"/>
              </w:rPr>
              <w:t>2019</w:t>
            </w:r>
          </w:p>
        </w:tc>
        <w:tc>
          <w:tcPr>
            <w:tcW w:type="dxa" w:w="1218"/>
            <w:vAlign w:val="center"/>
          </w:tcPr>
          <w:p>
            <w:r>
              <w:rPr>
                <w:sz w:val="16"/>
              </w:rPr>
              <w:t>Gastrointestinal cancers and UCEC</w:t>
            </w:r>
          </w:p>
        </w:tc>
        <w:tc>
          <w:tcPr>
            <w:tcW w:type="dxa" w:w="1218"/>
            <w:vAlign w:val="center"/>
          </w:tcPr>
          <w:p>
            <w:r>
              <w:rPr>
                <w:sz w:val="16"/>
              </w:rPr>
              <w:t>MSI status</w:t>
            </w:r>
          </w:p>
        </w:tc>
        <w:tc>
          <w:tcPr>
            <w:tcW w:type="dxa" w:w="1218"/>
            <w:vAlign w:val="center"/>
          </w:tcPr>
          <w:p>
            <w:r>
              <w:rPr>
                <w:sz w:val="16"/>
              </w:rPr>
              <w:t>TCGA CRC and STAD</w:t>
            </w:r>
          </w:p>
        </w:tc>
        <w:tc>
          <w:tcPr>
            <w:tcW w:type="dxa" w:w="1218"/>
            <w:vAlign w:val="center"/>
          </w:tcPr>
          <w:p>
            <w:r>
              <w:rPr>
                <w:sz w:val="16"/>
              </w:rPr>
              <w:t>DACHS CRC (n=378) and KCCH gastric (n=185)</w:t>
            </w:r>
          </w:p>
        </w:tc>
        <w:tc>
          <w:tcPr>
            <w:tcW w:type="dxa" w:w="1218"/>
            <w:vAlign w:val="center"/>
          </w:tcPr>
          <w:p>
            <w:r>
              <w:rPr>
                <w:sz w:val="16"/>
              </w:rPr>
              <w:t>DACHS CRC AUROC 0.84 (95% CI 0.72-0.92); KCCH gastric AUROC 0.69 (0.52-0.82); held-out UCEC AUROC 0.75 (0.63-0.83)</w:t>
            </w:r>
          </w:p>
        </w:tc>
        <w:tc>
          <w:tcPr>
            <w:tcW w:type="dxa" w:w="1218"/>
            <w:vAlign w:val="center"/>
          </w:tcPr>
          <w:p>
            <w:r>
              <w:rPr>
                <w:sz w:val="16"/>
              </w:rPr>
              <w:t>10.1038/s41591-019-0462-y</w:t>
            </w:r>
          </w:p>
        </w:tc>
      </w:tr>
      <w:tr>
        <w:trPr>
          <w:cantSplit/>
        </w:trPr>
        <w:tc>
          <w:tcPr>
            <w:tcW w:type="dxa" w:w="1218"/>
            <w:vAlign w:val="center"/>
          </w:tcPr>
          <w:p>
            <w:r>
              <w:rPr>
                <w:sz w:val="16"/>
              </w:rPr>
              <w:t>Echle et al.</w:t>
            </w:r>
          </w:p>
        </w:tc>
        <w:tc>
          <w:tcPr>
            <w:tcW w:type="dxa" w:w="1218"/>
            <w:vAlign w:val="center"/>
          </w:tcPr>
          <w:p>
            <w:r>
              <w:rPr>
                <w:sz w:val="16"/>
              </w:rPr>
              <w:t>2020</w:t>
            </w:r>
          </w:p>
        </w:tc>
        <w:tc>
          <w:tcPr>
            <w:tcW w:type="dxa" w:w="1218"/>
            <w:vAlign w:val="center"/>
          </w:tcPr>
          <w:p>
            <w:r>
              <w:rPr>
                <w:sz w:val="16"/>
              </w:rPr>
              <w:t>Colorectal cancer</w:t>
            </w:r>
          </w:p>
        </w:tc>
        <w:tc>
          <w:tcPr>
            <w:tcW w:type="dxa" w:w="1218"/>
            <w:vAlign w:val="center"/>
          </w:tcPr>
          <w:p>
            <w:r>
              <w:rPr>
                <w:sz w:val="16"/>
              </w:rPr>
              <w:t>MSI/dMMR</w:t>
            </w:r>
          </w:p>
        </w:tc>
        <w:tc>
          <w:tcPr>
            <w:tcW w:type="dxa" w:w="1218"/>
            <w:vAlign w:val="center"/>
          </w:tcPr>
          <w:p>
            <w:r>
              <w:rPr>
                <w:sz w:val="16"/>
              </w:rPr>
              <w:t>International multicentre cohort (n=6406)</w:t>
            </w:r>
          </w:p>
        </w:tc>
        <w:tc>
          <w:tcPr>
            <w:tcW w:type="dxa" w:w="1218"/>
            <w:vAlign w:val="center"/>
          </w:tcPr>
          <w:p>
            <w:r>
              <w:rPr>
                <w:sz w:val="16"/>
              </w:rPr>
              <w:t>Independent YCR-BCIP cohort (n=771)</w:t>
            </w:r>
          </w:p>
        </w:tc>
        <w:tc>
          <w:tcPr>
            <w:tcW w:type="dxa" w:w="1218"/>
            <w:vAlign w:val="center"/>
          </w:tcPr>
          <w:p>
            <w:r>
              <w:rPr>
                <w:sz w:val="16"/>
              </w:rPr>
              <w:t>Cross-validation AUROC about 0.92; external dMMR AUROC 0.96</w:t>
            </w:r>
          </w:p>
        </w:tc>
        <w:tc>
          <w:tcPr>
            <w:tcW w:type="dxa" w:w="1218"/>
            <w:vAlign w:val="center"/>
          </w:tcPr>
          <w:p>
            <w:r>
              <w:rPr>
                <w:sz w:val="16"/>
              </w:rPr>
              <w:t>10.1053/j.gastro.2020.06.021</w:t>
            </w:r>
          </w:p>
        </w:tc>
      </w:tr>
      <w:tr>
        <w:trPr>
          <w:cantSplit/>
        </w:trPr>
        <w:tc>
          <w:tcPr>
            <w:tcW w:type="dxa" w:w="1218"/>
            <w:vAlign w:val="center"/>
          </w:tcPr>
          <w:p>
            <w:r>
              <w:rPr>
                <w:sz w:val="16"/>
              </w:rPr>
              <w:t>Fu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Mutations copy-number changes tumor composition and prognosis</w:t>
            </w:r>
          </w:p>
        </w:tc>
        <w:tc>
          <w:tcPr>
            <w:tcW w:type="dxa" w:w="1218"/>
            <w:vAlign w:val="center"/>
          </w:tcPr>
          <w:p>
            <w:r>
              <w:rPr>
                <w:sz w:val="16"/>
              </w:rPr>
              <w:t>TCGA across 28 cancers</w:t>
            </w:r>
          </w:p>
        </w:tc>
        <w:tc>
          <w:tcPr>
            <w:tcW w:type="dxa" w:w="1218"/>
            <w:vAlign w:val="center"/>
          </w:tcPr>
          <w:p>
            <w:r>
              <w:rPr>
                <w:sz w:val="16"/>
              </w:rPr>
              <w:t>None outside TCGA for the pan-cancer atlas</w:t>
            </w:r>
          </w:p>
        </w:tc>
        <w:tc>
          <w:tcPr>
            <w:tcW w:type="dxa" w:w="1218"/>
            <w:vAlign w:val="center"/>
          </w:tcPr>
          <w:p>
            <w:r>
              <w:rPr>
                <w:sz w:val="16"/>
              </w:rPr>
              <w:t>Endpoint-specific AUROCs reported</w:t>
            </w:r>
          </w:p>
        </w:tc>
        <w:tc>
          <w:tcPr>
            <w:tcW w:type="dxa" w:w="1218"/>
            <w:vAlign w:val="center"/>
          </w:tcPr>
          <w:p>
            <w:r>
              <w:rPr>
                <w:sz w:val="16"/>
              </w:rPr>
              <w:t>10.1038/s43018-020-0085-8</w:t>
            </w:r>
          </w:p>
        </w:tc>
      </w:tr>
      <w:tr>
        <w:trPr>
          <w:cantSplit/>
        </w:trPr>
        <w:tc>
          <w:tcPr>
            <w:tcW w:type="dxa" w:w="1218"/>
            <w:vAlign w:val="center"/>
          </w:tcPr>
          <w:p>
            <w:r>
              <w:rPr>
                <w:sz w:val="16"/>
              </w:rPr>
              <w:t>Kather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Mutations molecular subtypes expression signatures and standard biomarkers</w:t>
            </w:r>
          </w:p>
        </w:tc>
        <w:tc>
          <w:tcPr>
            <w:tcW w:type="dxa" w:w="1218"/>
            <w:vAlign w:val="center"/>
          </w:tcPr>
          <w:p>
            <w:r>
              <w:rPr>
                <w:sz w:val="16"/>
              </w:rPr>
              <w:t>More than 5000 patients across solid tumours</w:t>
            </w:r>
          </w:p>
        </w:tc>
        <w:tc>
          <w:tcPr>
            <w:tcW w:type="dxa" w:w="1218"/>
            <w:vAlign w:val="center"/>
          </w:tcPr>
          <w:p>
            <w:r>
              <w:rPr>
                <w:sz w:val="16"/>
              </w:rPr>
              <w:t>External cohorts for selected endpoints</w:t>
            </w:r>
          </w:p>
        </w:tc>
        <w:tc>
          <w:tcPr>
            <w:tcW w:type="dxa" w:w="1218"/>
            <w:vAlign w:val="center"/>
          </w:tcPr>
          <w:p>
            <w:r>
              <w:rPr>
                <w:sz w:val="16"/>
              </w:rPr>
              <w:t>Endpoint-specific AUROCs reported across 14 tumour types</w:t>
            </w:r>
          </w:p>
        </w:tc>
        <w:tc>
          <w:tcPr>
            <w:tcW w:type="dxa" w:w="1218"/>
            <w:vAlign w:val="center"/>
          </w:tcPr>
          <w:p>
            <w:r>
              <w:rPr>
                <w:sz w:val="16"/>
              </w:rPr>
              <w:t>10.1038/s43018-020-0087-6</w:t>
            </w:r>
          </w:p>
        </w:tc>
      </w:tr>
      <w:tr>
        <w:trPr>
          <w:cantSplit/>
        </w:trPr>
        <w:tc>
          <w:tcPr>
            <w:tcW w:type="dxa" w:w="1218"/>
            <w:vAlign w:val="center"/>
          </w:tcPr>
          <w:p>
            <w:r>
              <w:rPr>
                <w:sz w:val="16"/>
              </w:rPr>
              <w:t>Schmauch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Transcriptome-wide RNA expression and pathways</w:t>
            </w:r>
          </w:p>
        </w:tc>
        <w:tc>
          <w:tcPr>
            <w:tcW w:type="dxa" w:w="1218"/>
            <w:vAlign w:val="center"/>
          </w:tcPr>
          <w:p>
            <w:r>
              <w:rPr>
                <w:sz w:val="16"/>
              </w:rPr>
              <w:t>TCGA 8725 patients across 28 cancers</w:t>
            </w:r>
          </w:p>
        </w:tc>
        <w:tc>
          <w:tcPr>
            <w:tcW w:type="dxa" w:w="1218"/>
            <w:vAlign w:val="center"/>
          </w:tcPr>
          <w:p>
            <w:r>
              <w:rPr>
                <w:sz w:val="16"/>
              </w:rPr>
              <w:t>External breast and lung cohorts for selected analyses</w:t>
            </w:r>
          </w:p>
        </w:tc>
        <w:tc>
          <w:tcPr>
            <w:tcW w:type="dxa" w:w="1218"/>
            <w:vAlign w:val="center"/>
          </w:tcPr>
          <w:p>
            <w:r>
              <w:rPr>
                <w:sz w:val="16"/>
              </w:rPr>
              <w:t>Endpoint-specific gene-expression correlations</w:t>
            </w:r>
          </w:p>
        </w:tc>
        <w:tc>
          <w:tcPr>
            <w:tcW w:type="dxa" w:w="1218"/>
            <w:vAlign w:val="center"/>
          </w:tcPr>
          <w:p>
            <w:r>
              <w:rPr>
                <w:sz w:val="16"/>
              </w:rPr>
              <w:t>10.1038/s41467-020-17678-4</w:t>
            </w:r>
          </w:p>
        </w:tc>
      </w:tr>
      <w:tr>
        <w:trPr>
          <w:cantSplit/>
        </w:trPr>
        <w:tc>
          <w:tcPr>
            <w:tcW w:type="dxa" w:w="1218"/>
            <w:vAlign w:val="center"/>
          </w:tcPr>
          <w:p>
            <w:r>
              <w:rPr>
                <w:sz w:val="16"/>
              </w:rPr>
              <w:t>Howard et al.</w:t>
            </w:r>
          </w:p>
        </w:tc>
        <w:tc>
          <w:tcPr>
            <w:tcW w:type="dxa" w:w="1218"/>
            <w:vAlign w:val="center"/>
          </w:tcPr>
          <w:p>
            <w:r>
              <w:rPr>
                <w:sz w:val="16"/>
              </w:rPr>
              <w:t>2021</w:t>
            </w:r>
          </w:p>
        </w:tc>
        <w:tc>
          <w:tcPr>
            <w:tcW w:type="dxa" w:w="1218"/>
            <w:vAlign w:val="center"/>
          </w:tcPr>
          <w:p>
            <w:r>
              <w:rPr>
                <w:sz w:val="16"/>
              </w:rPr>
              <w:t>Six TCGA cancers</w:t>
            </w:r>
          </w:p>
        </w:tc>
        <w:tc>
          <w:tcPr>
            <w:tcW w:type="dxa" w:w="1218"/>
            <w:vAlign w:val="center"/>
          </w:tcPr>
          <w:p>
            <w:r>
              <w:rPr>
                <w:sz w:val="16"/>
              </w:rPr>
              <w:t>Submitting-site signatures and bias</w:t>
            </w:r>
          </w:p>
        </w:tc>
        <w:tc>
          <w:tcPr>
            <w:tcW w:type="dxa" w:w="1218"/>
            <w:vAlign w:val="center"/>
          </w:tcPr>
          <w:p>
            <w:r>
              <w:rPr>
                <w:sz w:val="16"/>
              </w:rPr>
              <w:t>TCGA more than 3000 patients</w:t>
            </w:r>
          </w:p>
        </w:tc>
        <w:tc>
          <w:tcPr>
            <w:tcW w:type="dxa" w:w="1218"/>
            <w:vAlign w:val="center"/>
          </w:tcPr>
          <w:p>
            <w:r>
              <w:rPr>
                <w:sz w:val="16"/>
              </w:rPr>
              <w:t>Site-preserved validation within TCGA</w:t>
            </w:r>
          </w:p>
        </w:tc>
        <w:tc>
          <w:tcPr>
            <w:tcW w:type="dxa" w:w="1218"/>
            <w:vAlign w:val="center"/>
          </w:tcPr>
          <w:p>
            <w:r>
              <w:rPr>
                <w:sz w:val="16"/>
              </w:rPr>
              <w:t>Site signatures remained detectable and could inflate mutation stage and survival prediction</w:t>
            </w:r>
          </w:p>
        </w:tc>
        <w:tc>
          <w:tcPr>
            <w:tcW w:type="dxa" w:w="1218"/>
            <w:vAlign w:val="center"/>
          </w:tcPr>
          <w:p>
            <w:r>
              <w:rPr>
                <w:sz w:val="16"/>
              </w:rPr>
              <w:t>10.1038/s41467-021-24698-1</w:t>
            </w:r>
          </w:p>
        </w:tc>
      </w:tr>
      <w:tr>
        <w:trPr>
          <w:cantSplit/>
        </w:trPr>
        <w:tc>
          <w:tcPr>
            <w:tcW w:type="dxa" w:w="1218"/>
            <w:vAlign w:val="center"/>
          </w:tcPr>
          <w:p>
            <w:r>
              <w:rPr>
                <w:sz w:val="16"/>
              </w:rPr>
              <w:t>Loeffler et al.</w:t>
            </w:r>
          </w:p>
        </w:tc>
        <w:tc>
          <w:tcPr>
            <w:tcW w:type="dxa" w:w="1218"/>
            <w:vAlign w:val="center"/>
          </w:tcPr>
          <w:p>
            <w:r>
              <w:rPr>
                <w:sz w:val="16"/>
              </w:rPr>
              <w:t>2022</w:t>
            </w:r>
          </w:p>
        </w:tc>
        <w:tc>
          <w:tcPr>
            <w:tcW w:type="dxa" w:w="1218"/>
            <w:vAlign w:val="center"/>
          </w:tcPr>
          <w:p>
            <w:r>
              <w:rPr>
                <w:sz w:val="16"/>
              </w:rPr>
              <w:t>Pan-cancer</w:t>
            </w:r>
          </w:p>
        </w:tc>
        <w:tc>
          <w:tcPr>
            <w:tcW w:type="dxa" w:w="1218"/>
            <w:vAlign w:val="center"/>
          </w:tcPr>
          <w:p>
            <w:r>
              <w:rPr>
                <w:sz w:val="16"/>
              </w:rPr>
              <w:t>69 genes and 12 pathways</w:t>
            </w:r>
          </w:p>
        </w:tc>
        <w:tc>
          <w:tcPr>
            <w:tcW w:type="dxa" w:w="1218"/>
            <w:vAlign w:val="center"/>
          </w:tcPr>
          <w:p>
            <w:r>
              <w:rPr>
                <w:sz w:val="16"/>
              </w:rPr>
              <w:t>TCGA 7829 patients across 23 cancers</w:t>
            </w:r>
          </w:p>
        </w:tc>
        <w:tc>
          <w:tcPr>
            <w:tcW w:type="dxa" w:w="1218"/>
            <w:vAlign w:val="center"/>
          </w:tcPr>
          <w:p>
            <w:r>
              <w:rPr>
                <w:sz w:val="16"/>
              </w:rPr>
              <w:t>None outside TCGA in primary systematic screen</w:t>
            </w:r>
          </w:p>
        </w:tc>
        <w:tc>
          <w:tcPr>
            <w:tcW w:type="dxa" w:w="1218"/>
            <w:vAlign w:val="center"/>
          </w:tcPr>
          <w:p>
            <w:r>
              <w:rPr>
                <w:sz w:val="16"/>
              </w:rPr>
              <w:t>44 of 69 genes were reported predictable in at least one tumour type</w:t>
            </w:r>
          </w:p>
        </w:tc>
        <w:tc>
          <w:tcPr>
            <w:tcW w:type="dxa" w:w="1218"/>
            <w:vAlign w:val="center"/>
          </w:tcPr>
          <w:p>
            <w:r>
              <w:rPr>
                <w:sz w:val="16"/>
              </w:rPr>
              <w:t>10.3389/fgene.2021.806386</w:t>
            </w:r>
          </w:p>
        </w:tc>
      </w:tr>
      <w:tr>
        <w:trPr>
          <w:cantSplit/>
        </w:trPr>
        <w:tc>
          <w:tcPr>
            <w:tcW w:type="dxa" w:w="1218"/>
            <w:vAlign w:val="center"/>
          </w:tcPr>
          <w:p>
            <w:r>
              <w:rPr>
                <w:sz w:val="16"/>
              </w:rPr>
              <w:t>Dadhania et al.</w:t>
            </w:r>
          </w:p>
        </w:tc>
        <w:tc>
          <w:tcPr>
            <w:tcW w:type="dxa" w:w="1218"/>
            <w:vAlign w:val="center"/>
          </w:tcPr>
          <w:p>
            <w:r>
              <w:rPr>
                <w:sz w:val="16"/>
              </w:rPr>
              <w:t>2022</w:t>
            </w:r>
          </w:p>
        </w:tc>
        <w:tc>
          <w:tcPr>
            <w:tcW w:type="dxa" w:w="1218"/>
            <w:vAlign w:val="center"/>
          </w:tcPr>
          <w:p>
            <w:r>
              <w:rPr>
                <w:sz w:val="16"/>
              </w:rPr>
              <w:t>Prostate cancer</w:t>
            </w:r>
          </w:p>
        </w:tc>
        <w:tc>
          <w:tcPr>
            <w:tcW w:type="dxa" w:w="1218"/>
            <w:vAlign w:val="center"/>
          </w:tcPr>
          <w:p>
            <w:r>
              <w:rPr>
                <w:sz w:val="16"/>
              </w:rPr>
              <w:t>ERG rearrangement status</w:t>
            </w:r>
          </w:p>
        </w:tc>
        <w:tc>
          <w:tcPr>
            <w:tcW w:type="dxa" w:w="1218"/>
            <w:vAlign w:val="center"/>
          </w:tcPr>
          <w:p>
            <w:r>
              <w:rPr>
                <w:sz w:val="16"/>
              </w:rPr>
              <w:t>392 in-house and TCGA cases</w:t>
            </w:r>
          </w:p>
        </w:tc>
        <w:tc>
          <w:tcPr>
            <w:tcW w:type="dxa" w:w="1218"/>
            <w:vAlign w:val="center"/>
          </w:tcPr>
          <w:p>
            <w:r>
              <w:rPr>
                <w:sz w:val="16"/>
              </w:rPr>
              <w:t>Held-out 131-case test set</w:t>
            </w:r>
          </w:p>
        </w:tc>
        <w:tc>
          <w:tcPr>
            <w:tcW w:type="dxa" w:w="1218"/>
            <w:vAlign w:val="center"/>
          </w:tcPr>
          <w:p>
            <w:r>
              <w:rPr>
                <w:sz w:val="16"/>
              </w:rPr>
              <w:t>AUROC 0.82-0.85; sensitivity 75.0% and specificity 83.1% at 20x</w:t>
            </w:r>
          </w:p>
        </w:tc>
        <w:tc>
          <w:tcPr>
            <w:tcW w:type="dxa" w:w="1218"/>
            <w:vAlign w:val="center"/>
          </w:tcPr>
          <w:p>
            <w:r>
              <w:rPr>
                <w:sz w:val="16"/>
              </w:rPr>
              <w:t>10.1186/s12885-022-09559-4</w:t>
            </w:r>
          </w:p>
        </w:tc>
      </w:tr>
      <w:tr>
        <w:trPr>
          <w:cantSplit/>
        </w:trPr>
        <w:tc>
          <w:tcPr>
            <w:tcW w:type="dxa" w:w="1218"/>
            <w:vAlign w:val="center"/>
          </w:tcPr>
          <w:p>
            <w:r>
              <w:rPr>
                <w:sz w:val="16"/>
              </w:rPr>
              <w:t>Mayer et al.</w:t>
            </w:r>
          </w:p>
        </w:tc>
        <w:tc>
          <w:tcPr>
            <w:tcW w:type="dxa" w:w="1218"/>
            <w:vAlign w:val="center"/>
          </w:tcPr>
          <w:p>
            <w:r>
              <w:rPr>
                <w:sz w:val="16"/>
              </w:rPr>
              <w:t>2022</w:t>
            </w:r>
          </w:p>
        </w:tc>
        <w:tc>
          <w:tcPr>
            <w:tcW w:type="dxa" w:w="1218"/>
            <w:vAlign w:val="center"/>
          </w:tcPr>
          <w:p>
            <w:r>
              <w:rPr>
                <w:sz w:val="16"/>
              </w:rPr>
              <w:t>NSCLC</w:t>
            </w:r>
          </w:p>
        </w:tc>
        <w:tc>
          <w:tcPr>
            <w:tcW w:type="dxa" w:w="1218"/>
            <w:vAlign w:val="center"/>
          </w:tcPr>
          <w:p>
            <w:r>
              <w:rPr>
                <w:sz w:val="16"/>
              </w:rPr>
              <w:t>ALK and ROS1 fusions</w:t>
            </w:r>
          </w:p>
        </w:tc>
        <w:tc>
          <w:tcPr>
            <w:tcW w:type="dxa" w:w="1218"/>
            <w:vAlign w:val="center"/>
          </w:tcPr>
          <w:p>
            <w:r>
              <w:rPr>
                <w:sz w:val="16"/>
              </w:rPr>
              <w:t>Pan-cancer pretraining plus NSCLC development</w:t>
            </w:r>
          </w:p>
        </w:tc>
        <w:tc>
          <w:tcPr>
            <w:tcW w:type="dxa" w:w="1218"/>
            <w:vAlign w:val="center"/>
          </w:tcPr>
          <w:p>
            <w:r>
              <w:rPr>
                <w:sz w:val="16"/>
              </w:rPr>
              <w:t>Independent 72-case Sheba cohort</w:t>
            </w:r>
          </w:p>
        </w:tc>
        <w:tc>
          <w:tcPr>
            <w:tcW w:type="dxa" w:w="1218"/>
            <w:vAlign w:val="center"/>
          </w:tcPr>
          <w:p>
            <w:r>
              <w:rPr>
                <w:sz w:val="16"/>
              </w:rPr>
              <w:t>Sensitivity 100% for ALK and ROS1; specificity 100% and 98.6% respectively with very few positives</w:t>
            </w:r>
          </w:p>
        </w:tc>
        <w:tc>
          <w:tcPr>
            <w:tcW w:type="dxa" w:w="1218"/>
            <w:vAlign w:val="center"/>
          </w:tcPr>
          <w:p>
            <w:r>
              <w:rPr>
                <w:sz w:val="16"/>
              </w:rPr>
              <w:t>10.1038/s41379-022-01141-4</w:t>
            </w:r>
          </w:p>
        </w:tc>
      </w:tr>
      <w:tr>
        <w:trPr>
          <w:cantSplit/>
        </w:trPr>
        <w:tc>
          <w:tcPr>
            <w:tcW w:type="dxa" w:w="1218"/>
            <w:vAlign w:val="center"/>
          </w:tcPr>
          <w:p>
            <w:r>
              <w:rPr>
                <w:sz w:val="16"/>
              </w:rPr>
              <w:t>Saldanha et al.</w:t>
            </w:r>
          </w:p>
        </w:tc>
        <w:tc>
          <w:tcPr>
            <w:tcW w:type="dxa" w:w="1218"/>
            <w:vAlign w:val="center"/>
          </w:tcPr>
          <w:p>
            <w:r>
              <w:rPr>
                <w:sz w:val="16"/>
              </w:rPr>
              <w:t>2023</w:t>
            </w:r>
          </w:p>
        </w:tc>
        <w:tc>
          <w:tcPr>
            <w:tcW w:type="dxa" w:w="1218"/>
            <w:vAlign w:val="center"/>
          </w:tcPr>
          <w:p>
            <w:r>
              <w:rPr>
                <w:sz w:val="16"/>
              </w:rPr>
              <w:t>Pan-cancer</w:t>
            </w:r>
          </w:p>
        </w:tc>
        <w:tc>
          <w:tcPr>
            <w:tcW w:type="dxa" w:w="1218"/>
            <w:vAlign w:val="center"/>
          </w:tcPr>
          <w:p>
            <w:r>
              <w:rPr>
                <w:sz w:val="16"/>
              </w:rPr>
              <w:t>Somatic gene alterations</w:t>
            </w:r>
          </w:p>
        </w:tc>
        <w:tc>
          <w:tcPr>
            <w:tcW w:type="dxa" w:w="1218"/>
            <w:vAlign w:val="center"/>
          </w:tcPr>
          <w:p>
            <w:r>
              <w:rPr>
                <w:sz w:val="16"/>
              </w:rPr>
              <w:t>TCGA across multiple cancers</w:t>
            </w:r>
          </w:p>
        </w:tc>
        <w:tc>
          <w:tcPr>
            <w:tcW w:type="dxa" w:w="1218"/>
            <w:vAlign w:val="center"/>
          </w:tcPr>
          <w:p>
            <w:r>
              <w:rPr>
                <w:sz w:val="16"/>
              </w:rPr>
              <w:t>CPTAC external cohorts for seven cancer groups</w:t>
            </w:r>
          </w:p>
        </w:tc>
        <w:tc>
          <w:tcPr>
            <w:tcW w:type="dxa" w:w="1218"/>
            <w:vAlign w:val="center"/>
          </w:tcPr>
          <w:p>
            <w:r>
              <w:rPr>
                <w:sz w:val="16"/>
              </w:rPr>
              <w:t>Endpoint-specific internal and external AUROCs</w:t>
            </w:r>
          </w:p>
        </w:tc>
        <w:tc>
          <w:tcPr>
            <w:tcW w:type="dxa" w:w="1218"/>
            <w:vAlign w:val="center"/>
          </w:tcPr>
          <w:p>
            <w:r>
              <w:rPr>
                <w:sz w:val="16"/>
              </w:rPr>
              <w:t>10.1038/s41698-023-00365-0</w:t>
            </w:r>
          </w:p>
        </w:tc>
      </w:tr>
      <w:tr>
        <w:trPr>
          <w:cantSplit/>
        </w:trPr>
        <w:tc>
          <w:tcPr>
            <w:tcW w:type="dxa" w:w="1218"/>
            <w:vAlign w:val="center"/>
          </w:tcPr>
          <w:p>
            <w:r>
              <w:rPr>
                <w:sz w:val="16"/>
              </w:rPr>
              <w:t>El Nahhas et al.</w:t>
            </w:r>
          </w:p>
        </w:tc>
        <w:tc>
          <w:tcPr>
            <w:tcW w:type="dxa" w:w="1218"/>
            <w:vAlign w:val="center"/>
          </w:tcPr>
          <w:p>
            <w:r>
              <w:rPr>
                <w:sz w:val="16"/>
              </w:rPr>
              <w:t>2024</w:t>
            </w:r>
          </w:p>
        </w:tc>
        <w:tc>
          <w:tcPr>
            <w:tcW w:type="dxa" w:w="1218"/>
            <w:vAlign w:val="center"/>
          </w:tcPr>
          <w:p>
            <w:r>
              <w:rPr>
                <w:sz w:val="16"/>
              </w:rPr>
              <w:t>Nine cancers</w:t>
            </w:r>
          </w:p>
        </w:tc>
        <w:tc>
          <w:tcPr>
            <w:tcW w:type="dxa" w:w="1218"/>
            <w:vAlign w:val="center"/>
          </w:tcPr>
          <w:p>
            <w:r>
              <w:rPr>
                <w:sz w:val="16"/>
              </w:rPr>
              <w:t>Continuous HRD and tumour-microenvironment biomarkers</w:t>
            </w:r>
          </w:p>
        </w:tc>
        <w:tc>
          <w:tcPr>
            <w:tcW w:type="dxa" w:w="1218"/>
            <w:vAlign w:val="center"/>
          </w:tcPr>
          <w:p>
            <w:r>
              <w:rPr>
                <w:sz w:val="16"/>
              </w:rPr>
              <w:t>11671 patients across nine cancers</w:t>
            </w:r>
          </w:p>
        </w:tc>
        <w:tc>
          <w:tcPr>
            <w:tcW w:type="dxa" w:w="1218"/>
            <w:vAlign w:val="center"/>
          </w:tcPr>
          <w:p>
            <w:r>
              <w:rPr>
                <w:sz w:val="16"/>
              </w:rPr>
              <w:t>Selected external cohorts</w:t>
            </w:r>
          </w:p>
        </w:tc>
        <w:tc>
          <w:tcPr>
            <w:tcW w:type="dxa" w:w="1218"/>
            <w:vAlign w:val="center"/>
          </w:tcPr>
          <w:p>
            <w:r>
              <w:rPr>
                <w:sz w:val="16"/>
              </w:rPr>
              <w:t>Regression improved continuous biomarker prediction and interpretability relative to dichotomisation</w:t>
            </w:r>
          </w:p>
        </w:tc>
        <w:tc>
          <w:tcPr>
            <w:tcW w:type="dxa" w:w="1218"/>
            <w:vAlign w:val="center"/>
          </w:tcPr>
          <w:p>
            <w:r>
              <w:rPr>
                <w:sz w:val="16"/>
              </w:rPr>
              <w:t>10.1038/s41467-024-45589-1</w:t>
            </w:r>
          </w:p>
        </w:tc>
      </w:tr>
      <w:tr>
        <w:trPr>
          <w:cantSplit/>
        </w:trPr>
        <w:tc>
          <w:tcPr>
            <w:tcW w:type="dxa" w:w="1218"/>
            <w:vAlign w:val="center"/>
          </w:tcPr>
          <w:p>
            <w:r>
              <w:rPr>
                <w:sz w:val="16"/>
              </w:rPr>
              <w:t>Arslan et al.</w:t>
            </w:r>
          </w:p>
        </w:tc>
        <w:tc>
          <w:tcPr>
            <w:tcW w:type="dxa" w:w="1218"/>
            <w:vAlign w:val="center"/>
          </w:tcPr>
          <w:p>
            <w:r>
              <w:rPr>
                <w:sz w:val="16"/>
              </w:rPr>
              <w:t>2024</w:t>
            </w:r>
          </w:p>
        </w:tc>
        <w:tc>
          <w:tcPr>
            <w:tcW w:type="dxa" w:w="1218"/>
            <w:vAlign w:val="center"/>
          </w:tcPr>
          <w:p>
            <w:r>
              <w:rPr>
                <w:sz w:val="16"/>
              </w:rPr>
              <w:t>Pan-cancer</w:t>
            </w:r>
          </w:p>
        </w:tc>
        <w:tc>
          <w:tcPr>
            <w:tcW w:type="dxa" w:w="1218"/>
            <w:vAlign w:val="center"/>
          </w:tcPr>
          <w:p>
            <w:r>
              <w:rPr>
                <w:sz w:val="16"/>
              </w:rPr>
              <w:t>4031 genomic transcriptomic proteomic and clinical biomarkers</w:t>
            </w:r>
          </w:p>
        </w:tc>
        <w:tc>
          <w:tcPr>
            <w:tcW w:type="dxa" w:w="1218"/>
            <w:vAlign w:val="center"/>
          </w:tcPr>
          <w:p>
            <w:r>
              <w:rPr>
                <w:sz w:val="16"/>
              </w:rPr>
              <w:t>TCGA 8890 patients and 10954 FFPE slides across 32 cancers</w:t>
            </w:r>
          </w:p>
        </w:tc>
        <w:tc>
          <w:tcPr>
            <w:tcW w:type="dxa" w:w="1218"/>
            <w:vAlign w:val="center"/>
          </w:tcPr>
          <w:p>
            <w:r>
              <w:rPr>
                <w:sz w:val="16"/>
              </w:rPr>
              <w:t>CPTAC for selected cancer-endpoint combinations</w:t>
            </w:r>
          </w:p>
        </w:tc>
        <w:tc>
          <w:tcPr>
            <w:tcW w:type="dxa" w:w="1218"/>
            <w:vAlign w:val="center"/>
          </w:tcPr>
          <w:p>
            <w:r>
              <w:rPr>
                <w:sz w:val="16"/>
              </w:rPr>
              <w:t>Median model AUROC 0.644; top quartile at least 0.719; top 5% above 0.834</w:t>
            </w:r>
          </w:p>
        </w:tc>
        <w:tc>
          <w:tcPr>
            <w:tcW w:type="dxa" w:w="1218"/>
            <w:vAlign w:val="center"/>
          </w:tcPr>
          <w:p>
            <w:r>
              <w:rPr>
                <w:sz w:val="16"/>
              </w:rPr>
              <w:t>10.1038/s43856-024-00471-5</w:t>
            </w:r>
          </w:p>
        </w:tc>
      </w:tr>
      <w:tr>
        <w:trPr>
          <w:cantSplit/>
        </w:trPr>
        <w:tc>
          <w:tcPr>
            <w:tcW w:type="dxa" w:w="1218"/>
            <w:vAlign w:val="center"/>
          </w:tcPr>
          <w:p>
            <w:r>
              <w:rPr>
                <w:sz w:val="16"/>
              </w:rPr>
              <w:t>Bergstrom et al.</w:t>
            </w:r>
          </w:p>
        </w:tc>
        <w:tc>
          <w:tcPr>
            <w:tcW w:type="dxa" w:w="1218"/>
            <w:vAlign w:val="center"/>
          </w:tcPr>
          <w:p>
            <w:r>
              <w:rPr>
                <w:sz w:val="16"/>
              </w:rPr>
              <w:t>2024</w:t>
            </w:r>
          </w:p>
        </w:tc>
        <w:tc>
          <w:tcPr>
            <w:tcW w:type="dxa" w:w="1218"/>
            <w:vAlign w:val="center"/>
          </w:tcPr>
          <w:p>
            <w:r>
              <w:rPr>
                <w:sz w:val="16"/>
              </w:rPr>
              <w:t>Breast and ovarian cancer</w:t>
            </w:r>
          </w:p>
        </w:tc>
        <w:tc>
          <w:tcPr>
            <w:tcW w:type="dxa" w:w="1218"/>
            <w:vAlign w:val="center"/>
          </w:tcPr>
          <w:p>
            <w:r>
              <w:rPr>
                <w:sz w:val="16"/>
              </w:rPr>
              <w:t>HRD and platinum response</w:t>
            </w:r>
          </w:p>
        </w:tc>
        <w:tc>
          <w:tcPr>
            <w:tcW w:type="dxa" w:w="1218"/>
            <w:vAlign w:val="center"/>
          </w:tcPr>
          <w:p>
            <w:r>
              <w:rPr>
                <w:sz w:val="16"/>
              </w:rPr>
              <w:t>TCGA BRCA and OV</w:t>
            </w:r>
          </w:p>
        </w:tc>
        <w:tc>
          <w:tcPr>
            <w:tcW w:type="dxa" w:w="1218"/>
            <w:vAlign w:val="center"/>
          </w:tcPr>
          <w:p>
            <w:r>
              <w:rPr>
                <w:sz w:val="16"/>
              </w:rPr>
              <w:t>CPTAC METABRIC and independent clinical cohorts</w:t>
            </w:r>
          </w:p>
        </w:tc>
        <w:tc>
          <w:tcPr>
            <w:tcW w:type="dxa" w:w="1218"/>
            <w:vAlign w:val="center"/>
          </w:tcPr>
          <w:p>
            <w:r>
              <w:rPr>
                <w:sz w:val="16"/>
              </w:rPr>
              <w:t>TCGA breast AUROC 0.81 (0.77-0.85); external primary breast AUROC 0.76 (0.71-0.82)</w:t>
            </w:r>
          </w:p>
        </w:tc>
        <w:tc>
          <w:tcPr>
            <w:tcW w:type="dxa" w:w="1218"/>
            <w:vAlign w:val="center"/>
          </w:tcPr>
          <w:p>
            <w:r>
              <w:rPr>
                <w:sz w:val="16"/>
              </w:rPr>
              <w:t>10.1200/JCO.23.02641</w:t>
            </w:r>
          </w:p>
        </w:tc>
      </w:tr>
      <w:tr>
        <w:trPr>
          <w:cantSplit/>
        </w:trPr>
        <w:tc>
          <w:tcPr>
            <w:tcW w:type="dxa" w:w="1218"/>
            <w:vAlign w:val="center"/>
          </w:tcPr>
          <w:p>
            <w:r>
              <w:rPr>
                <w:sz w:val="16"/>
              </w:rPr>
              <w:t>Patkar et al.</w:t>
            </w:r>
          </w:p>
        </w:tc>
        <w:tc>
          <w:tcPr>
            <w:tcW w:type="dxa" w:w="1218"/>
            <w:vAlign w:val="center"/>
          </w:tcPr>
          <w:p>
            <w:r>
              <w:rPr>
                <w:sz w:val="16"/>
              </w:rPr>
              <w:t>2024</w:t>
            </w:r>
          </w:p>
        </w:tc>
        <w:tc>
          <w:tcPr>
            <w:tcW w:type="dxa" w:w="1218"/>
            <w:vAlign w:val="center"/>
          </w:tcPr>
          <w:p>
            <w:r>
              <w:rPr>
                <w:sz w:val="16"/>
              </w:rPr>
              <w:t>NSCLC</w:t>
            </w:r>
          </w:p>
        </w:tc>
        <w:tc>
          <w:tcPr>
            <w:tcW w:type="dxa" w:w="1218"/>
            <w:vAlign w:val="center"/>
          </w:tcPr>
          <w:p>
            <w:r>
              <w:rPr>
                <w:sz w:val="16"/>
              </w:rPr>
              <w:t>Thirty tumour-microenvironment expression signatures and immunotherapy response</w:t>
            </w:r>
          </w:p>
        </w:tc>
        <w:tc>
          <w:tcPr>
            <w:tcW w:type="dxa" w:w="1218"/>
            <w:vAlign w:val="center"/>
          </w:tcPr>
          <w:p>
            <w:r>
              <w:rPr>
                <w:sz w:val="16"/>
              </w:rPr>
              <w:t>TCGA NSCLC (n=865)</w:t>
            </w:r>
          </w:p>
        </w:tc>
        <w:tc>
          <w:tcPr>
            <w:tcW w:type="dxa" w:w="1218"/>
            <w:vAlign w:val="center"/>
          </w:tcPr>
          <w:p>
            <w:r>
              <w:rPr>
                <w:sz w:val="16"/>
              </w:rPr>
              <w:t>CPTAC (n=333) and SUNY cohorts with IHC and treatment outcomes</w:t>
            </w:r>
          </w:p>
        </w:tc>
        <w:tc>
          <w:tcPr>
            <w:tcW w:type="dxa" w:w="1218"/>
            <w:vAlign w:val="center"/>
          </w:tcPr>
          <w:p>
            <w:r>
              <w:rPr>
                <w:sz w:val="16"/>
              </w:rPr>
              <w:t>Mean external Pearson correlation 0.50; IHC cell-type correlations 0.41-0.60; first-line ICI-response AUROC 0.75 (0.61-0.88)</w:t>
            </w:r>
          </w:p>
        </w:tc>
        <w:tc>
          <w:tcPr>
            <w:tcW w:type="dxa" w:w="1218"/>
            <w:vAlign w:val="center"/>
          </w:tcPr>
          <w:p>
            <w:r>
              <w:rPr>
                <w:sz w:val="16"/>
              </w:rPr>
              <w:t>10.1038/s41698-024-00765-w</w:t>
            </w:r>
          </w:p>
        </w:tc>
      </w:tr>
      <w:tr>
        <w:trPr>
          <w:cantSplit/>
        </w:trPr>
        <w:tc>
          <w:tcPr>
            <w:tcW w:type="dxa" w:w="1218"/>
            <w:vAlign w:val="center"/>
          </w:tcPr>
          <w:p>
            <w:r>
              <w:rPr>
                <w:sz w:val="16"/>
              </w:rPr>
              <w:t>Ding et al.</w:t>
            </w:r>
          </w:p>
        </w:tc>
        <w:tc>
          <w:tcPr>
            <w:tcW w:type="dxa" w:w="1218"/>
            <w:vAlign w:val="center"/>
          </w:tcPr>
          <w:p>
            <w:r>
              <w:rPr>
                <w:sz w:val="16"/>
              </w:rPr>
              <w:t>2025</w:t>
            </w:r>
          </w:p>
        </w:tc>
        <w:tc>
          <w:tcPr>
            <w:tcW w:type="dxa" w:w="1218"/>
            <w:vAlign w:val="center"/>
          </w:tcPr>
          <w:p>
            <w:r>
              <w:rPr>
                <w:sz w:val="16"/>
              </w:rPr>
              <w:t>Pan-organ and pan-cancer</w:t>
            </w:r>
          </w:p>
        </w:tc>
        <w:tc>
          <w:tcPr>
            <w:tcW w:type="dxa" w:w="1218"/>
            <w:vAlign w:val="center"/>
          </w:tcPr>
          <w:p>
            <w:r>
              <w:rPr>
                <w:sz w:val="16"/>
              </w:rPr>
              <w:t>Diagnosis molecular status prognosis retrieval and report generation</w:t>
            </w:r>
          </w:p>
        </w:tc>
        <w:tc>
          <w:tcPr>
            <w:tcW w:type="dxa" w:w="1218"/>
            <w:vAlign w:val="center"/>
          </w:tcPr>
          <w:p>
            <w:r>
              <w:rPr>
                <w:sz w:val="16"/>
              </w:rPr>
              <w:t>Mass-340K pretraining: 335645 WSIs plus synthetic captions and 182862 WSI-report pairs</w:t>
            </w:r>
          </w:p>
        </w:tc>
        <w:tc>
          <w:tcPr>
            <w:tcW w:type="dxa" w:w="1218"/>
            <w:vAlign w:val="center"/>
          </w:tcPr>
          <w:p>
            <w:r>
              <w:rPr>
                <w:sz w:val="16"/>
              </w:rPr>
              <w:t>TCGA was downstream evaluation and explicitly excluded from TITAN pretraining</w:t>
            </w:r>
          </w:p>
        </w:tc>
        <w:tc>
          <w:tcPr>
            <w:tcW w:type="dxa" w:w="1218"/>
            <w:vAlign w:val="center"/>
          </w:tcPr>
          <w:p>
            <w:r>
              <w:rPr>
                <w:sz w:val="16"/>
              </w:rPr>
              <w:t>Task-specific linear-probe and zero-shot metrics</w:t>
            </w:r>
          </w:p>
        </w:tc>
        <w:tc>
          <w:tcPr>
            <w:tcW w:type="dxa" w:w="1218"/>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Item</w:t>
            </w:r>
          </w:p>
        </w:tc>
        <w:tc>
          <w:tcPr>
            <w:tcW w:type="dxa" w:w="2436"/>
          </w:tcPr>
          <w:p>
            <w:r>
              <w:rPr>
                <w:b/>
                <w:sz w:val="17"/>
              </w:rPr>
              <w:t>Topic</w:t>
            </w:r>
          </w:p>
        </w:tc>
        <w:tc>
          <w:tcPr>
            <w:tcW w:type="dxa" w:w="2436"/>
          </w:tcPr>
          <w:p>
            <w:r>
              <w:rPr>
                <w:b/>
                <w:sz w:val="17"/>
              </w:rPr>
              <w:t>Reported location</w:t>
            </w:r>
          </w:p>
        </w:tc>
        <w:tc>
          <w:tcPr>
            <w:tcW w:type="dxa" w:w="2436"/>
          </w:tcPr>
          <w:p>
            <w:r>
              <w:rPr>
                <w:b/>
                <w:sz w:val="17"/>
              </w:rPr>
              <w:t>Status</w:t>
            </w:r>
          </w:p>
        </w:tc>
      </w:tr>
      <w:tr>
        <w:trPr>
          <w:cantSplit/>
        </w:trPr>
        <w:tc>
          <w:tcPr>
            <w:tcW w:type="dxa" w:w="2436"/>
            <w:vAlign w:val="center"/>
          </w:tcPr>
          <w:p>
            <w:r>
              <w:rPr>
                <w:sz w:val="16"/>
              </w:rPr>
              <w:t>1</w:t>
            </w:r>
          </w:p>
        </w:tc>
        <w:tc>
          <w:tcPr>
            <w:tcW w:type="dxa" w:w="2436"/>
            <w:vAlign w:val="center"/>
          </w:tcPr>
          <w:p>
            <w:r>
              <w:rPr>
                <w:sz w:val="16"/>
              </w:rPr>
              <w:t>Title</w:t>
            </w:r>
          </w:p>
        </w:tc>
        <w:tc>
          <w:tcPr>
            <w:tcW w:type="dxa" w:w="2436"/>
            <w:vAlign w:val="center"/>
          </w:tcPr>
          <w:p>
            <w:r>
              <w:rPr>
                <w:sz w:val="16"/>
              </w:rPr>
              <w:t>Title page</w:t>
            </w:r>
          </w:p>
        </w:tc>
        <w:tc>
          <w:tcPr>
            <w:tcW w:type="dxa" w:w="2436"/>
            <w:vAlign w:val="center"/>
          </w:tcPr>
          <w:p>
            <w:r>
              <w:rPr>
                <w:sz w:val="16"/>
              </w:rPr>
              <w:t>Reported</w:t>
            </w:r>
          </w:p>
        </w:tc>
      </w:tr>
      <w:tr>
        <w:trPr>
          <w:cantSplit/>
        </w:trPr>
        <w:tc>
          <w:tcPr>
            <w:tcW w:type="dxa" w:w="2436"/>
            <w:vAlign w:val="center"/>
          </w:tcPr>
          <w:p>
            <w:r>
              <w:rPr>
                <w:sz w:val="16"/>
              </w:rPr>
              <w:t>2</w:t>
            </w:r>
          </w:p>
        </w:tc>
        <w:tc>
          <w:tcPr>
            <w:tcW w:type="dxa" w:w="2436"/>
            <w:vAlign w:val="center"/>
          </w:tcPr>
          <w:p>
            <w:r>
              <w:rPr>
                <w:sz w:val="16"/>
              </w:rPr>
              <w:t>Abstract</w:t>
            </w:r>
          </w:p>
        </w:tc>
        <w:tc>
          <w:tcPr>
            <w:tcW w:type="dxa" w:w="2436"/>
            <w:vAlign w:val="center"/>
          </w:tcPr>
          <w:p>
            <w:r>
              <w:rPr>
                <w:sz w:val="16"/>
              </w:rPr>
              <w:t>Structured abstract</w:t>
            </w:r>
          </w:p>
        </w:tc>
        <w:tc>
          <w:tcPr>
            <w:tcW w:type="dxa" w:w="2436"/>
            <w:vAlign w:val="center"/>
          </w:tcPr>
          <w:p>
            <w:r>
              <w:rPr>
                <w:sz w:val="16"/>
              </w:rPr>
              <w:t>Reported</w:t>
            </w:r>
          </w:p>
        </w:tc>
      </w:tr>
      <w:tr>
        <w:trPr>
          <w:cantSplit/>
        </w:trPr>
        <w:tc>
          <w:tcPr>
            <w:tcW w:type="dxa" w:w="2436"/>
            <w:vAlign w:val="center"/>
          </w:tcPr>
          <w:p>
            <w:r>
              <w:rPr>
                <w:sz w:val="16"/>
              </w:rPr>
              <w:t>3a</w:t>
            </w:r>
          </w:p>
        </w:tc>
        <w:tc>
          <w:tcPr>
            <w:tcW w:type="dxa" w:w="2436"/>
            <w:vAlign w:val="center"/>
          </w:tcPr>
          <w:p>
            <w:r>
              <w:rPr>
                <w:sz w:val="16"/>
              </w:rPr>
              <w:t>Healthcare context and existing models</w:t>
            </w:r>
          </w:p>
        </w:tc>
        <w:tc>
          <w:tcPr>
            <w:tcW w:type="dxa" w:w="2436"/>
            <w:vAlign w:val="center"/>
          </w:tcPr>
          <w:p>
            <w:r>
              <w:rPr>
                <w:sz w:val="16"/>
              </w:rPr>
              <w:t>Background</w:t>
            </w:r>
          </w:p>
        </w:tc>
        <w:tc>
          <w:tcPr>
            <w:tcW w:type="dxa" w:w="2436"/>
            <w:vAlign w:val="center"/>
          </w:tcPr>
          <w:p>
            <w:r>
              <w:rPr>
                <w:sz w:val="16"/>
              </w:rPr>
              <w:t>Reported</w:t>
            </w:r>
          </w:p>
        </w:tc>
      </w:tr>
      <w:tr>
        <w:trPr>
          <w:cantSplit/>
        </w:trPr>
        <w:tc>
          <w:tcPr>
            <w:tcW w:type="dxa" w:w="2436"/>
            <w:vAlign w:val="center"/>
          </w:tcPr>
          <w:p>
            <w:r>
              <w:rPr>
                <w:sz w:val="16"/>
              </w:rPr>
              <w:t>3b</w:t>
            </w:r>
          </w:p>
        </w:tc>
        <w:tc>
          <w:tcPr>
            <w:tcW w:type="dxa" w:w="2436"/>
            <w:vAlign w:val="center"/>
          </w:tcPr>
          <w:p>
            <w:r>
              <w:rPr>
                <w:sz w:val="16"/>
              </w:rPr>
              <w:t>Target population intended purpose and users</w:t>
            </w:r>
          </w:p>
        </w:tc>
        <w:tc>
          <w:tcPr>
            <w:tcW w:type="dxa" w:w="2436"/>
            <w:vAlign w:val="center"/>
          </w:tcPr>
          <w:p>
            <w:r>
              <w:rPr>
                <w:sz w:val="16"/>
              </w:rPr>
              <w:t>Background; Methods - Study design</w:t>
            </w:r>
          </w:p>
        </w:tc>
        <w:tc>
          <w:tcPr>
            <w:tcW w:type="dxa" w:w="2436"/>
            <w:vAlign w:val="center"/>
          </w:tcPr>
          <w:p>
            <w:r>
              <w:rPr>
                <w:sz w:val="16"/>
              </w:rPr>
              <w:t>Reported</w:t>
            </w:r>
          </w:p>
        </w:tc>
      </w:tr>
      <w:tr>
        <w:trPr>
          <w:cantSplit/>
        </w:trPr>
        <w:tc>
          <w:tcPr>
            <w:tcW w:type="dxa" w:w="2436"/>
            <w:vAlign w:val="center"/>
          </w:tcPr>
          <w:p>
            <w:r>
              <w:rPr>
                <w:sz w:val="16"/>
              </w:rPr>
              <w:t>3c</w:t>
            </w:r>
          </w:p>
        </w:tc>
        <w:tc>
          <w:tcPr>
            <w:tcW w:type="dxa" w:w="2436"/>
            <w:vAlign w:val="center"/>
          </w:tcPr>
          <w:p>
            <w:r>
              <w:rPr>
                <w:sz w:val="16"/>
              </w:rPr>
              <w:t>Known health inequalities</w:t>
            </w:r>
          </w:p>
        </w:tc>
        <w:tc>
          <w:tcPr>
            <w:tcW w:type="dxa" w:w="2436"/>
            <w:vAlign w:val="center"/>
          </w:tcPr>
          <w:p>
            <w:r>
              <w:rPr>
                <w:sz w:val="16"/>
              </w:rPr>
              <w:t>Discussion - Limitations</w:t>
            </w:r>
          </w:p>
        </w:tc>
        <w:tc>
          <w:tcPr>
            <w:tcW w:type="dxa" w:w="2436"/>
            <w:vAlign w:val="center"/>
          </w:tcPr>
          <w:p>
            <w:r>
              <w:rPr>
                <w:sz w:val="16"/>
              </w:rPr>
              <w:t>Reported as not evaluated</w:t>
            </w:r>
          </w:p>
        </w:tc>
      </w:tr>
      <w:tr>
        <w:trPr>
          <w:cantSplit/>
        </w:trPr>
        <w:tc>
          <w:tcPr>
            <w:tcW w:type="dxa" w:w="2436"/>
            <w:vAlign w:val="center"/>
          </w:tcPr>
          <w:p>
            <w:r>
              <w:rPr>
                <w:sz w:val="16"/>
              </w:rPr>
              <w:t>4</w:t>
            </w:r>
          </w:p>
        </w:tc>
        <w:tc>
          <w:tcPr>
            <w:tcW w:type="dxa" w:w="2436"/>
            <w:vAlign w:val="center"/>
          </w:tcPr>
          <w:p>
            <w:r>
              <w:rPr>
                <w:sz w:val="16"/>
              </w:rPr>
              <w:t>Objectives</w:t>
            </w:r>
          </w:p>
        </w:tc>
        <w:tc>
          <w:tcPr>
            <w:tcW w:type="dxa" w:w="2436"/>
            <w:vAlign w:val="center"/>
          </w:tcPr>
          <w:p>
            <w:r>
              <w:rPr>
                <w:sz w:val="16"/>
              </w:rPr>
              <w:t>Background - final paragraph</w:t>
            </w:r>
          </w:p>
        </w:tc>
        <w:tc>
          <w:tcPr>
            <w:tcW w:type="dxa" w:w="2436"/>
            <w:vAlign w:val="center"/>
          </w:tcPr>
          <w:p>
            <w:r>
              <w:rPr>
                <w:sz w:val="16"/>
              </w:rPr>
              <w:t>Reported</w:t>
            </w:r>
          </w:p>
        </w:tc>
      </w:tr>
      <w:tr>
        <w:trPr>
          <w:cantSplit/>
        </w:trPr>
        <w:tc>
          <w:tcPr>
            <w:tcW w:type="dxa" w:w="2436"/>
            <w:vAlign w:val="center"/>
          </w:tcPr>
          <w:p>
            <w:r>
              <w:rPr>
                <w:sz w:val="16"/>
              </w:rPr>
              <w:t>5a</w:t>
            </w:r>
          </w:p>
        </w:tc>
        <w:tc>
          <w:tcPr>
            <w:tcW w:type="dxa" w:w="2436"/>
            <w:vAlign w:val="center"/>
          </w:tcPr>
          <w:p>
            <w:r>
              <w:rPr>
                <w:sz w:val="16"/>
              </w:rPr>
              <w:t>Data sources rationale and representativeness</w:t>
            </w:r>
          </w:p>
        </w:tc>
        <w:tc>
          <w:tcPr>
            <w:tcW w:type="dxa" w:w="2436"/>
            <w:vAlign w:val="center"/>
          </w:tcPr>
          <w:p>
            <w:r>
              <w:rPr>
                <w:sz w:val="16"/>
              </w:rPr>
              <w:t>Methods - Study design and Predictors and outcomes; provenance/SOURCES.md</w:t>
            </w:r>
          </w:p>
        </w:tc>
        <w:tc>
          <w:tcPr>
            <w:tcW w:type="dxa" w:w="2436"/>
            <w:vAlign w:val="center"/>
          </w:tcPr>
          <w:p>
            <w:r>
              <w:rPr>
                <w:sz w:val="16"/>
              </w:rPr>
              <w:t>Reported</w:t>
            </w:r>
          </w:p>
        </w:tc>
      </w:tr>
      <w:tr>
        <w:trPr>
          <w:cantSplit/>
        </w:trPr>
        <w:tc>
          <w:tcPr>
            <w:tcW w:type="dxa" w:w="2436"/>
            <w:vAlign w:val="center"/>
          </w:tcPr>
          <w:p>
            <w:r>
              <w:rPr>
                <w:sz w:val="16"/>
              </w:rPr>
              <w:t>5b</w:t>
            </w:r>
          </w:p>
        </w:tc>
        <w:tc>
          <w:tcPr>
            <w:tcW w:type="dxa" w:w="2436"/>
            <w:vAlign w:val="center"/>
          </w:tcPr>
          <w:p>
            <w:r>
              <w:rPr>
                <w:sz w:val="16"/>
              </w:rPr>
              <w:t>Participant-data dates</w:t>
            </w:r>
          </w:p>
        </w:tc>
        <w:tc>
          <w:tcPr>
            <w:tcW w:type="dxa" w:w="2436"/>
            <w:vAlign w:val="center"/>
          </w:tcPr>
          <w:p>
            <w:r>
              <w:rPr>
                <w:sz w:val="16"/>
              </w:rPr>
              <w:t>Methods - Study design; provenance/SOURCES.md</w:t>
            </w:r>
          </w:p>
        </w:tc>
        <w:tc>
          <w:tcPr>
            <w:tcW w:type="dxa" w:w="2436"/>
            <w:vAlign w:val="center"/>
          </w:tcPr>
          <w:p>
            <w:r>
              <w:rPr>
                <w:sz w:val="16"/>
              </w:rPr>
              <w:t>Historical TCGA cohort and analysis access documented; accrual dates not available in analytic files</w:t>
            </w:r>
          </w:p>
        </w:tc>
      </w:tr>
      <w:tr>
        <w:trPr>
          <w:cantSplit/>
        </w:trPr>
        <w:tc>
          <w:tcPr>
            <w:tcW w:type="dxa" w:w="2436"/>
            <w:vAlign w:val="center"/>
          </w:tcPr>
          <w:p>
            <w:r>
              <w:rPr>
                <w:sz w:val="16"/>
              </w:rPr>
              <w:t>6a</w:t>
            </w:r>
          </w:p>
        </w:tc>
        <w:tc>
          <w:tcPr>
            <w:tcW w:type="dxa" w:w="2436"/>
            <w:vAlign w:val="center"/>
          </w:tcPr>
          <w:p>
            <w:r>
              <w:rPr>
                <w:sz w:val="16"/>
              </w:rPr>
              <w:t>Study setting centres and locations</w:t>
            </w:r>
          </w:p>
        </w:tc>
        <w:tc>
          <w:tcPr>
            <w:tcW w:type="dxa" w:w="2436"/>
            <w:vAlign w:val="center"/>
          </w:tcPr>
          <w:p>
            <w:r>
              <w:rPr>
                <w:sz w:val="16"/>
              </w:rPr>
              <w:t>Methods - Study design; site-grouped sensitivity</w:t>
            </w:r>
          </w:p>
        </w:tc>
        <w:tc>
          <w:tcPr>
            <w:tcW w:type="dxa" w:w="2436"/>
            <w:vAlign w:val="center"/>
          </w:tcPr>
          <w:p>
            <w:r>
              <w:rPr>
                <w:sz w:val="16"/>
              </w:rPr>
              <w:t>Reported as multicentre TCGA with tissue-source-site audit</w:t>
            </w:r>
          </w:p>
        </w:tc>
      </w:tr>
      <w:tr>
        <w:trPr>
          <w:cantSplit/>
        </w:trPr>
        <w:tc>
          <w:tcPr>
            <w:tcW w:type="dxa" w:w="2436"/>
            <w:vAlign w:val="center"/>
          </w:tcPr>
          <w:p>
            <w:r>
              <w:rPr>
                <w:sz w:val="16"/>
              </w:rPr>
              <w:t>6b</w:t>
            </w:r>
          </w:p>
        </w:tc>
        <w:tc>
          <w:tcPr>
            <w:tcW w:type="dxa" w:w="2436"/>
            <w:vAlign w:val="center"/>
          </w:tcPr>
          <w:p>
            <w:r>
              <w:rPr>
                <w:sz w:val="16"/>
              </w:rPr>
              <w:t>Participant eligibility</w:t>
            </w:r>
          </w:p>
        </w:tc>
        <w:tc>
          <w:tcPr>
            <w:tcW w:type="dxa" w:w="2436"/>
            <w:vAlign w:val="center"/>
          </w:tcPr>
          <w:p>
            <w:r>
              <w:rPr>
                <w:sz w:val="16"/>
              </w:rPr>
              <w:t>Methods - Study design</w:t>
            </w:r>
          </w:p>
        </w:tc>
        <w:tc>
          <w:tcPr>
            <w:tcW w:type="dxa" w:w="2436"/>
            <w:vAlign w:val="center"/>
          </w:tcPr>
          <w:p>
            <w:r>
              <w:rPr>
                <w:sz w:val="16"/>
              </w:rPr>
              <w:t>Reported</w:t>
            </w:r>
          </w:p>
        </w:tc>
      </w:tr>
      <w:tr>
        <w:trPr>
          <w:cantSplit/>
        </w:trPr>
        <w:tc>
          <w:tcPr>
            <w:tcW w:type="dxa" w:w="2436"/>
            <w:vAlign w:val="center"/>
          </w:tcPr>
          <w:p>
            <w:r>
              <w:rPr>
                <w:sz w:val="16"/>
              </w:rPr>
              <w:t>6c</w:t>
            </w:r>
          </w:p>
        </w:tc>
        <w:tc>
          <w:tcPr>
            <w:tcW w:type="dxa" w:w="2436"/>
            <w:vAlign w:val="center"/>
          </w:tcPr>
          <w:p>
            <w:r>
              <w:rPr>
                <w:sz w:val="16"/>
              </w:rPr>
              <w:t>Treatments</w:t>
            </w:r>
          </w:p>
        </w:tc>
        <w:tc>
          <w:tcPr>
            <w:tcW w:type="dxa" w:w="2436"/>
            <w:vAlign w:val="center"/>
          </w:tcPr>
          <w:p>
            <w:r>
              <w:rPr>
                <w:sz w:val="16"/>
              </w:rPr>
              <w:t>Methods - Study design</w:t>
            </w:r>
          </w:p>
        </w:tc>
        <w:tc>
          <w:tcPr>
            <w:tcW w:type="dxa" w:w="2436"/>
            <w:vAlign w:val="center"/>
          </w:tcPr>
          <w:p>
            <w:r>
              <w:rPr>
                <w:sz w:val="16"/>
              </w:rPr>
              <w:t>Not applicable; no treatment or prognosis endpoint</w:t>
            </w:r>
          </w:p>
        </w:tc>
      </w:tr>
      <w:tr>
        <w:trPr>
          <w:cantSplit/>
        </w:trPr>
        <w:tc>
          <w:tcPr>
            <w:tcW w:type="dxa" w:w="2436"/>
            <w:vAlign w:val="center"/>
          </w:tcPr>
          <w:p>
            <w:r>
              <w:rPr>
                <w:sz w:val="16"/>
              </w:rPr>
              <w:t>7</w:t>
            </w:r>
          </w:p>
        </w:tc>
        <w:tc>
          <w:tcPr>
            <w:tcW w:type="dxa" w:w="2436"/>
            <w:vAlign w:val="center"/>
          </w:tcPr>
          <w:p>
            <w:r>
              <w:rPr>
                <w:sz w:val="16"/>
              </w:rPr>
              <w:t>Data preparation and quality checking</w:t>
            </w:r>
          </w:p>
        </w:tc>
        <w:tc>
          <w:tcPr>
            <w:tcW w:type="dxa" w:w="2436"/>
            <w:vAlign w:val="center"/>
          </w:tcPr>
          <w:p>
            <w:r>
              <w:rPr>
                <w:sz w:val="16"/>
              </w:rPr>
              <w:t>Methods - Study design and Predictors and outcomes; Supplementary Tables S2-S4</w:t>
            </w:r>
          </w:p>
        </w:tc>
        <w:tc>
          <w:tcPr>
            <w:tcW w:type="dxa" w:w="2436"/>
            <w:vAlign w:val="center"/>
          </w:tcPr>
          <w:p>
            <w:r>
              <w:rPr>
                <w:sz w:val="16"/>
              </w:rPr>
              <w:t>Reported</w:t>
            </w:r>
          </w:p>
        </w:tc>
      </w:tr>
      <w:tr>
        <w:trPr>
          <w:cantSplit/>
        </w:trPr>
        <w:tc>
          <w:tcPr>
            <w:tcW w:type="dxa" w:w="2436"/>
            <w:vAlign w:val="center"/>
          </w:tcPr>
          <w:p>
            <w:r>
              <w:rPr>
                <w:sz w:val="16"/>
              </w:rPr>
              <w:t>8a</w:t>
            </w:r>
          </w:p>
        </w:tc>
        <w:tc>
          <w:tcPr>
            <w:tcW w:type="dxa" w:w="2436"/>
            <w:vAlign w:val="center"/>
          </w:tcPr>
          <w:p>
            <w:r>
              <w:rPr>
                <w:sz w:val="16"/>
              </w:rPr>
              <w:t>Outcome definitions and assessment</w:t>
            </w:r>
          </w:p>
        </w:tc>
        <w:tc>
          <w:tcPr>
            <w:tcW w:type="dxa" w:w="2436"/>
            <w:vAlign w:val="center"/>
          </w:tcPr>
          <w:p>
            <w:r>
              <w:rPr>
                <w:sz w:val="16"/>
              </w:rPr>
              <w:t>Methods - Predictors and outcomes; target catalogues</w:t>
            </w:r>
          </w:p>
        </w:tc>
        <w:tc>
          <w:tcPr>
            <w:tcW w:type="dxa" w:w="2436"/>
            <w:vAlign w:val="center"/>
          </w:tcPr>
          <w:p>
            <w:r>
              <w:rPr>
                <w:sz w:val="16"/>
              </w:rPr>
              <w:t>Reported</w:t>
            </w:r>
          </w:p>
        </w:tc>
      </w:tr>
      <w:tr>
        <w:trPr>
          <w:cantSplit/>
        </w:trPr>
        <w:tc>
          <w:tcPr>
            <w:tcW w:type="dxa" w:w="2436"/>
            <w:vAlign w:val="center"/>
          </w:tcPr>
          <w:p>
            <w:r>
              <w:rPr>
                <w:sz w:val="16"/>
              </w:rPr>
              <w:t>8b</w:t>
            </w:r>
          </w:p>
        </w:tc>
        <w:tc>
          <w:tcPr>
            <w:tcW w:type="dxa" w:w="2436"/>
            <w:vAlign w:val="center"/>
          </w:tcPr>
          <w:p>
            <w:r>
              <w:rPr>
                <w:sz w:val="16"/>
              </w:rPr>
              <w:t>Subjective outcome assessors</w:t>
            </w:r>
          </w:p>
        </w:tc>
        <w:tc>
          <w:tcPr>
            <w:tcW w:type="dxa" w:w="2436"/>
            <w:vAlign w:val="center"/>
          </w:tcPr>
          <w:p>
            <w:r>
              <w:rPr>
                <w:sz w:val="16"/>
              </w:rPr>
              <w:t>Methods - Predictors and outcomes</w:t>
            </w:r>
          </w:p>
        </w:tc>
        <w:tc>
          <w:tcPr>
            <w:tcW w:type="dxa" w:w="2436"/>
            <w:vAlign w:val="center"/>
          </w:tcPr>
          <w:p>
            <w:r>
              <w:rPr>
                <w:sz w:val="16"/>
              </w:rPr>
              <w:t>Not applicable; curated molecular and computational outcomes</w:t>
            </w:r>
          </w:p>
        </w:tc>
      </w:tr>
      <w:tr>
        <w:trPr>
          <w:cantSplit/>
        </w:trPr>
        <w:tc>
          <w:tcPr>
            <w:tcW w:type="dxa" w:w="2436"/>
            <w:vAlign w:val="center"/>
          </w:tcPr>
          <w:p>
            <w:r>
              <w:rPr>
                <w:sz w:val="16"/>
              </w:rPr>
              <w:t>8c</w:t>
            </w:r>
          </w:p>
        </w:tc>
        <w:tc>
          <w:tcPr>
            <w:tcW w:type="dxa" w:w="2436"/>
            <w:vAlign w:val="center"/>
          </w:tcPr>
          <w:p>
            <w:r>
              <w:rPr>
                <w:sz w:val="16"/>
              </w:rPr>
              <w:t>Blinding of outcome assessment</w:t>
            </w:r>
          </w:p>
        </w:tc>
        <w:tc>
          <w:tcPr>
            <w:tcW w:type="dxa" w:w="2436"/>
            <w:vAlign w:val="center"/>
          </w:tcPr>
          <w:p>
            <w:r>
              <w:rPr>
                <w:sz w:val="16"/>
              </w:rPr>
              <w:t>Methods - Study design</w:t>
            </w:r>
          </w:p>
        </w:tc>
        <w:tc>
          <w:tcPr>
            <w:tcW w:type="dxa" w:w="2436"/>
            <w:vAlign w:val="center"/>
          </w:tcPr>
          <w:p>
            <w:r>
              <w:rPr>
                <w:sz w:val="16"/>
              </w:rPr>
              <w:t>Outcomes constructed independently before predictor joining</w:t>
            </w:r>
          </w:p>
        </w:tc>
      </w:tr>
      <w:tr>
        <w:trPr>
          <w:cantSplit/>
        </w:trPr>
        <w:tc>
          <w:tcPr>
            <w:tcW w:type="dxa" w:w="2436"/>
            <w:vAlign w:val="center"/>
          </w:tcPr>
          <w:p>
            <w:r>
              <w:rPr>
                <w:sz w:val="16"/>
              </w:rPr>
              <w:t>9a</w:t>
            </w:r>
          </w:p>
        </w:tc>
        <w:tc>
          <w:tcPr>
            <w:tcW w:type="dxa" w:w="2436"/>
            <w:vAlign w:val="center"/>
          </w:tcPr>
          <w:p>
            <w:r>
              <w:rPr>
                <w:sz w:val="16"/>
              </w:rPr>
              <w:t>Choice of initial predictors</w:t>
            </w:r>
          </w:p>
        </w:tc>
        <w:tc>
          <w:tcPr>
            <w:tcW w:type="dxa" w:w="2436"/>
            <w:vAlign w:val="center"/>
          </w:tcPr>
          <w:p>
            <w:r>
              <w:rPr>
                <w:sz w:val="16"/>
              </w:rPr>
              <w:t>Methods - Predictors and outcomes</w:t>
            </w:r>
          </w:p>
        </w:tc>
        <w:tc>
          <w:tcPr>
            <w:tcW w:type="dxa" w:w="2436"/>
            <w:vAlign w:val="center"/>
          </w:tcPr>
          <w:p>
            <w:r>
              <w:rPr>
                <w:sz w:val="16"/>
              </w:rPr>
              <w:t>All 768 fixed pretrained TITAN dimensions prespecified</w:t>
            </w:r>
          </w:p>
        </w:tc>
      </w:tr>
      <w:tr>
        <w:trPr>
          <w:cantSplit/>
        </w:trPr>
        <w:tc>
          <w:tcPr>
            <w:tcW w:type="dxa" w:w="2436"/>
            <w:vAlign w:val="center"/>
          </w:tcPr>
          <w:p>
            <w:r>
              <w:rPr>
                <w:sz w:val="16"/>
              </w:rPr>
              <w:t>9b</w:t>
            </w:r>
          </w:p>
        </w:tc>
        <w:tc>
          <w:tcPr>
            <w:tcW w:type="dxa" w:w="2436"/>
            <w:vAlign w:val="center"/>
          </w:tcPr>
          <w:p>
            <w:r>
              <w:rPr>
                <w:sz w:val="16"/>
              </w:rPr>
              <w:t>Predictor definitions and measurement</w:t>
            </w:r>
          </w:p>
        </w:tc>
        <w:tc>
          <w:tcPr>
            <w:tcW w:type="dxa" w:w="2436"/>
            <w:vAlign w:val="center"/>
          </w:tcPr>
          <w:p>
            <w:r>
              <w:rPr>
                <w:sz w:val="16"/>
              </w:rPr>
              <w:t>Methods - Predictors and outcomes; provenance/SOURCES.md</w:t>
            </w:r>
          </w:p>
        </w:tc>
        <w:tc>
          <w:tcPr>
            <w:tcW w:type="dxa" w:w="2436"/>
            <w:vAlign w:val="center"/>
          </w:tcPr>
          <w:p>
            <w:r>
              <w:rPr>
                <w:sz w:val="16"/>
              </w:rPr>
              <w:t>Reported</w:t>
            </w:r>
          </w:p>
        </w:tc>
      </w:tr>
      <w:tr>
        <w:trPr>
          <w:cantSplit/>
        </w:trPr>
        <w:tc>
          <w:tcPr>
            <w:tcW w:type="dxa" w:w="2436"/>
            <w:vAlign w:val="center"/>
          </w:tcPr>
          <w:p>
            <w:r>
              <w:rPr>
                <w:sz w:val="16"/>
              </w:rPr>
              <w:t>9c</w:t>
            </w:r>
          </w:p>
        </w:tc>
        <w:tc>
          <w:tcPr>
            <w:tcW w:type="dxa" w:w="2436"/>
            <w:vAlign w:val="center"/>
          </w:tcPr>
          <w:p>
            <w:r>
              <w:rPr>
                <w:sz w:val="16"/>
              </w:rPr>
              <w:t>Subjective predictor assessors</w:t>
            </w:r>
          </w:p>
        </w:tc>
        <w:tc>
          <w:tcPr>
            <w:tcW w:type="dxa" w:w="2436"/>
            <w:vAlign w:val="center"/>
          </w:tcPr>
          <w:p>
            <w:r>
              <w:rPr>
                <w:sz w:val="16"/>
              </w:rPr>
              <w:t>Methods - Predictors and outcomes</w:t>
            </w:r>
          </w:p>
        </w:tc>
        <w:tc>
          <w:tcPr>
            <w:tcW w:type="dxa" w:w="2436"/>
            <w:vAlign w:val="center"/>
          </w:tcPr>
          <w:p>
            <w:r>
              <w:rPr>
                <w:sz w:val="16"/>
              </w:rPr>
              <w:t>Not applicable; fixed numeric embeddings</w:t>
            </w:r>
          </w:p>
        </w:tc>
      </w:tr>
      <w:tr>
        <w:trPr>
          <w:cantSplit/>
        </w:trPr>
        <w:tc>
          <w:tcPr>
            <w:tcW w:type="dxa" w:w="2436"/>
            <w:vAlign w:val="center"/>
          </w:tcPr>
          <w:p>
            <w:r>
              <w:rPr>
                <w:sz w:val="16"/>
              </w:rPr>
              <w:t>10</w:t>
            </w:r>
          </w:p>
        </w:tc>
        <w:tc>
          <w:tcPr>
            <w:tcW w:type="dxa" w:w="2436"/>
            <w:vAlign w:val="center"/>
          </w:tcPr>
          <w:p>
            <w:r>
              <w:rPr>
                <w:sz w:val="16"/>
              </w:rPr>
              <w:t>Sample size</w:t>
            </w:r>
          </w:p>
        </w:tc>
        <w:tc>
          <w:tcPr>
            <w:tcW w:type="dxa" w:w="2436"/>
            <w:vAlign w:val="center"/>
          </w:tcPr>
          <w:p>
            <w:r>
              <w:rPr>
                <w:sz w:val="16"/>
              </w:rPr>
              <w:t>Methods - eligibility paragraph</w:t>
            </w:r>
          </w:p>
        </w:tc>
        <w:tc>
          <w:tcPr>
            <w:tcW w:type="dxa" w:w="2436"/>
            <w:vAlign w:val="center"/>
          </w:tcPr>
          <w:p>
            <w:r>
              <w:rPr>
                <w:sz w:val="16"/>
              </w:rPr>
              <w:t>All available eligible data used; prespecified minimum denominators reported; no formal power calculation</w:t>
            </w:r>
          </w:p>
        </w:tc>
      </w:tr>
      <w:tr>
        <w:trPr>
          <w:cantSplit/>
        </w:trPr>
        <w:tc>
          <w:tcPr>
            <w:tcW w:type="dxa" w:w="2436"/>
            <w:vAlign w:val="center"/>
          </w:tcPr>
          <w:p>
            <w:r>
              <w:rPr>
                <w:sz w:val="16"/>
              </w:rPr>
              <w:t>11</w:t>
            </w:r>
          </w:p>
        </w:tc>
        <w:tc>
          <w:tcPr>
            <w:tcW w:type="dxa" w:w="2436"/>
            <w:vAlign w:val="center"/>
          </w:tcPr>
          <w:p>
            <w:r>
              <w:rPr>
                <w:sz w:val="16"/>
              </w:rPr>
              <w:t>Missing data</w:t>
            </w:r>
          </w:p>
        </w:tc>
        <w:tc>
          <w:tcPr>
            <w:tcW w:type="dxa" w:w="2436"/>
            <w:vAlign w:val="center"/>
          </w:tcPr>
          <w:p>
            <w:r>
              <w:rPr>
                <w:sz w:val="16"/>
              </w:rPr>
              <w:t>Methods - Predictors and outcomes; Supplementary Tables S3-S4</w:t>
            </w:r>
          </w:p>
        </w:tc>
        <w:tc>
          <w:tcPr>
            <w:tcW w:type="dxa" w:w="2436"/>
            <w:vAlign w:val="center"/>
          </w:tcPr>
          <w:p>
            <w:r>
              <w:rPr>
                <w:sz w:val="16"/>
              </w:rPr>
              <w:t>Reported</w:t>
            </w:r>
          </w:p>
        </w:tc>
      </w:tr>
      <w:tr>
        <w:trPr>
          <w:cantSplit/>
        </w:trPr>
        <w:tc>
          <w:tcPr>
            <w:tcW w:type="dxa" w:w="2436"/>
            <w:vAlign w:val="center"/>
          </w:tcPr>
          <w:p>
            <w:r>
              <w:rPr>
                <w:sz w:val="16"/>
              </w:rPr>
              <w:t>12a</w:t>
            </w:r>
          </w:p>
        </w:tc>
        <w:tc>
          <w:tcPr>
            <w:tcW w:type="dxa" w:w="2436"/>
            <w:vAlign w:val="center"/>
          </w:tcPr>
          <w:p>
            <w:r>
              <w:rPr>
                <w:sz w:val="16"/>
              </w:rPr>
              <w:t>Data partitioning and leakage prevention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12b</w:t>
            </w:r>
          </w:p>
        </w:tc>
        <w:tc>
          <w:tcPr>
            <w:tcW w:type="dxa" w:w="2436"/>
            <w:vAlign w:val="center"/>
          </w:tcPr>
          <w:p>
            <w:r>
              <w:rPr>
                <w:sz w:val="16"/>
              </w:rPr>
              <w:t>Predictor handling and standardisation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12c</w:t>
            </w:r>
          </w:p>
        </w:tc>
        <w:tc>
          <w:tcPr>
            <w:tcW w:type="dxa" w:w="2436"/>
            <w:vAlign w:val="center"/>
          </w:tcPr>
          <w:p>
            <w:r>
              <w:rPr>
                <w:sz w:val="16"/>
              </w:rPr>
              <w:t>Model building tuning and internal evaluation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12d</w:t>
            </w:r>
          </w:p>
        </w:tc>
        <w:tc>
          <w:tcPr>
            <w:tcW w:type="dxa" w:w="2436"/>
            <w:vAlign w:val="center"/>
          </w:tcPr>
          <w:p>
            <w:r>
              <w:rPr>
                <w:sz w:val="16"/>
              </w:rPr>
              <w:t>Clustering and heterogeneity</w:t>
            </w:r>
          </w:p>
        </w:tc>
        <w:tc>
          <w:tcPr>
            <w:tcW w:type="dxa" w:w="2436"/>
            <w:vAlign w:val="center"/>
          </w:tcPr>
          <w:p>
            <w:r>
              <w:rPr>
                <w:sz w:val="16"/>
              </w:rPr>
              <w:t>Methods - Robustness; Results - Site and multiple-slide sensitivity</w:t>
            </w:r>
          </w:p>
        </w:tc>
        <w:tc>
          <w:tcPr>
            <w:tcW w:type="dxa" w:w="2436"/>
            <w:vAlign w:val="center"/>
          </w:tcPr>
          <w:p>
            <w:r>
              <w:rPr>
                <w:sz w:val="16"/>
              </w:rPr>
              <w:t>Reported through tissue-source-site grouped evaluation</w:t>
            </w:r>
          </w:p>
        </w:tc>
      </w:tr>
      <w:tr>
        <w:trPr>
          <w:cantSplit/>
        </w:trPr>
        <w:tc>
          <w:tcPr>
            <w:tcW w:type="dxa" w:w="2436"/>
            <w:vAlign w:val="center"/>
          </w:tcPr>
          <w:p>
            <w:r>
              <w:rPr>
                <w:sz w:val="16"/>
              </w:rPr>
              <w:t>12e</w:t>
            </w:r>
          </w:p>
        </w:tc>
        <w:tc>
          <w:tcPr>
            <w:tcW w:type="dxa" w:w="2436"/>
            <w:vAlign w:val="center"/>
          </w:tcPr>
          <w:p>
            <w:r>
              <w:rPr>
                <w:sz w:val="16"/>
              </w:rPr>
              <w:t>Performance measures and plots</w:t>
            </w:r>
          </w:p>
        </w:tc>
        <w:tc>
          <w:tcPr>
            <w:tcW w:type="dxa" w:w="2436"/>
            <w:vAlign w:val="center"/>
          </w:tcPr>
          <w:p>
            <w:r>
              <w:rPr>
                <w:sz w:val="16"/>
              </w:rPr>
              <w:t>Methods - Robustness; Table 2; Figure 4; Supplementary Table S5</w:t>
            </w:r>
          </w:p>
        </w:tc>
        <w:tc>
          <w:tcPr>
            <w:tcW w:type="dxa" w:w="2436"/>
            <w:vAlign w:val="center"/>
          </w:tcPr>
          <w:p>
            <w:r>
              <w:rPr>
                <w:sz w:val="16"/>
              </w:rPr>
              <w:t>Reported; calibration not applicable because no probability output</w:t>
            </w:r>
          </w:p>
        </w:tc>
      </w:tr>
      <w:tr>
        <w:trPr>
          <w:cantSplit/>
        </w:trPr>
        <w:tc>
          <w:tcPr>
            <w:tcW w:type="dxa" w:w="2436"/>
            <w:vAlign w:val="center"/>
          </w:tcPr>
          <w:p>
            <w:r>
              <w:rPr>
                <w:sz w:val="16"/>
              </w:rPr>
              <w:t>12f</w:t>
            </w:r>
          </w:p>
        </w:tc>
        <w:tc>
          <w:tcPr>
            <w:tcW w:type="dxa" w:w="2436"/>
            <w:vAlign w:val="center"/>
          </w:tcPr>
          <w:p>
            <w:r>
              <w:rPr>
                <w:sz w:val="16"/>
              </w:rPr>
              <w:t>Model updating</w:t>
            </w:r>
          </w:p>
        </w:tc>
        <w:tc>
          <w:tcPr>
            <w:tcW w:type="dxa" w:w="2436"/>
            <w:vAlign w:val="center"/>
          </w:tcPr>
          <w:p>
            <w:r>
              <w:rPr>
                <w:sz w:val="16"/>
              </w:rPr>
              <w:t>Methods - Software transparency and validation status</w:t>
            </w:r>
          </w:p>
        </w:tc>
        <w:tc>
          <w:tcPr>
            <w:tcW w:type="dxa" w:w="2436"/>
            <w:vAlign w:val="center"/>
          </w:tcPr>
          <w:p>
            <w:r>
              <w:rPr>
                <w:sz w:val="16"/>
              </w:rPr>
              <w:t>Not applicable; no external model updating</w:t>
            </w:r>
          </w:p>
        </w:tc>
      </w:tr>
      <w:tr>
        <w:trPr>
          <w:cantSplit/>
        </w:trPr>
        <w:tc>
          <w:tcPr>
            <w:tcW w:type="dxa" w:w="2436"/>
            <w:vAlign w:val="center"/>
          </w:tcPr>
          <w:p>
            <w:r>
              <w:rPr>
                <w:sz w:val="16"/>
              </w:rPr>
              <w:t>12g</w:t>
            </w:r>
          </w:p>
        </w:tc>
        <w:tc>
          <w:tcPr>
            <w:tcW w:type="dxa" w:w="2436"/>
            <w:vAlign w:val="center"/>
          </w:tcPr>
          <w:p>
            <w:r>
              <w:rPr>
                <w:sz w:val="16"/>
              </w:rPr>
              <w:t>Calculation of evaluated model predictions</w:t>
            </w:r>
          </w:p>
        </w:tc>
        <w:tc>
          <w:tcPr>
            <w:tcW w:type="dxa" w:w="2436"/>
            <w:vAlign w:val="center"/>
          </w:tcPr>
          <w:p>
            <w:r>
              <w:rPr>
                <w:sz w:val="16"/>
              </w:rPr>
              <w:t>Repository inference example and model registry</w:t>
            </w:r>
          </w:p>
        </w:tc>
        <w:tc>
          <w:tcPr>
            <w:tcW w:type="dxa" w:w="2436"/>
            <w:vAlign w:val="center"/>
          </w:tcPr>
          <w:p>
            <w:r>
              <w:rPr>
                <w:sz w:val="16"/>
              </w:rPr>
              <w:t>Reported</w:t>
            </w:r>
          </w:p>
        </w:tc>
      </w:tr>
      <w:tr>
        <w:trPr>
          <w:cantSplit/>
        </w:trPr>
        <w:tc>
          <w:tcPr>
            <w:tcW w:type="dxa" w:w="2436"/>
            <w:vAlign w:val="center"/>
          </w:tcPr>
          <w:p>
            <w:r>
              <w:rPr>
                <w:sz w:val="16"/>
              </w:rPr>
              <w:t>13</w:t>
            </w:r>
          </w:p>
        </w:tc>
        <w:tc>
          <w:tcPr>
            <w:tcW w:type="dxa" w:w="2436"/>
            <w:vAlign w:val="center"/>
          </w:tcPr>
          <w:p>
            <w:r>
              <w:rPr>
                <w:sz w:val="16"/>
              </w:rPr>
              <w:t>Class imbalance</w:t>
            </w:r>
          </w:p>
        </w:tc>
        <w:tc>
          <w:tcPr>
            <w:tcW w:type="dxa" w:w="2436"/>
            <w:vAlign w:val="center"/>
          </w:tcPr>
          <w:p>
            <w:r>
              <w:rPr>
                <w:sz w:val="16"/>
              </w:rPr>
              <w:t>Methods - PLS1 regression and PLS-LDA classification</w:t>
            </w:r>
          </w:p>
        </w:tc>
        <w:tc>
          <w:tcPr>
            <w:tcW w:type="dxa" w:w="2436"/>
            <w:vAlign w:val="center"/>
          </w:tcPr>
          <w:p>
            <w:r>
              <w:rPr>
                <w:sz w:val="16"/>
              </w:rPr>
              <w:t>No resampling used; balanced accuracy and observed LDA priors reported</w:t>
            </w:r>
          </w:p>
        </w:tc>
      </w:tr>
      <w:tr>
        <w:trPr>
          <w:cantSplit/>
        </w:trPr>
        <w:tc>
          <w:tcPr>
            <w:tcW w:type="dxa" w:w="2436"/>
            <w:vAlign w:val="center"/>
          </w:tcPr>
          <w:p>
            <w:r>
              <w:rPr>
                <w:sz w:val="16"/>
              </w:rPr>
              <w:t>14</w:t>
            </w:r>
          </w:p>
        </w:tc>
        <w:tc>
          <w:tcPr>
            <w:tcW w:type="dxa" w:w="2436"/>
            <w:vAlign w:val="center"/>
          </w:tcPr>
          <w:p>
            <w:r>
              <w:rPr>
                <w:sz w:val="16"/>
              </w:rPr>
              <w:t>Fairness</w:t>
            </w:r>
          </w:p>
        </w:tc>
        <w:tc>
          <w:tcPr>
            <w:tcW w:type="dxa" w:w="2436"/>
            <w:vAlign w:val="center"/>
          </w:tcPr>
          <w:p>
            <w:r>
              <w:rPr>
                <w:sz w:val="16"/>
              </w:rPr>
              <w:t>Discussion - Limitations</w:t>
            </w:r>
          </w:p>
        </w:tc>
        <w:tc>
          <w:tcPr>
            <w:tcW w:type="dxa" w:w="2436"/>
            <w:vAlign w:val="center"/>
          </w:tcPr>
          <w:p>
            <w:r>
              <w:rPr>
                <w:sz w:val="16"/>
              </w:rPr>
              <w:t>No fairness intervention or subgroup evaluation; explicitly limited</w:t>
            </w:r>
          </w:p>
        </w:tc>
      </w:tr>
      <w:tr>
        <w:trPr>
          <w:cantSplit/>
        </w:trPr>
        <w:tc>
          <w:tcPr>
            <w:tcW w:type="dxa" w:w="2436"/>
            <w:vAlign w:val="center"/>
          </w:tcPr>
          <w:p>
            <w:r>
              <w:rPr>
                <w:sz w:val="16"/>
              </w:rPr>
              <w:t>15</w:t>
            </w:r>
          </w:p>
        </w:tc>
        <w:tc>
          <w:tcPr>
            <w:tcW w:type="dxa" w:w="2436"/>
            <w:vAlign w:val="center"/>
          </w:tcPr>
          <w:p>
            <w:r>
              <w:rPr>
                <w:sz w:val="16"/>
              </w:rPr>
              <w:t>Model output classification and thresholds</w:t>
            </w:r>
          </w:p>
        </w:tc>
        <w:tc>
          <w:tcPr>
            <w:tcW w:type="dxa" w:w="2436"/>
            <w:vAlign w:val="center"/>
          </w:tcPr>
          <w:p>
            <w:r>
              <w:rPr>
                <w:sz w:val="16"/>
              </w:rPr>
              <w:t>Methods - PLS1 regression and PLS-LDA classification; models/README.md</w:t>
            </w:r>
          </w:p>
        </w:tc>
        <w:tc>
          <w:tcPr>
            <w:tcW w:type="dxa" w:w="2436"/>
            <w:vAlign w:val="center"/>
          </w:tcPr>
          <w:p>
            <w:r>
              <w:rPr>
                <w:sz w:val="16"/>
              </w:rPr>
              <w:t>Reported; LDA class and uncalibrated score</w:t>
            </w:r>
          </w:p>
        </w:tc>
      </w:tr>
      <w:tr>
        <w:trPr>
          <w:cantSplit/>
        </w:trPr>
        <w:tc>
          <w:tcPr>
            <w:tcW w:type="dxa" w:w="2436"/>
            <w:vAlign w:val="center"/>
          </w:tcPr>
          <w:p>
            <w:r>
              <w:rPr>
                <w:sz w:val="16"/>
              </w:rPr>
              <w:t>16</w:t>
            </w:r>
          </w:p>
        </w:tc>
        <w:tc>
          <w:tcPr>
            <w:tcW w:type="dxa" w:w="2436"/>
            <w:vAlign w:val="center"/>
          </w:tcPr>
          <w:p>
            <w:r>
              <w:rPr>
                <w:sz w:val="16"/>
              </w:rPr>
              <w:t>Differences between development and evaluation data</w:t>
            </w:r>
          </w:p>
        </w:tc>
        <w:tc>
          <w:tcPr>
            <w:tcW w:type="dxa" w:w="2436"/>
            <w:vAlign w:val="center"/>
          </w:tcPr>
          <w:p>
            <w:r>
              <w:rPr>
                <w:sz w:val="16"/>
              </w:rPr>
              <w:t>Discussion - Limitations</w:t>
            </w:r>
          </w:p>
        </w:tc>
        <w:tc>
          <w:tcPr>
            <w:tcW w:type="dxa" w:w="2436"/>
            <w:vAlign w:val="center"/>
          </w:tcPr>
          <w:p>
            <w:r>
              <w:rPr>
                <w:sz w:val="16"/>
              </w:rPr>
              <w:t>Not applicable; no external evaluation cohort</w:t>
            </w:r>
          </w:p>
        </w:tc>
      </w:tr>
      <w:tr>
        <w:trPr>
          <w:cantSplit/>
        </w:trPr>
        <w:tc>
          <w:tcPr>
            <w:tcW w:type="dxa" w:w="2436"/>
            <w:vAlign w:val="center"/>
          </w:tcPr>
          <w:p>
            <w:r>
              <w:rPr>
                <w:sz w:val="16"/>
              </w:rPr>
              <w:t>17</w:t>
            </w:r>
          </w:p>
        </w:tc>
        <w:tc>
          <w:tcPr>
            <w:tcW w:type="dxa" w:w="2436"/>
            <w:vAlign w:val="center"/>
          </w:tcPr>
          <w:p>
            <w:r>
              <w:rPr>
                <w:sz w:val="16"/>
              </w:rPr>
              <w:t>Ethical approval and consent</w:t>
            </w:r>
          </w:p>
        </w:tc>
        <w:tc>
          <w:tcPr>
            <w:tcW w:type="dxa" w:w="2436"/>
            <w:vAlign w:val="center"/>
          </w:tcPr>
          <w:p>
            <w:r>
              <w:rPr>
                <w:sz w:val="16"/>
              </w:rPr>
              <w:t>Declarations</w:t>
            </w:r>
          </w:p>
        </w:tc>
        <w:tc>
          <w:tcPr>
            <w:tcW w:type="dxa" w:w="2436"/>
            <w:vAlign w:val="center"/>
          </w:tcPr>
          <w:p>
            <w:r>
              <w:rPr>
                <w:sz w:val="16"/>
              </w:rPr>
              <w:t>Pending final institutional wording</w:t>
            </w:r>
          </w:p>
        </w:tc>
      </w:tr>
      <w:tr>
        <w:trPr>
          <w:cantSplit/>
        </w:trPr>
        <w:tc>
          <w:tcPr>
            <w:tcW w:type="dxa" w:w="2436"/>
            <w:vAlign w:val="center"/>
          </w:tcPr>
          <w:p>
            <w:r>
              <w:rPr>
                <w:sz w:val="16"/>
              </w:rPr>
              <w:t>18a</w:t>
            </w:r>
          </w:p>
        </w:tc>
        <w:tc>
          <w:tcPr>
            <w:tcW w:type="dxa" w:w="2436"/>
            <w:vAlign w:val="center"/>
          </w:tcPr>
          <w:p>
            <w:r>
              <w:rPr>
                <w:sz w:val="16"/>
              </w:rPr>
              <w:t>Funding</w:t>
            </w:r>
          </w:p>
        </w:tc>
        <w:tc>
          <w:tcPr>
            <w:tcW w:type="dxa" w:w="2436"/>
            <w:vAlign w:val="center"/>
          </w:tcPr>
          <w:p>
            <w:r>
              <w:rPr>
                <w:sz w:val="16"/>
              </w:rPr>
              <w:t>Declarations</w:t>
            </w:r>
          </w:p>
        </w:tc>
        <w:tc>
          <w:tcPr>
            <w:tcW w:type="dxa" w:w="2436"/>
            <w:vAlign w:val="center"/>
          </w:tcPr>
          <w:p>
            <w:r>
              <w:rPr>
                <w:sz w:val="16"/>
              </w:rPr>
              <w:t>Pending author confirmation</w:t>
            </w:r>
          </w:p>
        </w:tc>
      </w:tr>
      <w:tr>
        <w:trPr>
          <w:cantSplit/>
        </w:trPr>
        <w:tc>
          <w:tcPr>
            <w:tcW w:type="dxa" w:w="2436"/>
            <w:vAlign w:val="center"/>
          </w:tcPr>
          <w:p>
            <w:r>
              <w:rPr>
                <w:sz w:val="16"/>
              </w:rPr>
              <w:t>18b</w:t>
            </w:r>
          </w:p>
        </w:tc>
        <w:tc>
          <w:tcPr>
            <w:tcW w:type="dxa" w:w="2436"/>
            <w:vAlign w:val="center"/>
          </w:tcPr>
          <w:p>
            <w:r>
              <w:rPr>
                <w:sz w:val="16"/>
              </w:rPr>
              <w:t>Conflicts of interest</w:t>
            </w:r>
          </w:p>
        </w:tc>
        <w:tc>
          <w:tcPr>
            <w:tcW w:type="dxa" w:w="2436"/>
            <w:vAlign w:val="center"/>
          </w:tcPr>
          <w:p>
            <w:r>
              <w:rPr>
                <w:sz w:val="16"/>
              </w:rPr>
              <w:t>Declarations</w:t>
            </w:r>
          </w:p>
        </w:tc>
        <w:tc>
          <w:tcPr>
            <w:tcW w:type="dxa" w:w="2436"/>
            <w:vAlign w:val="center"/>
          </w:tcPr>
          <w:p>
            <w:r>
              <w:rPr>
                <w:sz w:val="16"/>
              </w:rPr>
              <w:t>Pending author confirmation</w:t>
            </w:r>
          </w:p>
        </w:tc>
      </w:tr>
      <w:tr>
        <w:trPr>
          <w:cantSplit/>
        </w:trPr>
        <w:tc>
          <w:tcPr>
            <w:tcW w:type="dxa" w:w="2436"/>
            <w:vAlign w:val="center"/>
          </w:tcPr>
          <w:p>
            <w:r>
              <w:rPr>
                <w:sz w:val="16"/>
              </w:rPr>
              <w:t>18c</w:t>
            </w:r>
          </w:p>
        </w:tc>
        <w:tc>
          <w:tcPr>
            <w:tcW w:type="dxa" w:w="2436"/>
            <w:vAlign w:val="center"/>
          </w:tcPr>
          <w:p>
            <w:r>
              <w:rPr>
                <w:sz w:val="16"/>
              </w:rPr>
              <w:t>Protocol</w:t>
            </w:r>
          </w:p>
        </w:tc>
        <w:tc>
          <w:tcPr>
            <w:tcW w:type="dxa" w:w="2436"/>
            <w:vAlign w:val="center"/>
          </w:tcPr>
          <w:p>
            <w:r>
              <w:rPr>
                <w:sz w:val="16"/>
              </w:rPr>
              <w:t>Repository docs/ANALYSIS_PLAN.md</w:t>
            </w:r>
          </w:p>
        </w:tc>
        <w:tc>
          <w:tcPr>
            <w:tcW w:type="dxa" w:w="2436"/>
            <w:vAlign w:val="center"/>
          </w:tcPr>
          <w:p>
            <w:r>
              <w:rPr>
                <w:sz w:val="16"/>
              </w:rPr>
              <w:t>Locked analysis plan reported; not prospectively registered</w:t>
            </w:r>
          </w:p>
        </w:tc>
      </w:tr>
      <w:tr>
        <w:trPr>
          <w:cantSplit/>
        </w:trPr>
        <w:tc>
          <w:tcPr>
            <w:tcW w:type="dxa" w:w="2436"/>
            <w:vAlign w:val="center"/>
          </w:tcPr>
          <w:p>
            <w:r>
              <w:rPr>
                <w:sz w:val="16"/>
              </w:rPr>
              <w:t>18d</w:t>
            </w:r>
          </w:p>
        </w:tc>
        <w:tc>
          <w:tcPr>
            <w:tcW w:type="dxa" w:w="2436"/>
            <w:vAlign w:val="center"/>
          </w:tcPr>
          <w:p>
            <w:r>
              <w:rPr>
                <w:sz w:val="16"/>
              </w:rPr>
              <w:t>Registration</w:t>
            </w:r>
          </w:p>
        </w:tc>
        <w:tc>
          <w:tcPr>
            <w:tcW w:type="dxa" w:w="2436"/>
            <w:vAlign w:val="center"/>
          </w:tcPr>
          <w:p>
            <w:r>
              <w:rPr>
                <w:sz w:val="16"/>
              </w:rPr>
              <w:t>Declarations</w:t>
            </w:r>
          </w:p>
        </w:tc>
        <w:tc>
          <w:tcPr>
            <w:tcW w:type="dxa" w:w="2436"/>
            <w:vAlign w:val="center"/>
          </w:tcPr>
          <w:p>
            <w:r>
              <w:rPr>
                <w:sz w:val="16"/>
              </w:rPr>
              <w:t>Study not registered</w:t>
            </w:r>
          </w:p>
        </w:tc>
      </w:tr>
      <w:tr>
        <w:trPr>
          <w:cantSplit/>
        </w:trPr>
        <w:tc>
          <w:tcPr>
            <w:tcW w:type="dxa" w:w="2436"/>
            <w:vAlign w:val="center"/>
          </w:tcPr>
          <w:p>
            <w:r>
              <w:rPr>
                <w:sz w:val="16"/>
              </w:rPr>
              <w:t>18e</w:t>
            </w:r>
          </w:p>
        </w:tc>
        <w:tc>
          <w:tcPr>
            <w:tcW w:type="dxa" w:w="2436"/>
            <w:vAlign w:val="center"/>
          </w:tcPr>
          <w:p>
            <w:r>
              <w:rPr>
                <w:sz w:val="16"/>
              </w:rPr>
              <w:t>Data sharing</w:t>
            </w:r>
          </w:p>
        </w:tc>
        <w:tc>
          <w:tcPr>
            <w:tcW w:type="dxa" w:w="2436"/>
            <w:vAlign w:val="center"/>
          </w:tcPr>
          <w:p>
            <w:r>
              <w:rPr>
                <w:sz w:val="16"/>
              </w:rPr>
              <w:t>Declarations - Availability; provenance/SOURCES.md</w:t>
            </w:r>
          </w:p>
        </w:tc>
        <w:tc>
          <w:tcPr>
            <w:tcW w:type="dxa" w:w="2436"/>
            <w:vAlign w:val="center"/>
          </w:tcPr>
          <w:p>
            <w:r>
              <w:rPr>
                <w:sz w:val="16"/>
              </w:rPr>
              <w:t>Reported with source conditions</w:t>
            </w:r>
          </w:p>
        </w:tc>
      </w:tr>
      <w:tr>
        <w:trPr>
          <w:cantSplit/>
        </w:trPr>
        <w:tc>
          <w:tcPr>
            <w:tcW w:type="dxa" w:w="2436"/>
            <w:vAlign w:val="center"/>
          </w:tcPr>
          <w:p>
            <w:r>
              <w:rPr>
                <w:sz w:val="16"/>
              </w:rPr>
              <w:t>18f</w:t>
            </w:r>
          </w:p>
        </w:tc>
        <w:tc>
          <w:tcPr>
            <w:tcW w:type="dxa" w:w="2436"/>
            <w:vAlign w:val="center"/>
          </w:tcPr>
          <w:p>
            <w:r>
              <w:rPr>
                <w:sz w:val="16"/>
              </w:rPr>
              <w:t>Code sharing</w:t>
            </w:r>
          </w:p>
        </w:tc>
        <w:tc>
          <w:tcPr>
            <w:tcW w:type="dxa" w:w="2436"/>
            <w:vAlign w:val="center"/>
          </w:tcPr>
          <w:p>
            <w:r>
              <w:rPr>
                <w:sz w:val="16"/>
              </w:rPr>
              <w:t>Methods - Software transparency; public repository</w:t>
            </w:r>
          </w:p>
        </w:tc>
        <w:tc>
          <w:tcPr>
            <w:tcW w:type="dxa" w:w="2436"/>
            <w:vAlign w:val="center"/>
          </w:tcPr>
          <w:p>
            <w:r>
              <w:rPr>
                <w:sz w:val="16"/>
              </w:rPr>
              <w:t>Reported with versions and licence</w:t>
            </w:r>
          </w:p>
        </w:tc>
      </w:tr>
      <w:tr>
        <w:trPr>
          <w:cantSplit/>
        </w:trPr>
        <w:tc>
          <w:tcPr>
            <w:tcW w:type="dxa" w:w="2436"/>
            <w:vAlign w:val="center"/>
          </w:tcPr>
          <w:p>
            <w:r>
              <w:rPr>
                <w:sz w:val="16"/>
              </w:rPr>
              <w:t>19</w:t>
            </w:r>
          </w:p>
        </w:tc>
        <w:tc>
          <w:tcPr>
            <w:tcW w:type="dxa" w:w="2436"/>
            <w:vAlign w:val="center"/>
          </w:tcPr>
          <w:p>
            <w:r>
              <w:rPr>
                <w:sz w:val="16"/>
              </w:rPr>
              <w:t>Patient and public involvement</w:t>
            </w:r>
          </w:p>
        </w:tc>
        <w:tc>
          <w:tcPr>
            <w:tcW w:type="dxa" w:w="2436"/>
            <w:vAlign w:val="center"/>
          </w:tcPr>
          <w:p>
            <w:r>
              <w:rPr>
                <w:sz w:val="16"/>
              </w:rPr>
              <w:t>Declarations</w:t>
            </w:r>
          </w:p>
        </w:tc>
        <w:tc>
          <w:tcPr>
            <w:tcW w:type="dxa" w:w="2436"/>
            <w:vAlign w:val="center"/>
          </w:tcPr>
          <w:p>
            <w:r>
              <w:rPr>
                <w:sz w:val="16"/>
              </w:rPr>
              <w:t>No patient or public involvement</w:t>
            </w:r>
          </w:p>
        </w:tc>
      </w:tr>
      <w:tr>
        <w:trPr>
          <w:cantSplit/>
        </w:trPr>
        <w:tc>
          <w:tcPr>
            <w:tcW w:type="dxa" w:w="2436"/>
            <w:vAlign w:val="center"/>
          </w:tcPr>
          <w:p>
            <w:r>
              <w:rPr>
                <w:sz w:val="16"/>
              </w:rPr>
              <w:t>20a</w:t>
            </w:r>
          </w:p>
        </w:tc>
        <w:tc>
          <w:tcPr>
            <w:tcW w:type="dxa" w:w="2436"/>
            <w:vAlign w:val="center"/>
          </w:tcPr>
          <w:p>
            <w:r>
              <w:rPr>
                <w:sz w:val="16"/>
              </w:rPr>
              <w:t>Participant flow</w:t>
            </w:r>
          </w:p>
        </w:tc>
        <w:tc>
          <w:tcPr>
            <w:tcW w:type="dxa" w:w="2436"/>
            <w:vAlign w:val="center"/>
          </w:tcPr>
          <w:p>
            <w:r>
              <w:rPr>
                <w:sz w:val="16"/>
              </w:rPr>
              <w:t>Figure 1; Results - Cohort and analysis coverage</w:t>
            </w:r>
          </w:p>
        </w:tc>
        <w:tc>
          <w:tcPr>
            <w:tcW w:type="dxa" w:w="2436"/>
            <w:vAlign w:val="center"/>
          </w:tcPr>
          <w:p>
            <w:r>
              <w:rPr>
                <w:sz w:val="16"/>
              </w:rPr>
              <w:t>Reported</w:t>
            </w:r>
          </w:p>
        </w:tc>
      </w:tr>
      <w:tr>
        <w:trPr>
          <w:cantSplit/>
        </w:trPr>
        <w:tc>
          <w:tcPr>
            <w:tcW w:type="dxa" w:w="2436"/>
            <w:vAlign w:val="center"/>
          </w:tcPr>
          <w:p>
            <w:r>
              <w:rPr>
                <w:sz w:val="16"/>
              </w:rPr>
              <w:t>20b</w:t>
            </w:r>
          </w:p>
        </w:tc>
        <w:tc>
          <w:tcPr>
            <w:tcW w:type="dxa" w:w="2436"/>
            <w:vAlign w:val="center"/>
          </w:tcPr>
          <w:p>
            <w:r>
              <w:rPr>
                <w:sz w:val="16"/>
              </w:rPr>
              <w:t>Participant characteristics and missingness</w:t>
            </w:r>
          </w:p>
        </w:tc>
        <w:tc>
          <w:tcPr>
            <w:tcW w:type="dxa" w:w="2436"/>
            <w:vAlign w:val="center"/>
          </w:tcPr>
          <w:p>
            <w:r>
              <w:rPr>
                <w:sz w:val="16"/>
              </w:rPr>
              <w:t>Results - Cohort and analysis coverage; Supplementary Tables S2-S5</w:t>
            </w:r>
          </w:p>
        </w:tc>
        <w:tc>
          <w:tcPr>
            <w:tcW w:type="dxa" w:w="2436"/>
            <w:vAlign w:val="center"/>
          </w:tcPr>
          <w:p>
            <w:r>
              <w:rPr>
                <w:sz w:val="16"/>
              </w:rPr>
              <w:t>Participant age</w:t>
            </w:r>
          </w:p>
        </w:tc>
      </w:tr>
      <w:tr>
        <w:trPr>
          <w:cantSplit/>
        </w:trPr>
        <w:tc>
          <w:tcPr>
            <w:tcW w:type="dxa" w:w="2436"/>
            <w:vAlign w:val="center"/>
          </w:tcPr>
          <w:p>
            <w:r>
              <w:rPr>
                <w:sz w:val="16"/>
              </w:rPr>
              <w:t>20c</w:t>
            </w:r>
          </w:p>
        </w:tc>
        <w:tc>
          <w:tcPr>
            <w:tcW w:type="dxa" w:w="2436"/>
            <w:vAlign w:val="center"/>
          </w:tcPr>
          <w:p>
            <w:r>
              <w:rPr>
                <w:sz w:val="16"/>
              </w:rPr>
              <w:t>Evaluation-versus-development distributions</w:t>
            </w:r>
          </w:p>
        </w:tc>
        <w:tc>
          <w:tcPr>
            <w:tcW w:type="dxa" w:w="2436"/>
            <w:vAlign w:val="center"/>
          </w:tcPr>
          <w:p>
            <w:r>
              <w:rPr>
                <w:sz w:val="16"/>
              </w:rPr>
              <w:t>Discussion - Limitations</w:t>
            </w:r>
          </w:p>
        </w:tc>
        <w:tc>
          <w:tcPr>
            <w:tcW w:type="dxa" w:w="2436"/>
            <w:vAlign w:val="center"/>
          </w:tcPr>
          <w:p>
            <w:r>
              <w:rPr>
                <w:sz w:val="16"/>
              </w:rPr>
              <w:t>Not applicable; no independent evaluation cohort</w:t>
            </w:r>
          </w:p>
        </w:tc>
      </w:tr>
      <w:tr>
        <w:trPr>
          <w:cantSplit/>
        </w:trPr>
        <w:tc>
          <w:tcPr>
            <w:tcW w:type="dxa" w:w="2436"/>
            <w:vAlign w:val="center"/>
          </w:tcPr>
          <w:p>
            <w:r>
              <w:rPr>
                <w:sz w:val="16"/>
              </w:rPr>
              <w:t>21</w:t>
            </w:r>
          </w:p>
        </w:tc>
        <w:tc>
          <w:tcPr>
            <w:tcW w:type="dxa" w:w="2436"/>
            <w:vAlign w:val="center"/>
          </w:tcPr>
          <w:p>
            <w:r>
              <w:rPr>
                <w:sz w:val="16"/>
              </w:rPr>
              <w:t>Participants and events per analysis</w:t>
            </w:r>
          </w:p>
        </w:tc>
        <w:tc>
          <w:tcPr>
            <w:tcW w:type="dxa" w:w="2436"/>
            <w:vAlign w:val="center"/>
          </w:tcPr>
          <w:p>
            <w:r>
              <w:rPr>
                <w:sz w:val="16"/>
              </w:rPr>
              <w:t>Primary screen tables; Supplementary Tables S5-S9</w:t>
            </w:r>
          </w:p>
        </w:tc>
        <w:tc>
          <w:tcPr>
            <w:tcW w:type="dxa" w:w="2436"/>
            <w:vAlign w:val="center"/>
          </w:tcPr>
          <w:p>
            <w:r>
              <w:rPr>
                <w:sz w:val="16"/>
              </w:rPr>
              <w:t>Reported</w:t>
            </w:r>
          </w:p>
        </w:tc>
      </w:tr>
      <w:tr>
        <w:trPr>
          <w:cantSplit/>
        </w:trPr>
        <w:tc>
          <w:tcPr>
            <w:tcW w:type="dxa" w:w="2436"/>
            <w:vAlign w:val="center"/>
          </w:tcPr>
          <w:p>
            <w:r>
              <w:rPr>
                <w:sz w:val="16"/>
              </w:rPr>
              <w:t>22</w:t>
            </w:r>
          </w:p>
        </w:tc>
        <w:tc>
          <w:tcPr>
            <w:tcW w:type="dxa" w:w="2436"/>
            <w:vAlign w:val="center"/>
          </w:tcPr>
          <w:p>
            <w:r>
              <w:rPr>
                <w:sz w:val="16"/>
              </w:rPr>
              <w:t>Full model specification and access restrictions</w:t>
            </w:r>
          </w:p>
        </w:tc>
        <w:tc>
          <w:tcPr>
            <w:tcW w:type="dxa" w:w="2436"/>
            <w:vAlign w:val="center"/>
          </w:tcPr>
          <w:p>
            <w:r>
              <w:rPr>
                <w:sz w:val="16"/>
              </w:rPr>
              <w:t>Model registry; models/README.md; inference example</w:t>
            </w:r>
          </w:p>
        </w:tc>
        <w:tc>
          <w:tcPr>
            <w:tcW w:type="dxa" w:w="2436"/>
            <w:vAlign w:val="center"/>
          </w:tcPr>
          <w:p>
            <w:r>
              <w:rPr>
                <w:sz w:val="16"/>
              </w:rPr>
              <w:t>Reported subject to TITAN redistribution terms</w:t>
            </w:r>
          </w:p>
        </w:tc>
      </w:tr>
      <w:tr>
        <w:trPr>
          <w:cantSplit/>
        </w:trPr>
        <w:tc>
          <w:tcPr>
            <w:tcW w:type="dxa" w:w="2436"/>
            <w:vAlign w:val="center"/>
          </w:tcPr>
          <w:p>
            <w:r>
              <w:rPr>
                <w:sz w:val="16"/>
              </w:rPr>
              <w:t>23a</w:t>
            </w:r>
          </w:p>
        </w:tc>
        <w:tc>
          <w:tcPr>
            <w:tcW w:type="dxa" w:w="2436"/>
            <w:vAlign w:val="center"/>
          </w:tcPr>
          <w:p>
            <w:r>
              <w:rPr>
                <w:sz w:val="16"/>
              </w:rPr>
              <w:t>Performance with confidence intervals and plots</w:t>
            </w:r>
          </w:p>
        </w:tc>
        <w:tc>
          <w:tcPr>
            <w:tcW w:type="dxa" w:w="2436"/>
            <w:vAlign w:val="center"/>
          </w:tcPr>
          <w:p>
            <w:r>
              <w:rPr>
                <w:sz w:val="16"/>
              </w:rPr>
              <w:t>Table 2; Figure 4; Supplementary Table S5</w:t>
            </w:r>
          </w:p>
        </w:tc>
        <w:tc>
          <w:tcPr>
            <w:tcW w:type="dxa" w:w="2436"/>
            <w:vAlign w:val="center"/>
          </w:tcPr>
          <w:p>
            <w:r>
              <w:rPr>
                <w:sz w:val="16"/>
              </w:rPr>
              <w:t>Reported for highlighted models</w:t>
            </w:r>
          </w:p>
        </w:tc>
      </w:tr>
      <w:tr>
        <w:trPr>
          <w:cantSplit/>
        </w:trPr>
        <w:tc>
          <w:tcPr>
            <w:tcW w:type="dxa" w:w="2436"/>
            <w:vAlign w:val="center"/>
          </w:tcPr>
          <w:p>
            <w:r>
              <w:rPr>
                <w:sz w:val="16"/>
              </w:rPr>
              <w:t>23b</w:t>
            </w:r>
          </w:p>
        </w:tc>
        <w:tc>
          <w:tcPr>
            <w:tcW w:type="dxa" w:w="2436"/>
            <w:vAlign w:val="center"/>
          </w:tcPr>
          <w:p>
            <w:r>
              <w:rPr>
                <w:sz w:val="16"/>
              </w:rPr>
              <w:t>Heterogeneity across clusters</w:t>
            </w:r>
          </w:p>
        </w:tc>
        <w:tc>
          <w:tcPr>
            <w:tcW w:type="dxa" w:w="2436"/>
            <w:vAlign w:val="center"/>
          </w:tcPr>
          <w:p>
            <w:r>
              <w:rPr>
                <w:sz w:val="16"/>
              </w:rPr>
              <w:t>Figure 6; site-grouped sensitivity tables</w:t>
            </w:r>
          </w:p>
        </w:tc>
        <w:tc>
          <w:tcPr>
            <w:tcW w:type="dxa" w:w="2436"/>
            <w:vAlign w:val="center"/>
          </w:tcPr>
          <w:p>
            <w:r>
              <w:rPr>
                <w:sz w:val="16"/>
              </w:rPr>
              <w:t>Reported</w:t>
            </w:r>
          </w:p>
        </w:tc>
      </w:tr>
      <w:tr>
        <w:trPr>
          <w:cantSplit/>
        </w:trPr>
        <w:tc>
          <w:tcPr>
            <w:tcW w:type="dxa" w:w="2436"/>
            <w:vAlign w:val="center"/>
          </w:tcPr>
          <w:p>
            <w:r>
              <w:rPr>
                <w:sz w:val="16"/>
              </w:rPr>
              <w:t>24</w:t>
            </w:r>
          </w:p>
        </w:tc>
        <w:tc>
          <w:tcPr>
            <w:tcW w:type="dxa" w:w="2436"/>
            <w:vAlign w:val="center"/>
          </w:tcPr>
          <w:p>
            <w:r>
              <w:rPr>
                <w:sz w:val="16"/>
              </w:rPr>
              <w:t>Model updating results</w:t>
            </w:r>
          </w:p>
        </w:tc>
        <w:tc>
          <w:tcPr>
            <w:tcW w:type="dxa" w:w="2436"/>
            <w:vAlign w:val="center"/>
          </w:tcPr>
          <w:p>
            <w:r>
              <w:rPr>
                <w:sz w:val="16"/>
              </w:rPr>
              <w:t>Discussion - Limitations</w:t>
            </w:r>
          </w:p>
        </w:tc>
        <w:tc>
          <w:tcPr>
            <w:tcW w:type="dxa" w:w="2436"/>
            <w:vAlign w:val="center"/>
          </w:tcPr>
          <w:p>
            <w:r>
              <w:rPr>
                <w:sz w:val="16"/>
              </w:rPr>
              <w:t>Not applicable; no model updating</w:t>
            </w:r>
          </w:p>
        </w:tc>
      </w:tr>
      <w:tr>
        <w:trPr>
          <w:cantSplit/>
        </w:trPr>
        <w:tc>
          <w:tcPr>
            <w:tcW w:type="dxa" w:w="2436"/>
            <w:vAlign w:val="center"/>
          </w:tcPr>
          <w:p>
            <w:r>
              <w:rPr>
                <w:sz w:val="16"/>
              </w:rPr>
              <w:t>25</w:t>
            </w:r>
          </w:p>
        </w:tc>
        <w:tc>
          <w:tcPr>
            <w:tcW w:type="dxa" w:w="2436"/>
            <w:vAlign w:val="center"/>
          </w:tcPr>
          <w:p>
            <w:r>
              <w:rPr>
                <w:sz w:val="16"/>
              </w:rPr>
              <w:t>Interpretation and fairness</w:t>
            </w:r>
          </w:p>
        </w:tc>
        <w:tc>
          <w:tcPr>
            <w:tcW w:type="dxa" w:w="2436"/>
            <w:vAlign w:val="center"/>
          </w:tcPr>
          <w:p>
            <w:r>
              <w:rPr>
                <w:sz w:val="16"/>
              </w:rPr>
              <w:t>Discussion</w:t>
            </w:r>
          </w:p>
        </w:tc>
        <w:tc>
          <w:tcPr>
            <w:tcW w:type="dxa" w:w="2436"/>
            <w:vAlign w:val="center"/>
          </w:tcPr>
          <w:p>
            <w:r>
              <w:rPr>
                <w:sz w:val="16"/>
              </w:rPr>
              <w:t>Reported</w:t>
            </w:r>
          </w:p>
        </w:tc>
      </w:tr>
      <w:tr>
        <w:trPr>
          <w:cantSplit/>
        </w:trPr>
        <w:tc>
          <w:tcPr>
            <w:tcW w:type="dxa" w:w="2436"/>
            <w:vAlign w:val="center"/>
          </w:tcPr>
          <w:p>
            <w:r>
              <w:rPr>
                <w:sz w:val="16"/>
              </w:rPr>
              <w:t>26</w:t>
            </w:r>
          </w:p>
        </w:tc>
        <w:tc>
          <w:tcPr>
            <w:tcW w:type="dxa" w:w="2436"/>
            <w:vAlign w:val="center"/>
          </w:tcPr>
          <w:p>
            <w:r>
              <w:rPr>
                <w:sz w:val="16"/>
              </w:rPr>
              <w:t>Limitations bias uncertainty and generalisability</w:t>
            </w:r>
          </w:p>
        </w:tc>
        <w:tc>
          <w:tcPr>
            <w:tcW w:type="dxa" w:w="2436"/>
            <w:vAlign w:val="center"/>
          </w:tcPr>
          <w:p>
            <w:r>
              <w:rPr>
                <w:sz w:val="16"/>
              </w:rPr>
              <w:t>Discussion - Limitations</w:t>
            </w:r>
          </w:p>
        </w:tc>
        <w:tc>
          <w:tcPr>
            <w:tcW w:type="dxa" w:w="2436"/>
            <w:vAlign w:val="center"/>
          </w:tcPr>
          <w:p>
            <w:r>
              <w:rPr>
                <w:sz w:val="16"/>
              </w:rPr>
              <w:t>Reported</w:t>
            </w:r>
          </w:p>
        </w:tc>
      </w:tr>
      <w:tr>
        <w:trPr>
          <w:cantSplit/>
        </w:trPr>
        <w:tc>
          <w:tcPr>
            <w:tcW w:type="dxa" w:w="2436"/>
            <w:vAlign w:val="center"/>
          </w:tcPr>
          <w:p>
            <w:r>
              <w:rPr>
                <w:sz w:val="16"/>
              </w:rPr>
              <w:t>27a</w:t>
            </w:r>
          </w:p>
        </w:tc>
        <w:tc>
          <w:tcPr>
            <w:tcW w:type="dxa" w:w="2436"/>
            <w:vAlign w:val="center"/>
          </w:tcPr>
          <w:p>
            <w:r>
              <w:rPr>
                <w:sz w:val="16"/>
              </w:rPr>
              <w:t>Poor quality or unavailable input data</w:t>
            </w:r>
          </w:p>
        </w:tc>
        <w:tc>
          <w:tcPr>
            <w:tcW w:type="dxa" w:w="2436"/>
            <w:vAlign w:val="center"/>
          </w:tcPr>
          <w:p>
            <w:r>
              <w:rPr>
                <w:sz w:val="16"/>
              </w:rPr>
              <w:t>Inference example; models/README.md</w:t>
            </w:r>
          </w:p>
        </w:tc>
        <w:tc>
          <w:tcPr>
            <w:tcW w:type="dxa" w:w="2436"/>
            <w:vAlign w:val="center"/>
          </w:tcPr>
          <w:p>
            <w:r>
              <w:rPr>
                <w:sz w:val="16"/>
              </w:rPr>
              <w:t>Feature validation training ranges and out-of-distribution warning reported</w:t>
            </w:r>
          </w:p>
        </w:tc>
      </w:tr>
      <w:tr>
        <w:trPr>
          <w:cantSplit/>
        </w:trPr>
        <w:tc>
          <w:tcPr>
            <w:tcW w:type="dxa" w:w="2436"/>
            <w:vAlign w:val="center"/>
          </w:tcPr>
          <w:p>
            <w:r>
              <w:rPr>
                <w:sz w:val="16"/>
              </w:rPr>
              <w:t>27b</w:t>
            </w:r>
          </w:p>
        </w:tc>
        <w:tc>
          <w:tcPr>
            <w:tcW w:type="dxa" w:w="2436"/>
            <w:vAlign w:val="center"/>
          </w:tcPr>
          <w:p>
            <w:r>
              <w:rPr>
                <w:sz w:val="16"/>
              </w:rPr>
              <w:t>User interaction and expertise</w:t>
            </w:r>
          </w:p>
        </w:tc>
        <w:tc>
          <w:tcPr>
            <w:tcW w:type="dxa" w:w="2436"/>
            <w:vAlign w:val="center"/>
          </w:tcPr>
          <w:p>
            <w:r>
              <w:rPr>
                <w:sz w:val="16"/>
              </w:rPr>
              <w:t>README and inference example</w:t>
            </w:r>
          </w:p>
        </w:tc>
        <w:tc>
          <w:tcPr>
            <w:tcW w:type="dxa" w:w="2436"/>
            <w:vAlign w:val="center"/>
          </w:tcPr>
          <w:p>
            <w:r>
              <w:rPr>
                <w:sz w:val="16"/>
              </w:rPr>
              <w:t>Reported for research users</w:t>
            </w:r>
          </w:p>
        </w:tc>
      </w:tr>
      <w:tr>
        <w:trPr>
          <w:cantSplit/>
        </w:trPr>
        <w:tc>
          <w:tcPr>
            <w:tcW w:type="dxa" w:w="2436"/>
            <w:vAlign w:val="center"/>
          </w:tcPr>
          <w:p>
            <w:r>
              <w:rPr>
                <w:sz w:val="16"/>
              </w:rPr>
              <w:t>27c</w:t>
            </w:r>
          </w:p>
        </w:tc>
        <w:tc>
          <w:tcPr>
            <w:tcW w:type="dxa" w:w="2436"/>
            <w:vAlign w:val="center"/>
          </w:tcPr>
          <w:p>
            <w:r>
              <w:rPr>
                <w:sz w:val="16"/>
              </w:rPr>
              <w:t>Next research steps</w:t>
            </w:r>
          </w:p>
        </w:tc>
        <w:tc>
          <w:tcPr>
            <w:tcW w:type="dxa" w:w="2436"/>
            <w:vAlign w:val="center"/>
          </w:tcPr>
          <w:p>
            <w:r>
              <w:rPr>
                <w:sz w:val="16"/>
              </w:rPr>
              <w:t>Discussion - Limitations and Conclusions</w:t>
            </w:r>
          </w:p>
        </w:tc>
        <w:tc>
          <w:tcPr>
            <w:tcW w:type="dxa" w:w="2436"/>
            <w:vAlign w:val="center"/>
          </w:tcPr>
          <w:p>
            <w:r>
              <w:rPr>
                <w:sz w:val="16"/>
              </w:rPr>
              <w:t>Independent external evaluation specified</w:t>
            </w:r>
          </w:p>
        </w:tc>
      </w:tr>
    </w:tbl>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1" name="Picture 1"/>
            <wp:cNvGraphicFramePr>
              <a:graphicFrameLocks noChangeAspect="1"/>
            </wp:cNvGraphicFramePr>
            <a:graphic>
              <a:graphicData uri="http://schemas.openxmlformats.org/drawingml/2006/picture">
                <pic:pic>
                  <pic:nvPicPr>
                    <pic:cNvPr id="0" name="Figure6a_pls1_vs_pls2_targets.png"/>
                    <pic:cNvPicPr/>
                  </pic:nvPicPr>
                  <pic:blipFill>
                    <a:blip r:embed="rId11"/>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2" name="Picture 2"/>
            <wp:cNvGraphicFramePr>
              <a:graphicFrameLocks noChangeAspect="1"/>
            </wp:cNvGraphicFramePr>
            <a:graphic>
              <a:graphicData uri="http://schemas.openxmlformats.org/drawingml/2006/picture">
                <pic:pic>
                  <pic:nvPicPr>
                    <pic:cNvPr id="0" name="Figure6b_pls1_vs_pls2_cancers.png"/>
                    <pic:cNvPicPr/>
                  </pic:nvPicPr>
                  <pic:blipFill>
                    <a:blip r:embed="rId12"/>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spacing w:after="0" w:line="288" w:lineRule="auto"/>
      </w:pPr>
      <w:r>
        <w:t>continuous_screen.csv</w:t>
      </w:r>
    </w:p>
    <w:p>
      <w:pPr>
        <w:pStyle w:val="ListBullet"/>
        <w:spacing w:after="0" w:line="288" w:lineRule="auto"/>
      </w:pPr>
      <w:r>
        <w:t>binary_screen.csv</w:t>
      </w:r>
    </w:p>
    <w:p>
      <w:pPr>
        <w:pStyle w:val="ListBullet"/>
        <w:spacing w:after="0" w:line="288" w:lineRule="auto"/>
      </w:pPr>
      <w:r>
        <w:t>screen_positive_performance_summary.csv</w:t>
      </w:r>
    </w:p>
    <w:p>
      <w:pPr>
        <w:pStyle w:val="ListBullet"/>
        <w:spacing w:after="0" w:line="288" w:lineRule="auto"/>
      </w:pPr>
      <w:r>
        <w:t>highlighted_model_performance.csv</w:t>
      </w:r>
    </w:p>
    <w:p>
      <w:pPr>
        <w:pStyle w:val="ListBullet"/>
        <w:spacing w:after="0" w:line="288" w:lineRule="auto"/>
      </w:pPr>
      <w:r>
        <w:t>continuous_repeated_nested_cv.csv</w:t>
      </w:r>
    </w:p>
    <w:p>
      <w:pPr>
        <w:pStyle w:val="ListBullet"/>
        <w:spacing w:after="0" w:line="288" w:lineRule="auto"/>
      </w:pPr>
      <w:r>
        <w:t>binary_repeated_nested_cv.csv</w:t>
      </w:r>
    </w:p>
    <w:p>
      <w:pPr>
        <w:pStyle w:val="ListBullet"/>
        <w:spacing w:after="0" w:line="288" w:lineRule="auto"/>
      </w:pPr>
      <w:r>
        <w:t>continuous_repeated_oof_predictions.csv.gz</w:t>
      </w:r>
    </w:p>
    <w:p>
      <w:pPr>
        <w:pStyle w:val="ListBullet"/>
        <w:spacing w:after="0" w:line="288" w:lineRule="auto"/>
      </w:pPr>
      <w:r>
        <w:t>binary_repeated_oof_predictions.csv.gz</w:t>
      </w:r>
    </w:p>
    <w:p>
      <w:pPr>
        <w:pStyle w:val="ListBullet"/>
        <w:spacing w:after="0" w:line="288" w:lineRule="auto"/>
      </w:pPr>
      <w:r>
        <w:t>continuous_site_grouped_sensitivity.csv</w:t>
      </w:r>
    </w:p>
    <w:p>
      <w:pPr>
        <w:pStyle w:val="ListBullet"/>
        <w:spacing w:after="0" w:line="288" w:lineRule="auto"/>
      </w:pPr>
      <w:r>
        <w:t>binary_site_grouped_sensitivity.csv</w:t>
      </w:r>
    </w:p>
    <w:p>
      <w:pPr>
        <w:pStyle w:val="ListBullet"/>
        <w:spacing w:after="0" w:line="288" w:lineRule="auto"/>
      </w:pPr>
      <w:r>
        <w:t>site_grouped_retention_summary.csv</w:t>
      </w:r>
    </w:p>
    <w:p>
      <w:pPr>
        <w:pStyle w:val="ListBullet"/>
        <w:spacing w:after="0" w:line="288" w:lineRule="auto"/>
      </w:pPr>
      <w:r>
        <w:t>site_grouped_models_below_effect_threshold.csv</w:t>
      </w:r>
    </w:p>
    <w:p>
      <w:pPr>
        <w:pStyle w:val="ListBullet"/>
        <w:spacing w:after="0" w:line="288" w:lineRule="auto"/>
      </w:pPr>
      <w:r>
        <w:t>site_grouped_outer_fold_composition.csv</w:t>
      </w:r>
    </w:p>
    <w:p>
      <w:pPr>
        <w:pStyle w:val="ListBullet"/>
        <w:spacing w:after="0" w:line="288" w:lineRule="auto"/>
      </w:pPr>
      <w:r>
        <w:t>site_grouped_fold_composition_summary.csv</w:t>
      </w:r>
    </w:p>
    <w:p>
      <w:pPr>
        <w:pStyle w:val="ListBullet"/>
        <w:spacing w:after="0" w:line="288" w:lineRule="auto"/>
      </w:pPr>
      <w:r>
        <w:t>tissue_source_site_predictability_repeats.csv</w:t>
      </w:r>
    </w:p>
    <w:p>
      <w:pPr>
        <w:pStyle w:val="ListBullet"/>
        <w:spacing w:after="0" w:line="288" w:lineRule="auto"/>
      </w:pPr>
      <w:r>
        <w:t>tissue_source_site_predictability_summary.csv</w:t>
      </w:r>
    </w:p>
    <w:p>
      <w:pPr>
        <w:pStyle w:val="ListBullet"/>
        <w:spacing w:after="0" w:line="288" w:lineRule="auto"/>
      </w:pPr>
      <w:r>
        <w:t>continuous_slide_pooling_sensitivity.csv</w:t>
      </w:r>
    </w:p>
    <w:p>
      <w:pPr>
        <w:pStyle w:val="ListBullet"/>
        <w:spacing w:after="0" w:line="288" w:lineRule="auto"/>
      </w:pPr>
      <w:r>
        <w:t>binary_slide_pooling_sensitivity.csv</w:t>
      </w:r>
    </w:p>
    <w:p>
      <w:pPr>
        <w:pStyle w:val="ListBullet"/>
        <w:spacing w:after="0" w:line="288" w:lineRule="auto"/>
      </w:pPr>
      <w:r>
        <w:t>pls1_vs_pls2_inflammation.csv</w:t>
      </w:r>
    </w:p>
    <w:p>
      <w:pPr>
        <w:pStyle w:val="ListBullet"/>
        <w:spacing w:after="0" w:line="288" w:lineRule="auto"/>
      </w:pPr>
      <w:r>
        <w:t>ridge_baseline_repeated_nested_cv.csv</w:t>
      </w:r>
    </w:p>
    <w:p>
      <w:pPr>
        <w:pStyle w:val="ListBullet"/>
        <w:spacing w:after="0" w:line="288" w:lineRule="auto"/>
      </w:pPr>
      <w:r>
        <w:t>pls_vs_ridge_highlighted_models.csv</w:t>
      </w:r>
    </w:p>
    <w:p>
      <w:pPr>
        <w:pStyle w:val="ListBullet"/>
        <w:spacing w:after="0" w:line="288" w:lineRule="auto"/>
      </w:pPr>
      <w:r>
        <w:t>prior_mutation_literature_crosswalk.csv</w:t>
      </w:r>
    </w:p>
    <w:p>
      <w:pPr>
        <w:pStyle w:val="ListBullet"/>
        <w:spacing w:after="0" w:line="288" w:lineRule="auto"/>
      </w:pPr>
      <w:r>
        <w:t>prior_mutation_accuracy_comparison.csv</w:t>
      </w:r>
    </w:p>
    <w:p>
      <w:pPr>
        <w:pStyle w:val="ListBullet"/>
        <w:spacing w:after="0" w:line="288" w:lineRule="auto"/>
      </w:pPr>
      <w:r>
        <w:t>supported_mutation_literature_audit.csv</w:t>
      </w:r>
    </w:p>
    <w:p>
      <w:pPr>
        <w:pStyle w:val="ListBullet"/>
        <w:spacing w:after="0" w:line="288" w:lineRule="auto"/>
      </w:pPr>
      <w:r>
        <w:t>pan_cancer_benchmark_comparison.csv</w:t>
      </w:r>
    </w:p>
    <w:p>
      <w:pPr>
        <w:pStyle w:val="ListBullet"/>
        <w:spacing w:after="0" w:line="288" w:lineRule="auto"/>
      </w:pPr>
      <w:r>
        <w:t>external_validation_locked_targets.csv</w:t>
      </w:r>
    </w:p>
    <w:p>
      <w:pPr>
        <w:pStyle w:val="ListBullet"/>
        <w:spacing w:after="0" w:line="288" w:lineRule="auto"/>
      </w:pPr>
      <w:r>
        <w:t>slide_report_coverage_audit.csv</w:t>
      </w:r>
    </w:p>
    <w:p>
      <w:pPr>
        <w:pStyle w:val="ListBullet"/>
        <w:spacing w:after="0" w:line="288" w:lineRule="auto"/>
      </w:pPr>
      <w:r>
        <w:t>patient_slide_multiplicity_by_cancer.csv</w:t>
      </w:r>
    </w:p>
    <w:p>
      <w:pPr>
        <w:pStyle w:val="ListBullet"/>
        <w:spacing w:after="0" w:line="288" w:lineRule="auto"/>
      </w:pPr>
      <w:r>
        <w:t>participant_characteristics_by_cancer.csv</w:t>
      </w:r>
    </w:p>
    <w:p>
      <w:pPr>
        <w:pStyle w:val="ListBullet"/>
        <w:spacing w:after="0" w:line="288" w:lineRule="auto"/>
      </w:pPr>
      <w:r>
        <w:t>tcga_cdr_match_audit.csv</w:t>
      </w:r>
    </w:p>
    <w:p>
      <w:pPr>
        <w:pStyle w:val="ListBullet"/>
        <w:spacing w:after="0" w:line="288" w:lineRule="auto"/>
      </w:pPr>
      <w:r>
        <w:t>molecular_source_coverage_audit.csv</w:t>
      </w:r>
    </w:p>
    <w:p>
      <w:pPr>
        <w:pStyle w:val="ListBullet"/>
        <w:spacing w:after="0" w:line="288" w:lineRule="auto"/>
      </w:pPr>
      <w:r>
        <w:t>mutation_coverage_audit.csv</w:t>
      </w:r>
    </w:p>
    <w:p>
      <w:pPr>
        <w:pStyle w:val="ListBullet"/>
        <w:spacing w:after="0" w:line="288" w:lineRule="auto"/>
      </w:pPr>
      <w:r>
        <w:t>mutation_target_eligibility_audit.csv</w:t>
      </w:r>
    </w:p>
    <w:p>
      <w:pPr>
        <w:pStyle w:val="ListBullet"/>
        <w:spacing w:after="0" w:line="288" w:lineRule="auto"/>
      </w:pPr>
      <w:r>
        <w:t>mutation_variant_classification_audit.csv</w:t>
      </w:r>
    </w:p>
    <w:p>
      <w:pPr>
        <w:pStyle w:val="ListBullet"/>
        <w:spacing w:after="0" w:line="288" w:lineRule="auto"/>
      </w:pPr>
      <w:r>
        <w:t>source_manifest.csv</w:t>
      </w:r>
    </w:p>
    <w:p>
      <w:pPr>
        <w:pStyle w:val="ListBullet"/>
        <w:spacing w:after="0" w:line="288" w:lineRule="auto"/>
      </w:pPr>
      <w:r>
        <w:t>software_manifest.csv</w:t>
      </w:r>
    </w:p>
    <w:p>
      <w:pPr>
        <w:pStyle w:val="ListBullet"/>
        <w:spacing w:after="0" w:line="288" w:lineRule="auto"/>
      </w:pPr>
      <w:r>
        <w:t>models/model_registry.csv</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