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prespecified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all 2,073 eligible tests. Tissue-source-site grouping reduced 83/323 candidates (25.7%) below the original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and site-grouped stability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97848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97848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032250"/>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032250"/>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tissue-source-site-grouped estimates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958936"/>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958936"/>
                    </a:xfrm>
                    <a:prstGeom prst="rect"/>
                  </pic:spPr>
                </pic:pic>
              </a:graphicData>
            </a:graphic>
          </wp:inline>
        </w:drawing>
      </w:r>
    </w:p>
    <w:p>
      <w:pPr>
        <w:pStyle w:val="Caption"/>
        <w:jc w:val="center"/>
      </w:pPr>
      <w:r>
        <w:t>Figure 5. Breadth and family of screen-positive targets in the 20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Tissue-source-site sensitivity as a principal result. Panel A compares all 323 random-fold and grouped estimates; Panel B shows the eight largest attenuations; Panel C shows the 15 strongest chance-normalised within-cancer submitting-site results. Larger typography and restricted ranked panels improve readability. Grouping remains internal to TCGA and is not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2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2.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interface and COAD radar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Every binary display uses the adjacent label 'TCGA OOF score rank (not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 A prominent report banner states that the output lacks independent external validation, is uncalibrated for probability and is not for diagnosis, treatment selection or clinical-risk estimation. The package provides a synthetic feature vector constructed from stored training-feature means for interface examples and smoke tests; it is explicitly labelled as not being a patient record.</w:t>
      </w:r>
    </w:p>
    <w:p>
      <w:r>
        <w:t>Two COAD participants, TCGA-AA-A01F and TCGA-AA-3972, are retained solely to show continuous and binary research-software outputs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continuous TCGA OOF ranks; the right column preserves each original prediction. Panel B compares PLS-LDA score ranks and calls with development class counts.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radar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