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 systematic patient-level benchmark and reusable model resource for molecular and immune prediction from pretrained TITAN whole-slide representations across 32 TCGA cancers</w:t>
      </w:r>
    </w:p>
    <w:p>
      <w:pPr>
        <w:jc w:val="center"/>
      </w:pPr>
      <w:r>
        <w:rPr>
          <w:b/>
        </w:rPr>
        <w:t>Aamilah Ismail</w:t>
      </w:r>
      <w:r>
        <w:rPr>
          <w:vertAlign w:val="superscript"/>
        </w:rPr>
        <w:t>3,*</w:t>
      </w:r>
      <w:r>
        <w:t xml:space="preserve">, </w:t>
      </w:r>
      <w:r>
        <w:rPr>
          <w:b/>
        </w:rPr>
        <w:t>Martin Ocharo</w:t>
      </w:r>
      <w:r>
        <w:rPr>
          <w:vertAlign w:val="superscript"/>
        </w:rPr>
        <w:t>1,2,*</w:t>
      </w:r>
      <w:r>
        <w:t xml:space="preserve">, </w:t>
      </w:r>
      <w:r>
        <w:rPr>
          <w:b/>
        </w:rPr>
        <w:t>Moussa Kassim</w:t>
      </w:r>
      <w:r>
        <w:rPr>
          <w:vertAlign w:val="superscript"/>
        </w:rPr>
        <w:t>1,2</w:t>
      </w:r>
      <w:r>
        <w:t xml:space="preserve">, </w:t>
      </w:r>
      <w:r>
        <w:rPr>
          <w:b/>
        </w:rPr>
        <w:t>Dalia Ahmed</w:t>
      </w:r>
      <w:r>
        <w:rPr>
          <w:vertAlign w:val="superscript"/>
        </w:rPr>
        <w:t>1</w:t>
      </w:r>
      <w:r>
        <w:t xml:space="preserve">, </w:t>
      </w:r>
      <w:r>
        <w:rPr>
          <w:b/>
        </w:rPr>
        <w:t>Brendon Price</w:t>
      </w:r>
      <w:r>
        <w:rPr>
          <w:vertAlign w:val="superscript"/>
        </w:rPr>
        <w:t>5</w:t>
      </w:r>
      <w:r>
        <w:t xml:space="preserve">, </w:t>
      </w:r>
      <w:r>
        <w:rPr>
          <w:b/>
        </w:rPr>
        <w:t>Dupe Ojo</w:t>
      </w:r>
      <w:r>
        <w:rPr>
          <w:vertAlign w:val="superscript"/>
        </w:rPr>
        <w:t>1</w:t>
      </w:r>
      <w:r>
        <w:t xml:space="preserve">, </w:t>
      </w:r>
      <w:r>
        <w:rPr>
          <w:b/>
        </w:rPr>
        <w:t>Ekene Emmanuel Nweke</w:t>
      </w:r>
      <w:r>
        <w:rPr>
          <w:vertAlign w:val="superscript"/>
        </w:rPr>
        <w:t>4</w:t>
      </w:r>
      <w:r>
        <w:t xml:space="preserve">, </w:t>
      </w:r>
      <w:r>
        <w:rPr>
          <w:b/>
        </w:rPr>
        <w:t>Silvano Piazza</w:t>
      </w:r>
      <w:r>
        <w:rPr>
          <w:vertAlign w:val="superscript"/>
        </w:rPr>
        <w:t>6,8</w:t>
      </w:r>
      <w:r>
        <w:t xml:space="preserve">, </w:t>
      </w:r>
      <w:r>
        <w:rPr>
          <w:b/>
        </w:rPr>
        <w:t>Dinesh Gupta</w:t>
      </w:r>
      <w:r>
        <w:rPr>
          <w:vertAlign w:val="superscript"/>
        </w:rPr>
        <w:t>7</w:t>
      </w:r>
      <w:r>
        <w:t xml:space="preserve">, </w:t>
      </w:r>
      <w:r>
        <w:rPr>
          <w:b/>
        </w:rPr>
        <w:t>Stefano Cacciatore</w:t>
      </w:r>
      <w:r>
        <w:rPr>
          <w:vertAlign w:val="superscript"/>
        </w:rPr>
        <w:t>1,2,†</w:t>
      </w:r>
    </w:p>
    <w:p>
      <w:pPr>
        <w:jc w:val="center"/>
      </w:pPr>
      <w:r>
        <w:rPr>
          <w:b/>
        </w:rPr>
        <w:t xml:space="preserve">1 </w:t>
      </w:r>
      <w:r>
        <w:t>Bioinformatics Unit, International Centre for Genetic Engineering and Biotechnology (ICGEB), Cape Town 7925, South Africa</w:t>
      </w:r>
    </w:p>
    <w:p>
      <w:pPr>
        <w:jc w:val="center"/>
      </w:pPr>
      <w:r>
        <w:rPr>
          <w:b/>
        </w:rPr>
        <w:t xml:space="preserve">2 </w:t>
      </w:r>
      <w:r>
        <w:t>Department of Integrative Biomedical Sciences, Institute of Infectious Disease &amp; Molecular Medicine (IDM), University of Cape Town, Cape Town 7925, South Africa</w:t>
      </w:r>
    </w:p>
    <w:p>
      <w:pPr>
        <w:jc w:val="center"/>
      </w:pPr>
      <w:r>
        <w:rPr>
          <w:b/>
        </w:rPr>
        <w:t xml:space="preserve">3 </w:t>
      </w:r>
      <w:r>
        <w:t>Division of Engineering, New York University Abu Dhabi, Abu Dhabi, United Arab Emirates</w:t>
      </w:r>
    </w:p>
    <w:p>
      <w:pPr>
        <w:jc w:val="center"/>
      </w:pPr>
      <w:r>
        <w:rPr>
          <w:b/>
        </w:rPr>
        <w:t xml:space="preserve">4 </w:t>
      </w:r>
      <w:r>
        <w:t>Department of Surgery, Faculty of Health Sciences, University of the Witwatersrand, Johannesburg, Gauteng, South Africa</w:t>
      </w:r>
    </w:p>
    <w:p>
      <w:pPr>
        <w:jc w:val="center"/>
      </w:pPr>
      <w:r>
        <w:rPr>
          <w:b/>
        </w:rPr>
        <w:t xml:space="preserve">5 </w:t>
      </w:r>
      <w:r>
        <w:t>Division of Anatomical Pathology, University of Cape Town and National Health Laboratory Service, Observatory, Cape Town, South Africa</w:t>
      </w:r>
    </w:p>
    <w:p>
      <w:pPr>
        <w:jc w:val="center"/>
      </w:pPr>
      <w:r>
        <w:rPr>
          <w:b/>
        </w:rPr>
        <w:t xml:space="preserve">6 </w:t>
      </w:r>
      <w:r>
        <w:t>Computational Biology Group, International Centre for Genetic Engineering and Biotechnology (ICGEB), Trieste, Italy</w:t>
      </w:r>
    </w:p>
    <w:p>
      <w:pPr>
        <w:jc w:val="center"/>
      </w:pPr>
      <w:r>
        <w:rPr>
          <w:b/>
        </w:rPr>
        <w:t xml:space="preserve">7 </w:t>
      </w:r>
      <w:r>
        <w:t>Translational Bioinformatics Group, International Centre for Genetic Engineering and Biotechnology (ICGEB), Aruna Asaf Ali Marg, New Delhi 110067, India</w:t>
      </w:r>
    </w:p>
    <w:p>
      <w:pPr>
        <w:jc w:val="center"/>
      </w:pPr>
      <w:r>
        <w:rPr>
          <w:b/>
        </w:rPr>
        <w:t xml:space="preserve">8 </w:t>
      </w:r>
      <w:r>
        <w:t>Bioinformatics Facility, Department of Cellular, Computational and Integrative Biology - CIBIO, University of Trento, Trento, Italy</w:t>
      </w:r>
    </w:p>
    <w:p>
      <w:pPr>
        <w:jc w:val="center"/>
      </w:pPr>
      <w:r>
        <w:rPr>
          <w:i/>
        </w:rPr>
        <w:t>* These authors contributed equally.</w:t>
      </w:r>
    </w:p>
    <w:p>
      <w:pPr>
        <w:jc w:val="center"/>
      </w:pPr>
      <w:r>
        <w:rPr>
          <w:i/>
        </w:rPr>
        <w:t>† Corresponding author: Stefano Cacciatore (stefano.cacciatore@icgeb.org).</w:t>
      </w:r>
    </w:p>
    <w:p>
      <w:pPr>
        <w:jc w:val="center"/>
      </w:pPr>
      <w:r>
        <w:t>Author emails: aamilahismail@gmail.com; moussa.kassim@icgeb.org; dalia.ahmed@icgeb.org; dupe.ojo@icgeb.org; stefano.cacciatore@icgeb.org</w:t>
      </w:r>
    </w:p>
    <w:p>
      <w:pPr>
        <w:jc w:val="center"/>
      </w:pPr>
      <w:r>
        <w:t>Research article — Molecular Pathology | Journal of Translational Medicine</w:t>
      </w:r>
    </w:p>
    <w:p>
      <w:pPr>
        <w:pStyle w:val="Heading1"/>
      </w:pPr>
      <w:r>
        <w:t>Abstract</w:t>
      </w:r>
    </w:p>
    <w:p>
      <w:r>
        <w:rPr>
          <w:b/>
        </w:rPr>
        <w:t xml:space="preserve">Background. </w:t>
      </w:r>
      <w:r>
        <w:t>Pan-cancer histology studies have already screened broad molecular endpoint spaces: Arslan and colleagues trained 12,093 models for 4,031 biomarkers across the same 32 TCGA cancers. We therefore evaluated TITAN as a reproducible patient-level benchmark and reusable model resource, rather than claiming a first pan-cancer screen or unprecedented mutation targets.</w:t>
      </w:r>
    </w:p>
    <w:p>
      <w:r>
        <w:rPr>
          <w:b/>
        </w:rPr>
        <w:t xml:space="preserve">Methods. </w:t>
      </w:r>
      <w:r>
        <w:t>We mean-pooled 11,449 primary diagnostic slide embeddings into 9,404 patient vectors across 32 TCGA cancers; 843 patients contributed multiple slides. We tested 1,614 continuous and 459 binary cancer–endpoint pairs. PLS1 regression was used for continuous targets; binary targets used PLS latent scores with LDA. Patient-level nested 5×5 cross-validation selected 1–10 components. Effect-eligible models underwent a 999-permutation refinement with conservative sequential stopping, Benjamini–Hochberg control within cancer and endpoint family, and a stricter across-cancer family correction.</w:t>
      </w:r>
    </w:p>
    <w:p>
      <w:r>
        <w:rPr>
          <w:b/>
        </w:rPr>
        <w:t xml:space="preserve">Results. </w:t>
      </w:r>
      <w:r>
        <w:t>Within-cancer screening identified 219 continuous and 104 binary higher- or moderate-effect candidates. Highlighted repeated-CV results included TGCT–TGF-beta Response (Q² 0.670, 95% bootstrap interval 0.573–0.741; RMSE 0.303, Spearman 0.791) and LGG–TP53 (sensitivity 0.839, specificity 0.885, balanced accuracy 0.862, 95% bootstrap interval 0.833–0.888; AUROC 0.908). The literature audit found prior statistical support for 38/41 screen-positive cancer–gene pairs. Under the multiplicity sensitivity, 219 continuous and 39 cancer–mutation pairs passed the stricter across-cancer correction; its attainable q-values in large families were limited by the 0.001 empirical-p resolution. Site grouping reduced 83/323 candidates (25.7%) below the original effect threshold. In a selection-conditioned 24-model benchmark, median ridge-minus-PLS differences were 0.007 balanced accuracy and 0.014 Q², showing no uniform PLS advantage.</w:t>
      </w:r>
    </w:p>
    <w:p>
      <w:r>
        <w:rPr>
          <w:b/>
        </w:rPr>
        <w:t xml:space="preserve">Conclusions. </w:t>
      </w:r>
      <w:r>
        <w:t>This systematic patient-level TCGA benchmark defines target-specific predictability under one fixed pretrained TITAN representation and distributes compact fitted research models. Its contribution is methodological and resource-oriented rather than mutation-target novelty; independent external validation remains required before clinical interpretation.</w:t>
      </w:r>
    </w:p>
    <w:p>
      <w:r>
        <w:rPr>
          <w:b/>
        </w:rPr>
        <w:t xml:space="preserve">Trial registration. </w:t>
      </w:r>
      <w:r>
        <w:t>Not applicable.</w:t>
      </w:r>
    </w:p>
    <w:p>
      <w:r>
        <w:t>Keywords: computational pathology; whole-slide imaging; foundation model; mutation; inflammation; microsatellite instability; gene fusion; aneuploidy; partial least squares; linear discriminant analysis</w:t>
      </w:r>
    </w:p>
    <w:p>
      <w:pPr>
        <w:pStyle w:val="Heading1"/>
      </w:pPr>
      <w:r>
        <w:t>Background</w:t>
      </w:r>
    </w:p>
    <w:p>
      <w:r>
        <w:t>Routine haematoxylin-and-eosin sections reflect phenotypic consequences of tumour genotype and the immune microenvironment. Coudray and colleagues established mutation prediction from lung histology [1]. Subsequent work predicted microsatellite instability, including externally validated colorectal models [2,3]; extended mutation and multi-omic screening across TCGA cancers [4,5,8,11,13]; inferred RNA expression [6,12]; identified tissue-source-site bias [7]; detected gene fusions [9,10]; estimated homologous-recombination deficiency [14]; and characterised tumour-microenvironment phenotypes [15]. Collectively, these studies establish biological plausibility while also showing that performance depends on endpoint, disease, cohort and validation design.</w:t>
      </w:r>
    </w:p>
    <w:p>
      <w:r>
        <w:t>Breadth alone is not the gap. Fu et al. analysed 17,355 slides across 28 cancers [4], Kather et al. applied one workflow to more than 5,000 patients across 14 cancers [5], Saldanha et al. externally tested mutation models across seven matched TCGA and CPTAC cancers [11], and Arslan et al. trained 12,093 models for 4,031 genomic, transcriptomic, proteomic and clinical biomarkers in 8,890 TCGA patients across the same 32 cancers [13]. The present study consequently does not claim the first pan-cancer molecular screen, a larger endpoint catalogue, or general mutation-target novelty.</w:t>
      </w:r>
    </w:p>
    <w:p>
      <w:r>
        <w:t>The narrower unresolved gap is a reproducible benchmark that applies one fixed pretrained representation to every target; deterministically aggregates slides before outcome matching; performs nested validation with the patient as the unit; preserves tested-negative and sample-size-ineligible results; reports target-level tissue-source-site sensitivity; models selected immune and genomic-context measurements continuously; and distributes compact fitted predictors with deployment metadata. These design and resource features—not unprecedented endpoint classes—define the contribution of this study (Table 1).</w:t>
      </w:r>
    </w:p>
    <w:p>
      <w:r>
        <w:t>TITAN is a multimodal whole-slide foundation model pretrained on 335,645 slides with visual self-supervision and vision–language alignment [16]. The published Mass-340K pretraining corpus explicitly excluded TCGA and PANDA; TCGA was instead used for downstream evaluation of the pretrained model. The present work therefore has no reported TCGA pretraining overlap, but it is a secondary analysis of a cohort previously used to benchmark TITAN and is not independent external validation. We use its fixed 768-dimensional slide representation with PLS, a latent-variable method suited to correlated high-dimensional predictors [17,18].</w:t>
      </w:r>
    </w:p>
    <w:p>
      <w:r>
        <w:t>A practical feature of the fitted analysis is model portability. A PLS or PLS–LDA predictor can be distributed as preprocessing parameters, latent-variable weights, regression coefficients and LDA parameters. Prediction therefore does not require release of the patient-level training embeddings or outcomes. This supports external research testing while minimising distribution of patient-level data, but does not itself establish privacy, licensing compatibility or transportability.</w:t>
      </w:r>
    </w:p>
    <w:p>
      <w:r>
        <w:t>The primary question was cancer-specific: which individual mutations, inflammatory measurements, oncogenic pathways, MSI phenotypes, aneuploidy measures and fusions are predictable within each cancer? Molecular subtype association was not analysed. PLS–LDA was preferred for individual binary molecular endpoints. The methodological PLS1–PLS2 comparison for correlated inflammatory panels is reported in the Supplementary Material.</w:t>
      </w:r>
    </w:p>
    <w:p>
      <w:pPr>
        <w:sectPr>
          <w:headerReference w:type="default" r:id="rId9"/>
          <w:footerReference w:type="default" r:id="rId10"/>
          <w:pgSz w:w="12240" w:h="15840"/>
          <w:pgMar w:top="1134" w:right="1247" w:bottom="1134" w:left="1247" w:header="720" w:footer="720" w:gutter="0"/>
          <w:cols w:space="720"/>
          <w:docGrid w:linePitch="360"/>
          <w:lnNumType w:countBy="1" w:restart="continuous"/>
        </w:sectPr>
      </w:pPr>
    </w:p>
    <w:p>
      <w:pPr>
        <w:pStyle w:val="Caption"/>
      </w:pPr>
      <w:r>
        <w:t>Table 1. Comparison with major pan-cancer histology–molecular prediction studies. Panel A summarises cohort, endpoint and representation design; Panel B summarises validation, robustness, reporting and reusable predictor availability.</w:t>
      </w:r>
    </w:p>
    <w:p>
      <w:pPr>
        <w:pStyle w:val="Caption"/>
      </w:pPr>
      <w:r>
        <w:t>Panel A. Cohort, endpoints, representation and patient aggregation.</w:t>
      </w:r>
    </w:p>
    <w:tbl>
      <w:tblPr>
        <w:tblStyle w:val="TableGrid"/>
        <w:tblW w:type="auto" w:w="0"/>
        <w:jc w:val="center"/>
        <w:tblLook w:firstColumn="1" w:firstRow="1" w:lastColumn="0" w:lastRow="0" w:noHBand="0" w:noVBand="1" w:val="04A0"/>
      </w:tblPr>
      <w:tblGrid>
        <w:gridCol w:w="3028"/>
        <w:gridCol w:w="3028"/>
        <w:gridCol w:w="3028"/>
        <w:gridCol w:w="3028"/>
        <w:gridCol w:w="3028"/>
      </w:tblGrid>
      <w:tr>
        <w:trPr>
          <w:tblHeader w:val="true"/>
          <w:cantSplit/>
        </w:trPr>
        <w:tc>
          <w:tcPr>
            <w:tcW w:type="dxa" w:w="1701"/>
          </w:tcPr>
          <w:p>
            <w:r>
              <w:rPr>
                <w:b/>
                <w:sz w:val="17"/>
              </w:rPr>
              <w:t>Study</w:t>
            </w:r>
          </w:p>
        </w:tc>
        <w:tc>
          <w:tcPr>
            <w:tcW w:type="dxa" w:w="2268"/>
          </w:tcPr>
          <w:p>
            <w:r>
              <w:rPr>
                <w:b/>
                <w:sz w:val="17"/>
              </w:rPr>
              <w:t>Patients; cancers</w:t>
            </w:r>
          </w:p>
        </w:tc>
        <w:tc>
          <w:tcPr>
            <w:tcW w:type="dxa" w:w="1701"/>
          </w:tcPr>
          <w:p>
            <w:r>
              <w:rPr>
                <w:b/>
                <w:sz w:val="17"/>
              </w:rPr>
              <w:t>Slides</w:t>
            </w:r>
          </w:p>
        </w:tc>
        <w:tc>
          <w:tcPr>
            <w:tcW w:type="dxa" w:w="4252"/>
          </w:tcPr>
          <w:p>
            <w:r>
              <w:rPr>
                <w:b/>
                <w:sz w:val="17"/>
              </w:rPr>
              <w:t>Endpoint classes</w:t>
            </w:r>
          </w:p>
        </w:tc>
        <w:tc>
          <w:tcPr>
            <w:tcW w:type="dxa" w:w="5102"/>
          </w:tcPr>
          <w:p>
            <w:r>
              <w:rPr>
                <w:b/>
                <w:sz w:val="17"/>
              </w:rPr>
              <w:t>Representation; patient aggregation</w:t>
            </w:r>
          </w:p>
        </w:tc>
      </w:tr>
      <w:tr>
        <w:trPr>
          <w:cantSplit/>
        </w:trPr>
        <w:tc>
          <w:tcPr>
            <w:tcW w:type="dxa" w:w="1701"/>
            <w:vAlign w:val="center"/>
          </w:tcPr>
          <w:p>
            <w:r>
              <w:rPr>
                <w:sz w:val="16"/>
              </w:rPr>
              <w:t>Fu et al. [4]</w:t>
            </w:r>
          </w:p>
        </w:tc>
        <w:tc>
          <w:tcPr>
            <w:tcW w:type="dxa" w:w="2268"/>
            <w:vAlign w:val="center"/>
          </w:tcPr>
          <w:p>
            <w:r>
              <w:rPr>
                <w:sz w:val="16"/>
              </w:rPr>
              <w:t>Not reported as one total in the main article; 28 cancers</w:t>
            </w:r>
          </w:p>
        </w:tc>
        <w:tc>
          <w:tcPr>
            <w:tcW w:type="dxa" w:w="1701"/>
            <w:vAlign w:val="center"/>
          </w:tcPr>
          <w:p>
            <w:r>
              <w:rPr>
                <w:sz w:val="16"/>
              </w:rPr>
              <w:t>17,355</w:t>
            </w:r>
          </w:p>
        </w:tc>
        <w:tc>
          <w:tcPr>
            <w:tcW w:type="dxa" w:w="4252"/>
            <w:vAlign w:val="center"/>
          </w:tcPr>
          <w:p>
            <w:r>
              <w:rPr>
                <w:sz w:val="16"/>
              </w:rPr>
              <w:t>Cancer and tissue class; mutations; whole-genome duplication and copy-number alterations; transcriptomic and tumour-composition features; prognosis</w:t>
            </w:r>
          </w:p>
        </w:tc>
        <w:tc>
          <w:tcPr>
            <w:tcW w:type="dxa" w:w="5102"/>
            <w:vAlign w:val="center"/>
          </w:tcPr>
          <w:p>
            <w:r>
              <w:rPr>
                <w:sz w:val="16"/>
              </w:rPr>
              <w:t>Inception-v4 deep-transfer image features (1,536 dimensions). A deterministic pre-model patient-vector pooling rule was not described in the main article</w:t>
            </w:r>
          </w:p>
        </w:tc>
      </w:tr>
      <w:tr>
        <w:trPr>
          <w:cantSplit/>
        </w:trPr>
        <w:tc>
          <w:tcPr>
            <w:tcW w:type="dxa" w:w="1701"/>
            <w:vAlign w:val="center"/>
          </w:tcPr>
          <w:p>
            <w:r>
              <w:rPr>
                <w:sz w:val="16"/>
              </w:rPr>
              <w:t>Kather et al. [5]</w:t>
            </w:r>
          </w:p>
        </w:tc>
        <w:tc>
          <w:tcPr>
            <w:tcW w:type="dxa" w:w="2268"/>
            <w:vAlign w:val="center"/>
          </w:tcPr>
          <w:p>
            <w:r>
              <w:rPr>
                <w:sz w:val="16"/>
              </w:rPr>
              <w:t>&gt;5,000; 14 cancers</w:t>
            </w:r>
          </w:p>
        </w:tc>
        <w:tc>
          <w:tcPr>
            <w:tcW w:type="dxa" w:w="1701"/>
            <w:vAlign w:val="center"/>
          </w:tcPr>
          <w:p>
            <w:r>
              <w:rPr>
                <w:sz w:val="16"/>
              </w:rPr>
              <w:t>Not reported as one total in the main article</w:t>
            </w:r>
          </w:p>
        </w:tc>
        <w:tc>
          <w:tcPr>
            <w:tcW w:type="dxa" w:w="4252"/>
            <w:vAlign w:val="center"/>
          </w:tcPr>
          <w:p>
            <w:r>
              <w:rPr>
                <w:sz w:val="16"/>
              </w:rPr>
              <w:t>Mutations; oncogenic drivers; molecular subtypes and expression signatures; standard-of-care biomarkers</w:t>
            </w:r>
          </w:p>
        </w:tc>
        <w:tc>
          <w:tcPr>
            <w:tcW w:type="dxa" w:w="5102"/>
            <w:vAlign w:val="center"/>
          </w:tcPr>
          <w:p>
            <w:r>
              <w:rPr>
                <w:sz w:val="16"/>
              </w:rPr>
              <w:t>Task-specific CNN workflow using tumour regions and tile aggregation. Tile predictions aggregated to the patient; patients, not tiles, assigned to folds</w:t>
            </w:r>
          </w:p>
        </w:tc>
      </w:tr>
      <w:tr>
        <w:trPr>
          <w:cantSplit/>
        </w:trPr>
        <w:tc>
          <w:tcPr>
            <w:tcW w:type="dxa" w:w="1701"/>
            <w:vAlign w:val="center"/>
          </w:tcPr>
          <w:p>
            <w:r>
              <w:rPr>
                <w:sz w:val="16"/>
              </w:rPr>
              <w:t>Saldanha et al. [11]</w:t>
            </w:r>
          </w:p>
        </w:tc>
        <w:tc>
          <w:tcPr>
            <w:tcW w:type="dxa" w:w="2268"/>
            <w:vAlign w:val="center"/>
          </w:tcPr>
          <w:p>
            <w:r>
              <w:rPr>
                <w:sz w:val="16"/>
              </w:rPr>
              <w:t>3,743 TCGA; 776 CPTAC; 7 cancers</w:t>
            </w:r>
          </w:p>
        </w:tc>
        <w:tc>
          <w:tcPr>
            <w:tcW w:type="dxa" w:w="1701"/>
            <w:vAlign w:val="center"/>
          </w:tcPr>
          <w:p>
            <w:r>
              <w:rPr>
                <w:sz w:val="16"/>
              </w:rPr>
              <w:t>Not reported as one total in the main article</w:t>
            </w:r>
          </w:p>
        </w:tc>
        <w:tc>
          <w:tcPr>
            <w:tcW w:type="dxa" w:w="4252"/>
            <w:vAlign w:val="center"/>
          </w:tcPr>
          <w:p>
            <w:r>
              <w:rPr>
                <w:sz w:val="16"/>
              </w:rPr>
              <w:t>Somatic alterations in eligible OncoKB oncogenes and tumour-suppressor genes</w:t>
            </w:r>
          </w:p>
        </w:tc>
        <w:tc>
          <w:tcPr>
            <w:tcW w:type="dxa" w:w="5102"/>
            <w:vAlign w:val="center"/>
          </w:tcPr>
          <w:p>
            <w:r>
              <w:rPr>
                <w:sz w:val="16"/>
              </w:rPr>
              <w:t>RetCCL self-supervised tile features plus attention-based multiple-instance learning. Attention aggregation yielded patient-level predictions; a deterministic multi-slide pooling rule was not specified in the main report</w:t>
            </w:r>
          </w:p>
        </w:tc>
      </w:tr>
      <w:tr>
        <w:trPr>
          <w:cantSplit/>
        </w:trPr>
        <w:tc>
          <w:tcPr>
            <w:tcW w:type="dxa" w:w="1701"/>
            <w:vAlign w:val="center"/>
          </w:tcPr>
          <w:p>
            <w:r>
              <w:rPr>
                <w:sz w:val="16"/>
              </w:rPr>
              <w:t>Arslan et al. [13]</w:t>
            </w:r>
          </w:p>
        </w:tc>
        <w:tc>
          <w:tcPr>
            <w:tcW w:type="dxa" w:w="2268"/>
            <w:vAlign w:val="center"/>
          </w:tcPr>
          <w:p>
            <w:r>
              <w:rPr>
                <w:sz w:val="16"/>
              </w:rPr>
              <w:t>8,890 TCGA; 1,329 CPTAC; 32 TCGA; 7 CPTAC cancers</w:t>
            </w:r>
          </w:p>
        </w:tc>
        <w:tc>
          <w:tcPr>
            <w:tcW w:type="dxa" w:w="1701"/>
            <w:vAlign w:val="center"/>
          </w:tcPr>
          <w:p>
            <w:r>
              <w:rPr>
                <w:sz w:val="16"/>
              </w:rPr>
              <w:t>10,954 TCGA; 3,481 CPTAC</w:t>
            </w:r>
          </w:p>
        </w:tc>
        <w:tc>
          <w:tcPr>
            <w:tcW w:type="dxa" w:w="4252"/>
            <w:vAlign w:val="center"/>
          </w:tcPr>
          <w:p>
            <w:r>
              <w:rPr>
                <w:sz w:val="16"/>
              </w:rPr>
              <w:t>4,031 genomic, transcriptomic, proteomic, standard-of-care, subtype, signature, clinical-outcome and treatment-response biomarkers; 12,093 TCGA models</w:t>
            </w:r>
          </w:p>
        </w:tc>
        <w:tc>
          <w:tcPr>
            <w:tcW w:type="dxa" w:w="5102"/>
            <w:vAlign w:val="center"/>
          </w:tcPr>
          <w:p>
            <w:r>
              <w:rPr>
                <w:sz w:val="16"/>
              </w:rPr>
              <w:t>Target-specific ResNet34 encoder-decoder CNNs trained from scratch. Tile scores averaged to slides and slide scores averaged within patient for patient-level AUROC; patient-level folds</w:t>
            </w:r>
          </w:p>
        </w:tc>
      </w:tr>
      <w:tr>
        <w:trPr>
          <w:cantSplit/>
        </w:trPr>
        <w:tc>
          <w:tcPr>
            <w:tcW w:type="dxa" w:w="1701"/>
            <w:vAlign w:val="center"/>
          </w:tcPr>
          <w:p>
            <w:r>
              <w:rPr>
                <w:sz w:val="16"/>
              </w:rPr>
              <w:t>Present study</w:t>
            </w:r>
          </w:p>
        </w:tc>
        <w:tc>
          <w:tcPr>
            <w:tcW w:type="dxa" w:w="2268"/>
            <w:vAlign w:val="center"/>
          </w:tcPr>
          <w:p>
            <w:r>
              <w:rPr>
                <w:sz w:val="16"/>
              </w:rPr>
              <w:t>9,404; 32 cancers</w:t>
            </w:r>
          </w:p>
        </w:tc>
        <w:tc>
          <w:tcPr>
            <w:tcW w:type="dxa" w:w="1701"/>
            <w:vAlign w:val="center"/>
          </w:tcPr>
          <w:p>
            <w:r>
              <w:rPr>
                <w:sz w:val="16"/>
              </w:rPr>
              <w:t>11,449</w:t>
            </w:r>
          </w:p>
        </w:tc>
        <w:tc>
          <w:tcPr>
            <w:tcW w:type="dxa" w:w="4252"/>
            <w:vAlign w:val="center"/>
          </w:tcPr>
          <w:p>
            <w:r>
              <w:rPr>
                <w:sz w:val="16"/>
              </w:rPr>
              <w:t>1,614 continuous and 459 binary cancer-endpoint pairs: immune and genomic-context scores; mutations; pathways; MSI; aneuploidy; fusions</w:t>
            </w:r>
          </w:p>
        </w:tc>
        <w:tc>
          <w:tcPr>
            <w:tcW w:type="dxa" w:w="5102"/>
            <w:vAlign w:val="center"/>
          </w:tcPr>
          <w:p>
            <w:r>
              <w:rPr>
                <w:sz w:val="16"/>
              </w:rPr>
              <w:t>One fixed pretrained 768-dimensional TITAN whole-slide representation with PLS1 or PLS-LDA. All eligible diagnostic slides deterministically mean-pooled before outcome matching; one vector and one fold assignment per patient</w:t>
            </w:r>
          </w:p>
        </w:tc>
      </w:tr>
    </w:tbl>
    <w:p/>
    <w:p>
      <w:pPr>
        <w:pStyle w:val="Caption"/>
      </w:pPr>
      <w:r>
        <w:t>Panel B. Validation, site sensitivity, negative-result reporting and predictor availability.</w:t>
      </w:r>
    </w:p>
    <w:tbl>
      <w:tblPr>
        <w:tblStyle w:val="TableGrid"/>
        <w:tblW w:type="auto" w:w="0"/>
        <w:jc w:val="center"/>
        <w:tblLook w:firstColumn="1" w:firstRow="1" w:lastColumn="0" w:lastRow="0" w:noHBand="0" w:noVBand="1" w:val="04A0"/>
      </w:tblPr>
      <w:tblGrid>
        <w:gridCol w:w="2523"/>
        <w:gridCol w:w="2523"/>
        <w:gridCol w:w="2523"/>
        <w:gridCol w:w="2523"/>
        <w:gridCol w:w="2523"/>
        <w:gridCol w:w="2523"/>
      </w:tblGrid>
      <w:tr>
        <w:trPr>
          <w:tblHeader w:val="true"/>
          <w:cantSplit/>
        </w:trPr>
        <w:tc>
          <w:tcPr>
            <w:tcW w:type="dxa" w:w="1701"/>
          </w:tcPr>
          <w:p>
            <w:r>
              <w:rPr>
                <w:b/>
                <w:sz w:val="17"/>
              </w:rPr>
              <w:t>Study</w:t>
            </w:r>
          </w:p>
        </w:tc>
        <w:tc>
          <w:tcPr>
            <w:tcW w:type="dxa" w:w="2665"/>
          </w:tcPr>
          <w:p>
            <w:r>
              <w:rPr>
                <w:b/>
                <w:sz w:val="17"/>
              </w:rPr>
              <w:t>Validation design</w:t>
            </w:r>
          </w:p>
        </w:tc>
        <w:tc>
          <w:tcPr>
            <w:tcW w:type="dxa" w:w="2154"/>
          </w:tcPr>
          <w:p>
            <w:r>
              <w:rPr>
                <w:b/>
                <w:sz w:val="17"/>
              </w:rPr>
              <w:t>Site sensitivity</w:t>
            </w:r>
          </w:p>
        </w:tc>
        <w:tc>
          <w:tcPr>
            <w:tcW w:type="dxa" w:w="2835"/>
          </w:tcPr>
          <w:p>
            <w:r>
              <w:rPr>
                <w:b/>
                <w:sz w:val="17"/>
              </w:rPr>
              <w:t>External validation</w:t>
            </w:r>
          </w:p>
        </w:tc>
        <w:tc>
          <w:tcPr>
            <w:tcW w:type="dxa" w:w="3118"/>
          </w:tcPr>
          <w:p>
            <w:r>
              <w:rPr>
                <w:b/>
                <w:sz w:val="17"/>
              </w:rPr>
              <w:t>Negative/ineligible reporting</w:t>
            </w:r>
          </w:p>
        </w:tc>
        <w:tc>
          <w:tcPr>
            <w:tcW w:type="dxa" w:w="2551"/>
          </w:tcPr>
          <w:p>
            <w:r>
              <w:rPr>
                <w:b/>
                <w:sz w:val="17"/>
              </w:rPr>
              <w:t>Fitted predictors</w:t>
            </w:r>
          </w:p>
        </w:tc>
      </w:tr>
      <w:tr>
        <w:trPr>
          <w:cantSplit/>
        </w:trPr>
        <w:tc>
          <w:tcPr>
            <w:tcW w:type="dxa" w:w="1701"/>
            <w:vAlign w:val="center"/>
          </w:tcPr>
          <w:p>
            <w:r>
              <w:rPr>
                <w:sz w:val="16"/>
              </w:rPr>
              <w:t>Fu et al. [4]</w:t>
            </w:r>
          </w:p>
        </w:tc>
        <w:tc>
          <w:tcPr>
            <w:tcW w:type="dxa" w:w="2665"/>
            <w:vAlign w:val="center"/>
          </w:tcPr>
          <w:p>
            <w:r>
              <w:rPr>
                <w:sz w:val="16"/>
              </w:rPr>
              <w:t>Internal TCGA analyses; not nested patient-level cross-validation</w:t>
            </w:r>
          </w:p>
        </w:tc>
        <w:tc>
          <w:tcPr>
            <w:tcW w:type="dxa" w:w="2154"/>
            <w:vAlign w:val="center"/>
          </w:tcPr>
          <w:p>
            <w:r>
              <w:rPr>
                <w:sz w:val="16"/>
              </w:rPr>
              <w:t>No target-level tissue-source-site analysis</w:t>
            </w:r>
          </w:p>
        </w:tc>
        <w:tc>
          <w:tcPr>
            <w:tcW w:type="dxa" w:w="2835"/>
            <w:vAlign w:val="center"/>
          </w:tcPr>
          <w:p>
            <w:r>
              <w:rPr>
                <w:sz w:val="16"/>
              </w:rPr>
              <w:t>No independent cohort for the pan-cancer molecular screen; selected breast prognostic analyses used METABRIC</w:t>
            </w:r>
          </w:p>
        </w:tc>
        <w:tc>
          <w:tcPr>
            <w:tcW w:type="dxa" w:w="3118"/>
            <w:vAlign w:val="center"/>
          </w:tcPr>
          <w:p>
            <w:r>
              <w:rPr>
                <w:sz w:val="16"/>
              </w:rPr>
              <w:t>Broad association and performance landscape; no explicit tested-negative versus sample-size-ineligible taxonomy</w:t>
            </w:r>
          </w:p>
        </w:tc>
        <w:tc>
          <w:tcPr>
            <w:tcW w:type="dxa" w:w="2551"/>
            <w:vAlign w:val="center"/>
          </w:tcPr>
          <w:p>
            <w:r>
              <w:rPr>
                <w:sz w:val="16"/>
              </w:rPr>
              <w:t>Code, trained feature extractor and extracted image features released; no target-specific fitted predictor library identified</w:t>
            </w:r>
          </w:p>
        </w:tc>
      </w:tr>
      <w:tr>
        <w:trPr>
          <w:cantSplit/>
        </w:trPr>
        <w:tc>
          <w:tcPr>
            <w:tcW w:type="dxa" w:w="1701"/>
            <w:vAlign w:val="center"/>
          </w:tcPr>
          <w:p>
            <w:r>
              <w:rPr>
                <w:sz w:val="16"/>
              </w:rPr>
              <w:t>Kather et al. [5]</w:t>
            </w:r>
          </w:p>
        </w:tc>
        <w:tc>
          <w:tcPr>
            <w:tcW w:type="dxa" w:w="2665"/>
            <w:vAlign w:val="center"/>
          </w:tcPr>
          <w:p>
            <w:r>
              <w:rPr>
                <w:sz w:val="16"/>
              </w:rPr>
              <w:t>Three-fold patient-level cross-validation</w:t>
            </w:r>
          </w:p>
        </w:tc>
        <w:tc>
          <w:tcPr>
            <w:tcW w:type="dxa" w:w="2154"/>
            <w:vAlign w:val="center"/>
          </w:tcPr>
          <w:p>
            <w:r>
              <w:rPr>
                <w:sz w:val="16"/>
              </w:rPr>
              <w:t>No target-level tissue-source-site analysis</w:t>
            </w:r>
          </w:p>
        </w:tc>
        <w:tc>
          <w:tcPr>
            <w:tcW w:type="dxa" w:w="2835"/>
            <w:vAlign w:val="center"/>
          </w:tcPr>
          <w:p>
            <w:r>
              <w:rPr>
                <w:sz w:val="16"/>
              </w:rPr>
              <w:t>Selected targets externally tested, including BRAF and CIMP in 408 DACHS colorectal cases</w:t>
            </w:r>
          </w:p>
        </w:tc>
        <w:tc>
          <w:tcPr>
            <w:tcW w:type="dxa" w:w="3118"/>
            <w:vAlign w:val="center"/>
          </w:tcPr>
          <w:p>
            <w:r>
              <w:rPr>
                <w:sz w:val="16"/>
              </w:rPr>
              <w:t>Tested-target results and FDR reported; no explicit sample-size-ineligible taxonomy comparable with the present study</w:t>
            </w:r>
          </w:p>
        </w:tc>
        <w:tc>
          <w:tcPr>
            <w:tcW w:type="dxa" w:w="2551"/>
            <w:vAlign w:val="center"/>
          </w:tcPr>
          <w:p>
            <w:r>
              <w:rPr>
                <w:sz w:val="16"/>
              </w:rPr>
              <w:t>Workflow and source code released; no pan-cancer fitted predictor library identified</w:t>
            </w:r>
          </w:p>
        </w:tc>
      </w:tr>
      <w:tr>
        <w:trPr>
          <w:cantSplit/>
        </w:trPr>
        <w:tc>
          <w:tcPr>
            <w:tcW w:type="dxa" w:w="1701"/>
            <w:vAlign w:val="center"/>
          </w:tcPr>
          <w:p>
            <w:r>
              <w:rPr>
                <w:sz w:val="16"/>
              </w:rPr>
              <w:t>Saldanha et al. [11]</w:t>
            </w:r>
          </w:p>
        </w:tc>
        <w:tc>
          <w:tcPr>
            <w:tcW w:type="dxa" w:w="2665"/>
            <w:vAlign w:val="center"/>
          </w:tcPr>
          <w:p>
            <w:r>
              <w:rPr>
                <w:sz w:val="16"/>
              </w:rPr>
              <w:t>Five replicate experiments in TCGA with locked evaluation in CPTAC</w:t>
            </w:r>
          </w:p>
        </w:tc>
        <w:tc>
          <w:tcPr>
            <w:tcW w:type="dxa" w:w="2154"/>
            <w:vAlign w:val="center"/>
          </w:tcPr>
          <w:p>
            <w:r>
              <w:rPr>
                <w:sz w:val="16"/>
              </w:rPr>
              <w:t>No target-level tissue-source-site analysis</w:t>
            </w:r>
          </w:p>
        </w:tc>
        <w:tc>
          <w:tcPr>
            <w:tcW w:type="dxa" w:w="2835"/>
            <w:vAlign w:val="center"/>
          </w:tcPr>
          <w:p>
            <w:r>
              <w:rPr>
                <w:sz w:val="16"/>
              </w:rPr>
              <w:t>Direct TCGA-to-CPTAC testing across seven matched cancers</w:t>
            </w:r>
          </w:p>
        </w:tc>
        <w:tc>
          <w:tcPr>
            <w:tcW w:type="dxa" w:w="3118"/>
            <w:vAlign w:val="center"/>
          </w:tcPr>
          <w:p>
            <w:r>
              <w:rPr>
                <w:sz w:val="16"/>
              </w:rPr>
              <w:t>Analysed-gene outputs reported after a minimum-25-mutant rule; no explicit tested-negative versus ineligible taxonomy</w:t>
            </w:r>
          </w:p>
        </w:tc>
        <w:tc>
          <w:tcPr>
            <w:tcW w:type="dxa" w:w="2551"/>
            <w:vAlign w:val="center"/>
          </w:tcPr>
          <w:p>
            <w:r>
              <w:rPr>
                <w:sz w:val="16"/>
              </w:rPr>
              <w:t>Open-source pipeline released; no fitted pan-cancer predictor library identified</w:t>
            </w:r>
          </w:p>
        </w:tc>
      </w:tr>
      <w:tr>
        <w:trPr>
          <w:cantSplit/>
        </w:trPr>
        <w:tc>
          <w:tcPr>
            <w:tcW w:type="dxa" w:w="1701"/>
            <w:vAlign w:val="center"/>
          </w:tcPr>
          <w:p>
            <w:r>
              <w:rPr>
                <w:sz w:val="16"/>
              </w:rPr>
              <w:t>Arslan et al. [13]</w:t>
            </w:r>
          </w:p>
        </w:tc>
        <w:tc>
          <w:tcPr>
            <w:tcW w:type="dxa" w:w="2665"/>
            <w:vAlign w:val="center"/>
          </w:tcPr>
          <w:p>
            <w:r>
              <w:rPr>
                <w:sz w:val="16"/>
              </w:rPr>
              <w:t>Three-fold patient-level cross-validation; not nested</w:t>
            </w:r>
          </w:p>
        </w:tc>
        <w:tc>
          <w:tcPr>
            <w:tcW w:type="dxa" w:w="2154"/>
            <w:vAlign w:val="center"/>
          </w:tcPr>
          <w:p>
            <w:r>
              <w:rPr>
                <w:sz w:val="16"/>
              </w:rPr>
              <w:t>No target-level tissue-source-site analysis</w:t>
            </w:r>
          </w:p>
        </w:tc>
        <w:tc>
          <w:tcPr>
            <w:tcW w:type="dxa" w:w="2835"/>
            <w:vAlign w:val="center"/>
          </w:tcPr>
          <w:p>
            <w:r>
              <w:rPr>
                <w:sz w:val="16"/>
              </w:rPr>
              <w:t>CPTAC replication for matched subsets; not reported as locked transfer of every TCGA model</w:t>
            </w:r>
          </w:p>
        </w:tc>
        <w:tc>
          <w:tcPr>
            <w:tcW w:type="dxa" w:w="3118"/>
            <w:vAlign w:val="center"/>
          </w:tcPr>
          <w:p>
            <w:r>
              <w:rPr>
                <w:sz w:val="16"/>
              </w:rPr>
              <w:t>Endpoint-level outputs and significance reported; targets with fewer than 10 positives excluded, without a separate tested-negative/ineligible taxonomy</w:t>
            </w:r>
          </w:p>
        </w:tc>
        <w:tc>
          <w:tcPr>
            <w:tcW w:type="dxa" w:w="2551"/>
            <w:vAlign w:val="center"/>
          </w:tcPr>
          <w:p>
            <w:r>
              <w:rPr>
                <w:sz w:val="16"/>
              </w:rPr>
              <w:t>Code and result outputs released; no reusable target-specific fitted model library identified</w:t>
            </w:r>
          </w:p>
        </w:tc>
      </w:tr>
      <w:tr>
        <w:trPr>
          <w:cantSplit/>
        </w:trPr>
        <w:tc>
          <w:tcPr>
            <w:tcW w:type="dxa" w:w="1701"/>
            <w:vAlign w:val="center"/>
          </w:tcPr>
          <w:p>
            <w:r>
              <w:rPr>
                <w:sz w:val="16"/>
              </w:rPr>
              <w:t>Present study</w:t>
            </w:r>
          </w:p>
        </w:tc>
        <w:tc>
          <w:tcPr>
            <w:tcW w:type="dxa" w:w="2665"/>
            <w:vAlign w:val="center"/>
          </w:tcPr>
          <w:p>
            <w:r>
              <w:rPr>
                <w:sz w:val="16"/>
              </w:rPr>
              <w:t>Nested patient-level 5x5 cross-validation; permutations; five independently seeded repeats</w:t>
            </w:r>
          </w:p>
        </w:tc>
        <w:tc>
          <w:tcPr>
            <w:tcW w:type="dxa" w:w="2154"/>
            <w:vAlign w:val="center"/>
          </w:tcPr>
          <w:p>
            <w:r>
              <w:rPr>
                <w:sz w:val="16"/>
              </w:rPr>
              <w:t>Target-level tissue-source-site-grouped sensitivity for every screen-positive model</w:t>
            </w:r>
          </w:p>
        </w:tc>
        <w:tc>
          <w:tcPr>
            <w:tcW w:type="dxa" w:w="2835"/>
            <w:vAlign w:val="center"/>
          </w:tcPr>
          <w:p>
            <w:r>
              <w:rPr>
                <w:sz w:val="16"/>
              </w:rPr>
              <w:t>None; TCGA-only internal validation</w:t>
            </w:r>
          </w:p>
        </w:tc>
        <w:tc>
          <w:tcPr>
            <w:tcW w:type="dxa" w:w="3118"/>
            <w:vAlign w:val="center"/>
          </w:tcPr>
          <w:p>
            <w:r>
              <w:rPr>
                <w:sz w:val="16"/>
              </w:rPr>
              <w:t>Complete machine-readable tested-negative and sample-size-ineligible results with outcome-specific denominators</w:t>
            </w:r>
          </w:p>
        </w:tc>
        <w:tc>
          <w:tcPr>
            <w:tcW w:type="dxa" w:w="2551"/>
            <w:vAlign w:val="center"/>
          </w:tcPr>
          <w:p>
            <w:r>
              <w:rPr>
                <w:sz w:val="16"/>
              </w:rPr>
              <w:t>323 compact research-only fitted PLS and PLS-LDA predictors with feature order, checksums, metadata and inference code</w:t>
            </w:r>
          </w:p>
        </w:tc>
      </w:tr>
    </w:tbl>
    <w:p/>
    <w:p>
      <w:r>
        <w:t>NR, not reported as a single total in the main article. 'No fitted predictor library identified' means that code or outputs may be public, but the primary report did not describe a reusable target-specific fitted-model collection comparable with TITANPred.</w:t>
      </w:r>
    </w:p>
    <w:p>
      <w:pPr>
        <w:sectPr>
          <w:pgSz w:w="16838" w:h="11906" w:orient="landscape"/>
          <w:pgMar w:top="850" w:right="850" w:bottom="850" w:left="850" w:header="720" w:footer="720" w:gutter="0"/>
          <w:cols w:space="720"/>
          <w:docGrid w:linePitch="360"/>
          <w:lnNumType w:countBy="1" w:restart="continuous"/>
          <w:lnNumType w:countBy="1" w:restart="continuous"/>
        </w:sectPr>
      </w:pPr>
    </w:p>
    <w:p>
      <w:pPr>
        <w:pStyle w:val="Heading1"/>
      </w:pPr>
      <w:r>
        <w:t>Methods</w:t>
      </w:r>
    </w:p>
    <w:p>
      <w:pPr>
        <w:pStyle w:val="Heading2"/>
      </w:pPr>
      <w:r>
        <w:t>Study design, slides and patient unit</w:t>
      </w:r>
    </w:p>
    <w:p>
      <w:r>
        <w:t>The published TITAN TCGA table contained 11,449 eligible primary-tumour diagnostic slides (TCGA sample type 01 and –DX filename) from 9,404 participants. The 843 participants with multiple eligible slides contributed one patient vector obtained by feature-wise arithmetic mean before outcomes were joined. Patient—not slide—was the independent cross-validation unit. TITAN's TCGA-Slide-Reports.csv matched 10,106 selected slides exactly by filename; 1,343 slides lacked an exact report row. Report metadata were used only to audit identifiers, project/cancer provenance and resection-site annotations, and no report text entered a model. The two-character tissue-source-site code used for grouped validation was derived directly from the TCGA participant barcode. 9 participants without a resolvable cancer label did not enter cancer-specific modelling. No participant had eligible slides from more than one primary sample barcode.</w:t>
      </w:r>
    </w:p>
    <w:p>
      <w:r>
        <w:t>All models were stratified by cancer type. No model learned pan-cancer differences, and no patient could occur in more than one validation fold. The intended use was discovery-stage prioritisation rather than diagnosis, treatment selection or replacement of molecular testing.</w:t>
      </w:r>
    </w:p>
    <w:p>
      <w:r>
        <w:t>All available eligible TCGA participants were used; no formal power calculation was performed. Minimum outcome-specific denominators were prespecified to support nested folds. Treatments were not modelled because the endpoints were contemporaneous molecular or immune measurements rather than prognosis or treatment response. Available demographic fields, subgroup sizes and endpoint-specific missingness did not provide a basis for representative subgroup performance or fairness evaluation; this is considered a limitation rather than evidence of equivalent performance across groups.</w:t>
      </w:r>
    </w:p>
    <w:p>
      <w:r>
        <w:t>Reporting was audited against TRIPOD+AI [28]. Participant characteristics were linked from the TCGA Clinical Data Resource [29] and summarized overall and by cancer. These descriptive fields were not supplied to prediction models, and no subgroup performance comparison was prespecified.</w:t>
      </w:r>
    </w:p>
    <w:p>
      <w:pPr>
        <w:jc w:val="center"/>
      </w:pPr>
      <w:r>
        <w:drawing>
          <wp:inline xmlns:a="http://schemas.openxmlformats.org/drawingml/2006/main" xmlns:pic="http://schemas.openxmlformats.org/drawingml/2006/picture">
            <wp:extent cx="5806440" cy="3096768"/>
            <wp:docPr id="1" name="Picture 1"/>
            <wp:cNvGraphicFramePr>
              <a:graphicFrameLocks noChangeAspect="1"/>
            </wp:cNvGraphicFramePr>
            <a:graphic>
              <a:graphicData uri="http://schemas.openxmlformats.org/drawingml/2006/picture">
                <pic:pic>
                  <pic:nvPicPr>
                    <pic:cNvPr id="0" name="Figure1_patient_first_workflow.png"/>
                    <pic:cNvPicPr/>
                  </pic:nvPicPr>
                  <pic:blipFill>
                    <a:blip r:embed="rId11"/>
                    <a:stretch>
                      <a:fillRect/>
                    </a:stretch>
                  </pic:blipFill>
                  <pic:spPr>
                    <a:xfrm>
                      <a:off x="0" y="0"/>
                      <a:ext cx="5806440" cy="3096768"/>
                    </a:xfrm>
                    <a:prstGeom prst="rect"/>
                  </pic:spPr>
                </pic:pic>
              </a:graphicData>
            </a:graphic>
          </wp:inline>
        </w:drawing>
      </w:r>
    </w:p>
    <w:p>
      <w:pPr>
        <w:pStyle w:val="Caption"/>
        <w:jc w:val="center"/>
      </w:pPr>
      <w:r>
        <w:t>Figure 1. Patient-first study design. Eligible diagnostic slides are mean-pooled before outcome matching; all model selection and evaluation occur at patient level within cancer type.</w:t>
      </w:r>
    </w:p>
    <w:p>
      <w:pPr>
        <w:pStyle w:val="Heading2"/>
      </w:pPr>
      <w:r>
        <w:t>Predictors and outcomes</w:t>
      </w:r>
    </w:p>
    <w:p>
      <w:r>
        <w:t>Predictors were the 768 fixed pretrained TITAN dimensions released for the TCGA slides [16]. The official gated artifact, TCGA_TITAN_features.pkl, was downloaded from https://huggingface.co/MahmoodLab/TITAN/blob/main/TCGA_TITAN_features.pkl after accepting the upstream terms and converted with the repository script to filename,titan_000,…,titan_767 CSV format; its source and converted-file SHA-256 hashes are retained in the provenance record. No slide pixels were reprocessed and TITAN weights were not fine-tuned in this study. Continuous outcomes comprised 39 immune/inflammatory measures and 11 genomic-context scores from Thorsson et al. [19], three aneuploidy burdens from Taylor et al. [20], log-transformed fusion burden from Gao et al. [21], and MANTIS/MSIsensor scores from Bonneville et al. and the cBioPortal TCGA PanCancer Atlas files [22,23]. Binary outcomes comprised qualifying protein-altering PASS mutations in tissue-specific consensus cancer genes from MC3 and Bailey et al. [24,25], ten oncogenic-pathway alteration indicators [26], genome doubling [20], any called fusion and eligible recurrent fusion pairs [21], and MSI-H definitions at MANTIS &gt;0.4 and a strict &gt;0.6 sensitivity threshold [22]. Protein-altering classes were missense, nonsense, nonstop, splice-site and translation-start mutations plus frameshift and in-frame insertions or deletions; their inclusion is recorded in a cancer-level variant-class audit. A mutation target denotes a qualifying alteration in a cancer gene; it does not assert that every allele is a functionally validated driver.</w:t>
      </w:r>
    </w:p>
    <w:p>
      <w:r>
        <w:t>The Thorsson Nonsilent Mutation Rate, Silent Mutation Rate, SNV Neoantigens, Indel Neoantigens and Number of Segments variables, and the Gao fusion burden, were analysed as log(1+x); all other continuous endpoints retained their source scale. Reported RMSE values therefore use these analysed units.</w:t>
      </w:r>
    </w:p>
    <w:p>
      <w:r>
        <w:t>Molecular missingness was retained rather than converted to a negative label, and no outcome imputation was performed. Mutation status was defined only among 8,476 embedding patients matched to an MC3 primary-tumour profile; 919 embedding patients without such a profile were excluded from mutation denominators. Within this profiled set, wild type meant no qualifying PASS protein-altering variant in the specified gene. Fusion-negative status was assigned only within the Gao study sample list. Multiple primary aliquots, if present, were collapsed at patient level by any alteration for binary mutation/pathway/fusion endpoints and by the prespecified mean or any-positive rule for continuous or binary instability endpoints. The source-level coverage table records covered patients, missing patients, aliquot multiplicity and aggregation for every cancer and source; no source contained multiple primary aliquots among matched embedding patients in this release.</w:t>
      </w:r>
    </w:p>
    <w:p>
      <w:r>
        <w:t>Continuous pairs required at least 50 non-missing patients. Binary pairs required at least 20 positive and 20 negative patients. Eligibility was decided before modelling and every eligible test remained in its endpoint-family multiplicity denominator.</w:t>
      </w:r>
    </w:p>
    <w:p>
      <w:pPr>
        <w:pStyle w:val="Heading2"/>
      </w:pPr>
      <w:r>
        <w:t>PLS1 regression and PLS–LDA classification</w:t>
      </w:r>
    </w:p>
    <w:p>
      <w:r>
        <w:t>For each cancer–endpoint pair, five outer folds estimated performance and five inner folds selected 1–10 PLS components. Scaling and component selection were learned from training patients only. All primary, permutation, repeated, sensitivity, PLS1–PLS2 and final-model fits used CPU rSVD with 10 oversampling vectors, two power iterations and explicit seeds. Continuous performance was out-of-fold Q², with RMSE and Spearman correlation secondary. Binary models supplied PLS latent scores to ridge-stabilised LDA; balanced accuracy was primary and AUROC from continuous LDA scores was secondary in repeated validation.</w:t>
      </w:r>
    </w:p>
    <w:p>
      <w:r>
        <w:t>Q² was 1−Σ(y−ŷ)²/Σ(y−ȳ)² over outer-fold predictions, and RMSE was the square root of the mean squared prediction error. For binary outcomes, class 1 denoted altered or positive and class 0 denoted wild type or negative within the outcome-specific covered denominator. Sensitivity was the class-1 true-positive rate, specificity the class-0 true-negative rate, and balanced accuracy their arithmetic mean. AUROC used the continuous class-1-minus-class-0 LDA discriminant score; Spearman correlation used observed and held-out continuous predictions.</w:t>
      </w:r>
    </w:p>
    <w:p>
      <w:r>
        <w:t>As a secondary algorithmic benchmark, the 24 manuscript-highlighted models were refitted on the same five repeated outer partitions using ridge-penalised Gaussian regression for continuous endpoints and ridge logistic regression for binary endpoints. Ridge hyperparameters were selected inside each outer training set; binary operating thresholds maximised balanced accuracy using inner out-of-fold probabilities. The primary paired differences were ridge-minus-PLS Q² and balanced accuracy, with AUROC or Spearman correlation retained as secondary metrics. We report the magnitude, interquartile range and 95% paired-repeat interval rather than declaring a winner from counts alone. Because models were selected for this benchmark after the PLS screen, it is a conditional sensitivity analysis and cannot establish screen-wide algorithmic superiority. Ridge was chosen as a simple linear baseline whose fitted coefficients can be exported without retaining training embeddings; nonlinear kernel predictors that require training observations or landmarks at inference did not satisfy that deployment constraint.</w:t>
      </w:r>
    </w:p>
    <w:p>
      <w:r>
        <w:t>No class under-sampling, over-sampling or synthetic augmentation was used. LDA used the observed training-fold class priors and returned a class plus an uncalibrated discriminant score, not a probability or clinical-risk threshold. Outcome tables were constructed independently of TITAN feature processing and joined only after patient-level aggregation.</w:t>
      </w:r>
    </w:p>
    <w:p>
      <w:r>
        <w:t>Nested performance was first checkpointed for the complete screen. Only models with Q²≥0.20 or chance-corrected balanced accuracy≥0.20 entered permutation testing. A 99-permutation checkpoint was followed by refinement toward 999 patient-label permutations. During final refinement, evaluation stopped conservatively after 49 exceedances because raw p&lt;0.05 was then impossible even if every remaining null statistic were less extreme; stopped endpoints were assigned p=1. Early-stopped checkpoint jobs resumed from the exact number attempted, so no permutation indices were skipped. Regression extremeness used lower RMSE, whereas classification used higher balanced accuracy. Completed finite p values were (b+1)/(B+1), giving minimum resolution 0.001. Because each disease defines a separate prediction and intended-use population, Benjamini–Hochberg FDR was controlled separately for continuous and binary screens within cancer and prespecified endpoint family [27]; a q-value across cancers within the same outcome type and family was retained as a stricter multiplicity sensitivity. Effect denotes Q² for continuous outcomes and 2×balanced accuracy−1 for binary outcomes. Screen-positive candidates were described as higher effect (primary q&lt;0.05 and effect≥0.40) or moderate effect (primary q&lt;0.05 and effect 0.20–0.39). Screen-negative tested pairs and pairs ineligible by sample-size rules were reported separately. These categories prioritise candidates for further testing and are not clinical grades.</w:t>
      </w:r>
    </w:p>
    <w:p>
      <w:pPr>
        <w:pStyle w:val="Heading2"/>
      </w:pPr>
      <w:r>
        <w:t>Robustness and saved models</w:t>
      </w:r>
    </w:p>
    <w:p>
      <w:r>
        <w:t>Screen-positive models were repeated under five independently seeded nested-CV partitions; each repeat seed governed both fold construction and rSVD. Sensitivity, specificity, balanced accuracy and AUROC were calculated within each repeat for binary endpoints; Q², RMSE and Spearman correlation were calculated within each repeat for continuous endpoints. Reported repeated-CV point estimates were the arithmetic mean of the five repeat-specific metrics, so LDA scores from independently fitted repeats were never pooled onto an assumed common scale. For highlighted models, 1,000 patient-cluster bootstrap resamples retained all five held-out predictions for each sampled patient, recalculated metrics within repeat and then averaged them; percentile 2.5th and 97.5th quantiles formed the 95% intervals. Site-grouped validation assigned all patients sharing a two-character TCGA tissue-source-site code to the same outer fold, preventing a site from appearing in both training and test partitions for that fold. A sensitivity analysis replaced each mean-pooled vector with the lexicographically first eligible diagnostic slide while preserving patients and seeds. Full-data research models were tuned by ten-fold CV and saved with feature order and checksum, training ranges, aggregation rule, endpoint transformation and output units, class coding and priors, decision rule, calibration status, class counts, exact software version and commit, computation backend, rSVD controls, external-validation status and intended-use metadata.</w:t>
      </w:r>
    </w:p>
    <w:p>
      <w:r>
        <w:t>TITANPred retains the binary LDA score but does not convert it to a probability. In reports, its position is labelled 'TCGA out-of-fold score rank (not probability)' rather than percentile or risk, and is displayed beside total training n, positive and negative counts, prevalence, repeated-CV balanced accuracy and AUROC. Models with fewer than 50 patients in either class receive an explicit limited-class-size warning; this reporting flag does not change the prespecified 20-per-class eligibility rule. Probability calibration was not added post hoc because it would require an independently evaluated or fully nested calibration procedure, which is not available in this TCGA discovery analysis.</w:t>
      </w:r>
    </w:p>
    <w:p>
      <w:r>
        <w:t>The fitted PLS and PLS–LDA objects contain the learned transformations and coefficients needed for inference but no patient-level training rows. The public inference interface validates the 768-feature order and applies the prespecified patient-level slide aggregation. The secondary PLS1–PLS2 inflammatory comparison, including matched folds and cancer-bootstrap intervals, is described in the Supplementary Methods.</w:t>
      </w:r>
    </w:p>
    <w:p>
      <w:pPr>
        <w:pStyle w:val="Heading2"/>
      </w:pPr>
      <w:r>
        <w:t>Software, transparency and validation status</w:t>
      </w:r>
    </w:p>
    <w:p>
      <w:r>
        <w:t>Analyses used R 4.6.0 and fastPLS 0.99.20 (Git commit dcf45cc). MC3 objects were loaded with TCGAmutations 0.4.0 from the GitHub source pinned in the software manifest. Version-controlled code, source manifests, released target catalogues, out-of-fold prediction summaries, figures and model registry are organized in the companion analysis repository [30]. A separate GPL-3 R package bundles all fitted models, their SHA-256 registry, reference distributions, inference interface and report template [32]. The bundled artifacts contain learned parameters and training-range summaries but no patient-level training rows. No independent cohort with compatible TITAN features and the required labels was included; all performance estimates remain internal to TCGA.</w:t>
      </w:r>
    </w:p>
    <w:p>
      <w:r>
        <w:t>OpenAI Codex was used for analysis-code refactoring, document generation and language editing. All statistical choices, source-data mappings, numerical outputs and manuscript interpretations were reviewed by the human authors, who retain responsibility for the work.</w:t>
      </w:r>
    </w:p>
    <w:p>
      <w:r>
        <w:t>Supplementary methods, Tables S1–S12, Figures S1–S2 and the machine-readable-file inventory are provided in Additional file 1. The two illustrative single-sample TITANPred reports are supplied separately as Additional files 2 and 3.</w:t>
      </w:r>
    </w:p>
    <w:p>
      <w:pPr>
        <w:pStyle w:val="Heading1"/>
      </w:pPr>
      <w:r>
        <w:t>Results</w:t>
      </w:r>
    </w:p>
    <w:p>
      <w:pPr>
        <w:pStyle w:val="Heading2"/>
      </w:pPr>
      <w:r>
        <w:t>Cohort and analysis coverage</w:t>
      </w:r>
    </w:p>
    <w:p>
      <w:r>
        <w:t>The embedding cohort contained 9,404 patients represented by 11,449 slides; 843 patients (9.0%) had more than one eligible diagnostic slide. The maximum was 30 slides for one patient, and no patient contributed slides from multiple primary sample barcodes. Exact slide-report coverage was 10,106/11,449 (88.3%). Cancer labels were available for 9,395 patients across 32 cancers. The benchmark evaluated 1,614 continuous and 459 binary cancer–endpoint pairs (Table 2). Of 537 prespecified cancer–gene mutation pairs with a profiled denominator, 238 met the 20-positive/20-negative rule and 299 were reported as ineligible rather than tested-negative. Molecular coverage varied by source and cancer; missing cases were excluded outcome by outcome.</w:t>
      </w:r>
    </w:p>
    <w:p>
      <w:r>
        <w:t>The TCGA Clinical Data Resource [29] matched 9,385/9,404 participants. Age was available for 9,338 participants (median 60.0 years, IQR 50.0–70.0); 4,780/9,385 with recorded gender were female. Race was recorded for 8,262 and broad stage I–IV for 7,505. These fields describe cohort composition only; subgroup predictive performance was not evaluated.</w:t>
      </w:r>
    </w:p>
    <w:p>
      <w:pPr>
        <w:pStyle w:val="Caption"/>
      </w:pPr>
      <w:r>
        <w:t>Table 2. Eligible cancer–endpoint models and within-cancer screening categories.</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rPr>
          <w:tblHeader w:val="true"/>
          <w:cantSplit/>
        </w:trPr>
        <w:tc>
          <w:tcPr>
            <w:tcW w:type="dxa" w:w="2721"/>
          </w:tcPr>
          <w:p>
            <w:r>
              <w:rPr>
                <w:b/>
                <w:sz w:val="17"/>
              </w:rPr>
              <w:t>Family</w:t>
            </w:r>
          </w:p>
        </w:tc>
        <w:tc>
          <w:tcPr>
            <w:tcW w:type="dxa" w:w="1134"/>
          </w:tcPr>
          <w:p>
            <w:r>
              <w:rPr>
                <w:b/>
                <w:sz w:val="17"/>
              </w:rPr>
              <w:t>Type</w:t>
            </w:r>
          </w:p>
        </w:tc>
        <w:tc>
          <w:tcPr>
            <w:tcW w:type="dxa" w:w="850"/>
          </w:tcPr>
          <w:p>
            <w:r>
              <w:rPr>
                <w:b/>
                <w:sz w:val="17"/>
              </w:rPr>
              <w:t>Tests</w:t>
            </w:r>
          </w:p>
        </w:tc>
        <w:tc>
          <w:tcPr>
            <w:tcW w:type="dxa" w:w="850"/>
          </w:tcPr>
          <w:p>
            <w:r>
              <w:rPr>
                <w:b/>
                <w:sz w:val="17"/>
              </w:rPr>
              <w:t>Cancers</w:t>
            </w:r>
          </w:p>
        </w:tc>
        <w:tc>
          <w:tcPr>
            <w:tcW w:type="dxa" w:w="850"/>
          </w:tcPr>
          <w:p>
            <w:r>
              <w:rPr>
                <w:b/>
                <w:sz w:val="17"/>
              </w:rPr>
              <w:t>Higher effect</w:t>
            </w:r>
          </w:p>
        </w:tc>
        <w:tc>
          <w:tcPr>
            <w:tcW w:type="dxa" w:w="850"/>
          </w:tcPr>
          <w:p>
            <w:r>
              <w:rPr>
                <w:b/>
                <w:sz w:val="17"/>
              </w:rPr>
              <w:t>Moderate effect</w:t>
            </w:r>
          </w:p>
        </w:tc>
        <w:tc>
          <w:tcPr>
            <w:tcW w:type="dxa" w:w="850"/>
          </w:tcPr>
          <w:p>
            <w:r>
              <w:rPr>
                <w:b/>
                <w:sz w:val="17"/>
              </w:rPr>
              <w:t>Screen-negative</w:t>
            </w:r>
          </w:p>
        </w:tc>
      </w:tr>
      <w:tr>
        <w:trPr>
          <w:cantSplit/>
        </w:trPr>
        <w:tc>
          <w:tcPr>
            <w:tcW w:type="dxa" w:w="2721"/>
            <w:vAlign w:val="center"/>
          </w:tcPr>
          <w:p>
            <w:r>
              <w:rPr>
                <w:sz w:val="16"/>
              </w:rPr>
              <w:t>aneuploidy</w:t>
            </w:r>
          </w:p>
        </w:tc>
        <w:tc>
          <w:tcPr>
            <w:tcW w:type="dxa" w:w="1134"/>
            <w:vAlign w:val="center"/>
          </w:tcPr>
          <w:p>
            <w:r>
              <w:rPr>
                <w:sz w:val="16"/>
              </w:rPr>
              <w:t>continuous</w:t>
            </w:r>
          </w:p>
        </w:tc>
        <w:tc>
          <w:tcPr>
            <w:tcW w:type="dxa" w:w="850"/>
            <w:vAlign w:val="center"/>
          </w:tcPr>
          <w:p>
            <w:r>
              <w:rPr>
                <w:sz w:val="16"/>
              </w:rPr>
              <w:t>90</w:t>
            </w:r>
          </w:p>
        </w:tc>
        <w:tc>
          <w:tcPr>
            <w:tcW w:type="dxa" w:w="850"/>
            <w:vAlign w:val="center"/>
          </w:tcPr>
          <w:p>
            <w:r>
              <w:rPr>
                <w:sz w:val="16"/>
              </w:rPr>
              <w:t>30</w:t>
            </w:r>
          </w:p>
        </w:tc>
        <w:tc>
          <w:tcPr>
            <w:tcW w:type="dxa" w:w="850"/>
            <w:vAlign w:val="center"/>
          </w:tcPr>
          <w:p>
            <w:r>
              <w:rPr>
                <w:sz w:val="16"/>
              </w:rPr>
              <w:t>0</w:t>
            </w:r>
          </w:p>
        </w:tc>
        <w:tc>
          <w:tcPr>
            <w:tcW w:type="dxa" w:w="850"/>
            <w:vAlign w:val="center"/>
          </w:tcPr>
          <w:p>
            <w:r>
              <w:rPr>
                <w:sz w:val="16"/>
              </w:rPr>
              <w:t>9</w:t>
            </w:r>
          </w:p>
        </w:tc>
        <w:tc>
          <w:tcPr>
            <w:tcW w:type="dxa" w:w="850"/>
            <w:vAlign w:val="center"/>
          </w:tcPr>
          <w:p>
            <w:r>
              <w:rPr>
                <w:sz w:val="16"/>
              </w:rPr>
              <w:t>81</w:t>
            </w:r>
          </w:p>
        </w:tc>
      </w:tr>
      <w:tr>
        <w:trPr>
          <w:cantSplit/>
        </w:trPr>
        <w:tc>
          <w:tcPr>
            <w:tcW w:type="dxa" w:w="2721"/>
            <w:vAlign w:val="center"/>
          </w:tcPr>
          <w:p>
            <w:r>
              <w:rPr>
                <w:sz w:val="16"/>
              </w:rPr>
              <w:t>aneuploidy</w:t>
            </w:r>
          </w:p>
        </w:tc>
        <w:tc>
          <w:tcPr>
            <w:tcW w:type="dxa" w:w="1134"/>
            <w:vAlign w:val="center"/>
          </w:tcPr>
          <w:p>
            <w:r>
              <w:rPr>
                <w:sz w:val="16"/>
              </w:rPr>
              <w:t>binary</w:t>
            </w:r>
          </w:p>
        </w:tc>
        <w:tc>
          <w:tcPr>
            <w:tcW w:type="dxa" w:w="850"/>
            <w:vAlign w:val="center"/>
          </w:tcPr>
          <w:p>
            <w:r>
              <w:rPr>
                <w:sz w:val="16"/>
              </w:rPr>
              <w:t>22</w:t>
            </w:r>
          </w:p>
        </w:tc>
        <w:tc>
          <w:tcPr>
            <w:tcW w:type="dxa" w:w="850"/>
            <w:vAlign w:val="center"/>
          </w:tcPr>
          <w:p>
            <w:r>
              <w:rPr>
                <w:sz w:val="16"/>
              </w:rPr>
              <w:t>22</w:t>
            </w:r>
          </w:p>
        </w:tc>
        <w:tc>
          <w:tcPr>
            <w:tcW w:type="dxa" w:w="850"/>
            <w:vAlign w:val="center"/>
          </w:tcPr>
          <w:p>
            <w:r>
              <w:rPr>
                <w:sz w:val="16"/>
              </w:rPr>
              <w:t>1</w:t>
            </w:r>
          </w:p>
        </w:tc>
        <w:tc>
          <w:tcPr>
            <w:tcW w:type="dxa" w:w="850"/>
            <w:vAlign w:val="center"/>
          </w:tcPr>
          <w:p>
            <w:r>
              <w:rPr>
                <w:sz w:val="16"/>
              </w:rPr>
              <w:t>12</w:t>
            </w:r>
          </w:p>
        </w:tc>
        <w:tc>
          <w:tcPr>
            <w:tcW w:type="dxa" w:w="850"/>
            <w:vAlign w:val="center"/>
          </w:tcPr>
          <w:p>
            <w:r>
              <w:rPr>
                <w:sz w:val="16"/>
              </w:rPr>
              <w:t>9</w:t>
            </w:r>
          </w:p>
        </w:tc>
      </w:tr>
      <w:tr>
        <w:trPr>
          <w:cantSplit/>
        </w:trPr>
        <w:tc>
          <w:tcPr>
            <w:tcW w:type="dxa" w:w="2721"/>
            <w:vAlign w:val="center"/>
          </w:tcPr>
          <w:p>
            <w:r>
              <w:rPr>
                <w:sz w:val="16"/>
              </w:rPr>
              <w:t>cancer-gene mutation</w:t>
            </w:r>
          </w:p>
        </w:tc>
        <w:tc>
          <w:tcPr>
            <w:tcW w:type="dxa" w:w="1134"/>
            <w:vAlign w:val="center"/>
          </w:tcPr>
          <w:p>
            <w:r>
              <w:rPr>
                <w:sz w:val="16"/>
              </w:rPr>
              <w:t>binary</w:t>
            </w:r>
          </w:p>
        </w:tc>
        <w:tc>
          <w:tcPr>
            <w:tcW w:type="dxa" w:w="850"/>
            <w:vAlign w:val="center"/>
          </w:tcPr>
          <w:p>
            <w:r>
              <w:rPr>
                <w:sz w:val="16"/>
              </w:rPr>
              <w:t>238</w:t>
            </w:r>
          </w:p>
        </w:tc>
        <w:tc>
          <w:tcPr>
            <w:tcW w:type="dxa" w:w="850"/>
            <w:vAlign w:val="center"/>
          </w:tcPr>
          <w:p>
            <w:r>
              <w:rPr>
                <w:sz w:val="16"/>
              </w:rPr>
              <w:t>25</w:t>
            </w:r>
          </w:p>
        </w:tc>
        <w:tc>
          <w:tcPr>
            <w:tcW w:type="dxa" w:w="850"/>
            <w:vAlign w:val="center"/>
          </w:tcPr>
          <w:p>
            <w:r>
              <w:rPr>
                <w:sz w:val="16"/>
              </w:rPr>
              <w:t>16</w:t>
            </w:r>
          </w:p>
        </w:tc>
        <w:tc>
          <w:tcPr>
            <w:tcW w:type="dxa" w:w="850"/>
            <w:vAlign w:val="center"/>
          </w:tcPr>
          <w:p>
            <w:r>
              <w:rPr>
                <w:sz w:val="16"/>
              </w:rPr>
              <w:t>25</w:t>
            </w:r>
          </w:p>
        </w:tc>
        <w:tc>
          <w:tcPr>
            <w:tcW w:type="dxa" w:w="850"/>
            <w:vAlign w:val="center"/>
          </w:tcPr>
          <w:p>
            <w:r>
              <w:rPr>
                <w:sz w:val="16"/>
              </w:rPr>
              <w:t>197</w:t>
            </w:r>
          </w:p>
        </w:tc>
      </w:tr>
      <w:tr>
        <w:trPr>
          <w:cantSplit/>
        </w:trPr>
        <w:tc>
          <w:tcPr>
            <w:tcW w:type="dxa" w:w="2721"/>
            <w:vAlign w:val="center"/>
          </w:tcPr>
          <w:p>
            <w:r>
              <w:rPr>
                <w:sz w:val="16"/>
              </w:rPr>
              <w:t>fusion</w:t>
            </w:r>
          </w:p>
        </w:tc>
        <w:tc>
          <w:tcPr>
            <w:tcW w:type="dxa" w:w="1134"/>
            <w:vAlign w:val="center"/>
          </w:tcPr>
          <w:p>
            <w:r>
              <w:rPr>
                <w:sz w:val="16"/>
              </w:rPr>
              <w:t>continuous</w:t>
            </w:r>
          </w:p>
        </w:tc>
        <w:tc>
          <w:tcPr>
            <w:tcW w:type="dxa" w:w="850"/>
            <w:vAlign w:val="center"/>
          </w:tcPr>
          <w:p>
            <w:r>
              <w:rPr>
                <w:sz w:val="16"/>
              </w:rPr>
              <w:t>30</w:t>
            </w:r>
          </w:p>
        </w:tc>
        <w:tc>
          <w:tcPr>
            <w:tcW w:type="dxa" w:w="850"/>
            <w:vAlign w:val="center"/>
          </w:tcPr>
          <w:p>
            <w:r>
              <w:rPr>
                <w:sz w:val="16"/>
              </w:rPr>
              <w:t>30</w:t>
            </w:r>
          </w:p>
        </w:tc>
        <w:tc>
          <w:tcPr>
            <w:tcW w:type="dxa" w:w="850"/>
            <w:vAlign w:val="center"/>
          </w:tcPr>
          <w:p>
            <w:r>
              <w:rPr>
                <w:sz w:val="16"/>
              </w:rPr>
              <w:t>0</w:t>
            </w:r>
          </w:p>
        </w:tc>
        <w:tc>
          <w:tcPr>
            <w:tcW w:type="dxa" w:w="850"/>
            <w:vAlign w:val="center"/>
          </w:tcPr>
          <w:p>
            <w:r>
              <w:rPr>
                <w:sz w:val="16"/>
              </w:rPr>
              <w:t>3</w:t>
            </w:r>
          </w:p>
        </w:tc>
        <w:tc>
          <w:tcPr>
            <w:tcW w:type="dxa" w:w="850"/>
            <w:vAlign w:val="center"/>
          </w:tcPr>
          <w:p>
            <w:r>
              <w:rPr>
                <w:sz w:val="16"/>
              </w:rPr>
              <w:t>27</w:t>
            </w:r>
          </w:p>
        </w:tc>
      </w:tr>
      <w:tr>
        <w:trPr>
          <w:cantSplit/>
        </w:trPr>
        <w:tc>
          <w:tcPr>
            <w:tcW w:type="dxa" w:w="2721"/>
            <w:vAlign w:val="center"/>
          </w:tcPr>
          <w:p>
            <w:r>
              <w:rPr>
                <w:sz w:val="16"/>
              </w:rPr>
              <w:t>fusion</w:t>
            </w:r>
          </w:p>
        </w:tc>
        <w:tc>
          <w:tcPr>
            <w:tcW w:type="dxa" w:w="1134"/>
            <w:vAlign w:val="center"/>
          </w:tcPr>
          <w:p>
            <w:r>
              <w:rPr>
                <w:sz w:val="16"/>
              </w:rPr>
              <w:t>binary</w:t>
            </w:r>
          </w:p>
        </w:tc>
        <w:tc>
          <w:tcPr>
            <w:tcW w:type="dxa" w:w="850"/>
            <w:vAlign w:val="center"/>
          </w:tcPr>
          <w:p>
            <w:r>
              <w:rPr>
                <w:sz w:val="16"/>
              </w:rPr>
              <w:t>27</w:t>
            </w:r>
          </w:p>
        </w:tc>
        <w:tc>
          <w:tcPr>
            <w:tcW w:type="dxa" w:w="850"/>
            <w:vAlign w:val="center"/>
          </w:tcPr>
          <w:p>
            <w:r>
              <w:rPr>
                <w:sz w:val="16"/>
              </w:rPr>
              <w:t>25</w:t>
            </w:r>
          </w:p>
        </w:tc>
        <w:tc>
          <w:tcPr>
            <w:tcW w:type="dxa" w:w="850"/>
            <w:vAlign w:val="center"/>
          </w:tcPr>
          <w:p>
            <w:r>
              <w:rPr>
                <w:sz w:val="16"/>
              </w:rPr>
              <w:t>1</w:t>
            </w:r>
          </w:p>
        </w:tc>
        <w:tc>
          <w:tcPr>
            <w:tcW w:type="dxa" w:w="850"/>
            <w:vAlign w:val="center"/>
          </w:tcPr>
          <w:p>
            <w:r>
              <w:rPr>
                <w:sz w:val="16"/>
              </w:rPr>
              <w:t>7</w:t>
            </w:r>
          </w:p>
        </w:tc>
        <w:tc>
          <w:tcPr>
            <w:tcW w:type="dxa" w:w="850"/>
            <w:vAlign w:val="center"/>
          </w:tcPr>
          <w:p>
            <w:r>
              <w:rPr>
                <w:sz w:val="16"/>
              </w:rPr>
              <w:t>19</w:t>
            </w:r>
          </w:p>
        </w:tc>
      </w:tr>
      <w:tr>
        <w:trPr>
          <w:cantSplit/>
        </w:trPr>
        <w:tc>
          <w:tcPr>
            <w:tcW w:type="dxa" w:w="2721"/>
            <w:vAlign w:val="center"/>
          </w:tcPr>
          <w:p>
            <w:r>
              <w:rPr>
                <w:sz w:val="16"/>
              </w:rPr>
              <w:t>MSI</w:t>
            </w:r>
          </w:p>
        </w:tc>
        <w:tc>
          <w:tcPr>
            <w:tcW w:type="dxa" w:w="1134"/>
            <w:vAlign w:val="center"/>
          </w:tcPr>
          <w:p>
            <w:r>
              <w:rPr>
                <w:sz w:val="16"/>
              </w:rPr>
              <w:t>continuous</w:t>
            </w:r>
          </w:p>
        </w:tc>
        <w:tc>
          <w:tcPr>
            <w:tcW w:type="dxa" w:w="850"/>
            <w:vAlign w:val="center"/>
          </w:tcPr>
          <w:p>
            <w:r>
              <w:rPr>
                <w:sz w:val="16"/>
              </w:rPr>
              <w:t>60</w:t>
            </w:r>
          </w:p>
        </w:tc>
        <w:tc>
          <w:tcPr>
            <w:tcW w:type="dxa" w:w="850"/>
            <w:vAlign w:val="center"/>
          </w:tcPr>
          <w:p>
            <w:r>
              <w:rPr>
                <w:sz w:val="16"/>
              </w:rPr>
              <w:t>30</w:t>
            </w:r>
          </w:p>
        </w:tc>
        <w:tc>
          <w:tcPr>
            <w:tcW w:type="dxa" w:w="850"/>
            <w:vAlign w:val="center"/>
          </w:tcPr>
          <w:p>
            <w:r>
              <w:rPr>
                <w:sz w:val="16"/>
              </w:rPr>
              <w:t>0</w:t>
            </w:r>
          </w:p>
        </w:tc>
        <w:tc>
          <w:tcPr>
            <w:tcW w:type="dxa" w:w="850"/>
            <w:vAlign w:val="center"/>
          </w:tcPr>
          <w:p>
            <w:r>
              <w:rPr>
                <w:sz w:val="16"/>
              </w:rPr>
              <w:t>2</w:t>
            </w:r>
          </w:p>
        </w:tc>
        <w:tc>
          <w:tcPr>
            <w:tcW w:type="dxa" w:w="850"/>
            <w:vAlign w:val="center"/>
          </w:tcPr>
          <w:p>
            <w:r>
              <w:rPr>
                <w:sz w:val="16"/>
              </w:rPr>
              <w:t>58</w:t>
            </w:r>
          </w:p>
        </w:tc>
      </w:tr>
      <w:tr>
        <w:trPr>
          <w:cantSplit/>
        </w:trPr>
        <w:tc>
          <w:tcPr>
            <w:tcW w:type="dxa" w:w="2721"/>
            <w:vAlign w:val="center"/>
          </w:tcPr>
          <w:p>
            <w:r>
              <w:rPr>
                <w:sz w:val="16"/>
              </w:rPr>
              <w:t>MSI</w:t>
            </w:r>
          </w:p>
        </w:tc>
        <w:tc>
          <w:tcPr>
            <w:tcW w:type="dxa" w:w="1134"/>
            <w:vAlign w:val="center"/>
          </w:tcPr>
          <w:p>
            <w:r>
              <w:rPr>
                <w:sz w:val="16"/>
              </w:rPr>
              <w:t>binary</w:t>
            </w:r>
          </w:p>
        </w:tc>
        <w:tc>
          <w:tcPr>
            <w:tcW w:type="dxa" w:w="850"/>
            <w:vAlign w:val="center"/>
          </w:tcPr>
          <w:p>
            <w:r>
              <w:rPr>
                <w:sz w:val="16"/>
              </w:rPr>
              <w:t>3</w:t>
            </w:r>
          </w:p>
        </w:tc>
        <w:tc>
          <w:tcPr>
            <w:tcW w:type="dxa" w:w="850"/>
            <w:vAlign w:val="center"/>
          </w:tcPr>
          <w:p>
            <w:r>
              <w:rPr>
                <w:sz w:val="16"/>
              </w:rPr>
              <w:t>3</w:t>
            </w:r>
          </w:p>
        </w:tc>
        <w:tc>
          <w:tcPr>
            <w:tcW w:type="dxa" w:w="850"/>
            <w:vAlign w:val="center"/>
          </w:tcPr>
          <w:p>
            <w:r>
              <w:rPr>
                <w:sz w:val="16"/>
              </w:rPr>
              <w:t>2</w:t>
            </w:r>
          </w:p>
        </w:tc>
        <w:tc>
          <w:tcPr>
            <w:tcW w:type="dxa" w:w="850"/>
            <w:vAlign w:val="center"/>
          </w:tcPr>
          <w:p>
            <w:r>
              <w:rPr>
                <w:sz w:val="16"/>
              </w:rPr>
              <w:t>1</w:t>
            </w:r>
          </w:p>
        </w:tc>
        <w:tc>
          <w:tcPr>
            <w:tcW w:type="dxa" w:w="850"/>
            <w:vAlign w:val="center"/>
          </w:tcPr>
          <w:p>
            <w:r>
              <w:rPr>
                <w:sz w:val="16"/>
              </w:rPr>
              <w:t>0</w:t>
            </w:r>
          </w:p>
        </w:tc>
      </w:tr>
      <w:tr>
        <w:trPr>
          <w:cantSplit/>
        </w:trPr>
        <w:tc>
          <w:tcPr>
            <w:tcW w:type="dxa" w:w="2721"/>
            <w:vAlign w:val="center"/>
          </w:tcPr>
          <w:p>
            <w:r>
              <w:rPr>
                <w:sz w:val="16"/>
              </w:rPr>
              <w:t>strict MSI sensitivity</w:t>
            </w:r>
          </w:p>
        </w:tc>
        <w:tc>
          <w:tcPr>
            <w:tcW w:type="dxa" w:w="1134"/>
            <w:vAlign w:val="center"/>
          </w:tcPr>
          <w:p>
            <w:r>
              <w:rPr>
                <w:sz w:val="16"/>
              </w:rPr>
              <w:t>binary</w:t>
            </w:r>
          </w:p>
        </w:tc>
        <w:tc>
          <w:tcPr>
            <w:tcW w:type="dxa" w:w="850"/>
            <w:vAlign w:val="center"/>
          </w:tcPr>
          <w:p>
            <w:r>
              <w:rPr>
                <w:sz w:val="16"/>
              </w:rPr>
              <w:t>3</w:t>
            </w:r>
          </w:p>
        </w:tc>
        <w:tc>
          <w:tcPr>
            <w:tcW w:type="dxa" w:w="850"/>
            <w:vAlign w:val="center"/>
          </w:tcPr>
          <w:p>
            <w:r>
              <w:rPr>
                <w:sz w:val="16"/>
              </w:rPr>
              <w:t>3</w:t>
            </w:r>
          </w:p>
        </w:tc>
        <w:tc>
          <w:tcPr>
            <w:tcW w:type="dxa" w:w="850"/>
            <w:vAlign w:val="center"/>
          </w:tcPr>
          <w:p>
            <w:r>
              <w:rPr>
                <w:sz w:val="16"/>
              </w:rPr>
              <w:t>2</w:t>
            </w:r>
          </w:p>
        </w:tc>
        <w:tc>
          <w:tcPr>
            <w:tcW w:type="dxa" w:w="850"/>
            <w:vAlign w:val="center"/>
          </w:tcPr>
          <w:p>
            <w:r>
              <w:rPr>
                <w:sz w:val="16"/>
              </w:rPr>
              <w:t>1</w:t>
            </w:r>
          </w:p>
        </w:tc>
        <w:tc>
          <w:tcPr>
            <w:tcW w:type="dxa" w:w="850"/>
            <w:vAlign w:val="center"/>
          </w:tcPr>
          <w:p>
            <w:r>
              <w:rPr>
                <w:sz w:val="16"/>
              </w:rPr>
              <w:t>0</w:t>
            </w:r>
          </w:p>
        </w:tc>
      </w:tr>
      <w:tr>
        <w:trPr>
          <w:cantSplit/>
        </w:trPr>
        <w:tc>
          <w:tcPr>
            <w:tcW w:type="dxa" w:w="2721"/>
            <w:vAlign w:val="center"/>
          </w:tcPr>
          <w:p>
            <w:r>
              <w:rPr>
                <w:sz w:val="16"/>
              </w:rPr>
              <w:t>oncogenic pathway</w:t>
            </w:r>
          </w:p>
        </w:tc>
        <w:tc>
          <w:tcPr>
            <w:tcW w:type="dxa" w:w="1134"/>
            <w:vAlign w:val="center"/>
          </w:tcPr>
          <w:p>
            <w:r>
              <w:rPr>
                <w:sz w:val="16"/>
              </w:rPr>
              <w:t>binary</w:t>
            </w:r>
          </w:p>
        </w:tc>
        <w:tc>
          <w:tcPr>
            <w:tcW w:type="dxa" w:w="850"/>
            <w:vAlign w:val="center"/>
          </w:tcPr>
          <w:p>
            <w:r>
              <w:rPr>
                <w:sz w:val="16"/>
              </w:rPr>
              <w:t>166</w:t>
            </w:r>
          </w:p>
        </w:tc>
        <w:tc>
          <w:tcPr>
            <w:tcW w:type="dxa" w:w="850"/>
            <w:vAlign w:val="center"/>
          </w:tcPr>
          <w:p>
            <w:r>
              <w:rPr>
                <w:sz w:val="16"/>
              </w:rPr>
              <w:t>26</w:t>
            </w:r>
          </w:p>
        </w:tc>
        <w:tc>
          <w:tcPr>
            <w:tcW w:type="dxa" w:w="850"/>
            <w:vAlign w:val="center"/>
          </w:tcPr>
          <w:p>
            <w:r>
              <w:rPr>
                <w:sz w:val="16"/>
              </w:rPr>
              <w:t>7</w:t>
            </w:r>
          </w:p>
        </w:tc>
        <w:tc>
          <w:tcPr>
            <w:tcW w:type="dxa" w:w="850"/>
            <w:vAlign w:val="center"/>
          </w:tcPr>
          <w:p>
            <w:r>
              <w:rPr>
                <w:sz w:val="16"/>
              </w:rPr>
              <w:t>29</w:t>
            </w:r>
          </w:p>
        </w:tc>
        <w:tc>
          <w:tcPr>
            <w:tcW w:type="dxa" w:w="850"/>
            <w:vAlign w:val="center"/>
          </w:tcPr>
          <w:p>
            <w:r>
              <w:rPr>
                <w:sz w:val="16"/>
              </w:rPr>
              <w:t>130</w:t>
            </w:r>
          </w:p>
        </w:tc>
      </w:tr>
      <w:tr>
        <w:trPr>
          <w:cantSplit/>
        </w:trPr>
        <w:tc>
          <w:tcPr>
            <w:tcW w:type="dxa" w:w="2721"/>
            <w:vAlign w:val="center"/>
          </w:tcPr>
          <w:p>
            <w:r>
              <w:rPr>
                <w:sz w:val="16"/>
              </w:rPr>
              <w:t>Thorsson immune/genomic-context</w:t>
            </w:r>
          </w:p>
        </w:tc>
        <w:tc>
          <w:tcPr>
            <w:tcW w:type="dxa" w:w="1134"/>
            <w:vAlign w:val="center"/>
          </w:tcPr>
          <w:p>
            <w:r>
              <w:rPr>
                <w:sz w:val="16"/>
              </w:rPr>
              <w:t>continuous</w:t>
            </w:r>
          </w:p>
        </w:tc>
        <w:tc>
          <w:tcPr>
            <w:tcW w:type="dxa" w:w="850"/>
            <w:vAlign w:val="center"/>
          </w:tcPr>
          <w:p>
            <w:r>
              <w:rPr>
                <w:sz w:val="16"/>
              </w:rPr>
              <w:t>1434</w:t>
            </w:r>
          </w:p>
        </w:tc>
        <w:tc>
          <w:tcPr>
            <w:tcW w:type="dxa" w:w="850"/>
            <w:vAlign w:val="center"/>
          </w:tcPr>
          <w:p>
            <w:r>
              <w:rPr>
                <w:sz w:val="16"/>
              </w:rPr>
              <w:t>30</w:t>
            </w:r>
          </w:p>
        </w:tc>
        <w:tc>
          <w:tcPr>
            <w:tcW w:type="dxa" w:w="850"/>
            <w:vAlign w:val="center"/>
          </w:tcPr>
          <w:p>
            <w:r>
              <w:rPr>
                <w:sz w:val="16"/>
              </w:rPr>
              <w:t>37</w:t>
            </w:r>
          </w:p>
        </w:tc>
        <w:tc>
          <w:tcPr>
            <w:tcW w:type="dxa" w:w="850"/>
            <w:vAlign w:val="center"/>
          </w:tcPr>
          <w:p>
            <w:r>
              <w:rPr>
                <w:sz w:val="16"/>
              </w:rPr>
              <w:t>168</w:t>
            </w:r>
          </w:p>
        </w:tc>
        <w:tc>
          <w:tcPr>
            <w:tcW w:type="dxa" w:w="850"/>
            <w:vAlign w:val="center"/>
          </w:tcPr>
          <w:p>
            <w:r>
              <w:rPr>
                <w:sz w:val="16"/>
              </w:rPr>
              <w:t>1229</w:t>
            </w:r>
          </w:p>
        </w:tc>
      </w:tr>
    </w:tbl>
    <w:p/>
    <w:p>
      <w:pPr>
        <w:pStyle w:val="Heading2"/>
      </w:pPr>
      <w:r>
        <w:t>Continuous immune, genomic-context and instability phenotypes</w:t>
      </w:r>
    </w:p>
    <w:p>
      <w:r>
        <w:t>Among continuous targets, 37 were within-cancer screen-positive with higher effects and 182 with moderate effects. The strongest effects were TGCT–TGF-beta Response (0.670); THYM–Th17 Cells (0.638); THCA–Lymphocyte Infiltration Signature Score (0.580); BRCA–Wound Healing (0.527); THCA–TGF-beta Response (0.522); SARC–Macrophage Regulation (0.520); KIRP–Proliferation (0.515); LUAD–Proliferation (0.512); BRCA–Proliferation (0.510); THCA–Th1 Cells (0.503). These results were cancer specific: the same endpoint could be strongly predictable in one tumour type and screen-negative in another.</w:t>
      </w:r>
    </w:p>
    <w:p>
      <w:r>
        <w:t>Of 219 within-cancer screen-positive continuous pairs, 219 met q&lt;0.05 under the stricter across-cancer family sensitivity after the 999-permutation refinement. Pairs passing this sensitivity are identified explicitly in the figure and machine-readable table; the remainder are cancer-specific candidates. The 0.001 minimum completed-test p-value should be considered when interpreting large global families.</w:t>
      </w:r>
    </w:p>
    <w:p>
      <w:pPr>
        <w:jc w:val="center"/>
      </w:pPr>
      <w:r>
        <w:drawing>
          <wp:inline xmlns:a="http://schemas.openxmlformats.org/drawingml/2006/main" xmlns:pic="http://schemas.openxmlformats.org/drawingml/2006/picture">
            <wp:extent cx="5806440" cy="4952551"/>
            <wp:docPr id="2" name="Picture 2"/>
            <wp:cNvGraphicFramePr>
              <a:graphicFrameLocks noChangeAspect="1"/>
            </wp:cNvGraphicFramePr>
            <a:graphic>
              <a:graphicData uri="http://schemas.openxmlformats.org/drawingml/2006/picture">
                <pic:pic>
                  <pic:nvPicPr>
                    <pic:cNvPr id="0" name="Figure2_continuous_atlas.png"/>
                    <pic:cNvPicPr/>
                  </pic:nvPicPr>
                  <pic:blipFill>
                    <a:blip r:embed="rId12"/>
                    <a:stretch>
                      <a:fillRect/>
                    </a:stretch>
                  </pic:blipFill>
                  <pic:spPr>
                    <a:xfrm>
                      <a:off x="0" y="0"/>
                      <a:ext cx="5806440" cy="4952551"/>
                    </a:xfrm>
                    <a:prstGeom prst="rect"/>
                  </pic:spPr>
                </pic:pic>
              </a:graphicData>
            </a:graphic>
          </wp:inline>
        </w:drawing>
      </w:r>
    </w:p>
    <w:p>
      <w:pPr>
        <w:pStyle w:val="Caption"/>
        <w:jc w:val="center"/>
      </w:pPr>
      <w:r>
        <w:t>Figure 2. Strongest within-cancer screen-positive continuous cancer–endpoint results. Q² is calculated from genuine patient-level outer-fold predictions; all tests remain available in the machine-readable benchmark results.</w:t>
      </w:r>
    </w:p>
    <w:p>
      <w:pPr>
        <w:pStyle w:val="Heading2"/>
      </w:pPr>
      <w:r>
        <w:t>Binary molecular phenotypes</w:t>
      </w:r>
    </w:p>
    <w:p>
      <w:r>
        <w:t>The binary screen yielded 29 within-cancer higher-effect and 75 moderate-effect candidates. Leading results were THYM–GTF2I [mutation] (0.883); READ–APC [mutation] (0.862); READ–TP53 [mutation] (0.861); LGG–TP53 [mutation] (0.846); THCA–BRAF [mutation] (0.830); LGG–TP53 [pathway] (0.822); LGG–HIPPO [pathway] (0.811); COAD–APC [mutation] (0.793); UCEC–Any called fusion [fusion] (0.792); LGG–IDH1 [mutation] (0.786); COAD–MSI-H strict (MANTIS &gt;0.6) [strict MSI] (0.784); COAD–TP53 [mutation] (0.779). The complete table distinguishes tested-negative pairs from outcomes that failed prevalence or sample-size eligibility.</w:t>
      </w:r>
    </w:p>
    <w:p>
      <w:r>
        <w:t>Of 104 within-cancer screen-positive binary pairs, 102 also met the stricter across-cancer family q&lt;0.05, including 39 cancer–gene mutation pairs. Mutation pairs passing this stricter sensitivity are distinguished from those supported only within cancer; the 0.001 permutation resolution remains relevant for the full mutation family.</w:t>
      </w:r>
    </w:p>
    <w:p>
      <w:pPr>
        <w:jc w:val="center"/>
      </w:pPr>
      <w:r>
        <w:drawing>
          <wp:inline xmlns:a="http://schemas.openxmlformats.org/drawingml/2006/main" xmlns:pic="http://schemas.openxmlformats.org/drawingml/2006/picture">
            <wp:extent cx="5806440" cy="4873262"/>
            <wp:docPr id="3" name="Picture 3"/>
            <wp:cNvGraphicFramePr>
              <a:graphicFrameLocks noChangeAspect="1"/>
            </wp:cNvGraphicFramePr>
            <a:graphic>
              <a:graphicData uri="http://schemas.openxmlformats.org/drawingml/2006/picture">
                <pic:pic>
                  <pic:nvPicPr>
                    <pic:cNvPr id="0" name="Figure3_binary_atlas.png"/>
                    <pic:cNvPicPr/>
                  </pic:nvPicPr>
                  <pic:blipFill>
                    <a:blip r:embed="rId13"/>
                    <a:stretch>
                      <a:fillRect/>
                    </a:stretch>
                  </pic:blipFill>
                  <pic:spPr>
                    <a:xfrm>
                      <a:off x="0" y="0"/>
                      <a:ext cx="5806440" cy="4873262"/>
                    </a:xfrm>
                    <a:prstGeom prst="rect"/>
                  </pic:spPr>
                </pic:pic>
              </a:graphicData>
            </a:graphic>
          </wp:inline>
        </w:drawing>
      </w:r>
    </w:p>
    <w:p>
      <w:pPr>
        <w:pStyle w:val="Caption"/>
        <w:jc w:val="center"/>
      </w:pPr>
      <w:r>
        <w:t>Figure 3. Strongest within-cancer screen-positive binary molecular predictions using PLS latent scores and LDA. Point size represents the number of positive patients; colour indicates endpoint family and symbols report across-cancer correction status.</w:t>
      </w:r>
    </w:p>
    <w:p>
      <w:pPr>
        <w:jc w:val="center"/>
      </w:pPr>
      <w:r>
        <w:drawing>
          <wp:inline xmlns:a="http://schemas.openxmlformats.org/drawingml/2006/main" xmlns:pic="http://schemas.openxmlformats.org/drawingml/2006/picture">
            <wp:extent cx="5806440" cy="2806446"/>
            <wp:docPr id="4" name="Picture 4"/>
            <wp:cNvGraphicFramePr>
              <a:graphicFrameLocks noChangeAspect="1"/>
            </wp:cNvGraphicFramePr>
            <a:graphic>
              <a:graphicData uri="http://schemas.openxmlformats.org/drawingml/2006/picture">
                <pic:pic>
                  <pic:nvPicPr>
                    <pic:cNvPr id="0" name="Figure4_prediction_examples.png"/>
                    <pic:cNvPicPr/>
                  </pic:nvPicPr>
                  <pic:blipFill>
                    <a:blip r:embed="rId14"/>
                    <a:stretch>
                      <a:fillRect/>
                    </a:stretch>
                  </pic:blipFill>
                  <pic:spPr>
                    <a:xfrm>
                      <a:off x="0" y="0"/>
                      <a:ext cx="5806440" cy="2806446"/>
                    </a:xfrm>
                    <a:prstGeom prst="rect"/>
                  </pic:spPr>
                </pic:pic>
              </a:graphicData>
            </a:graphic>
          </wp:inline>
        </w:drawing>
      </w:r>
    </w:p>
    <w:p>
      <w:pPr>
        <w:pStyle w:val="Caption"/>
        <w:jc w:val="center"/>
      </w:pPr>
      <w:r>
        <w:t>Figure 4. Examples comparing observed outcomes with held-out predictions. Panel A shows the strongest primary patient-level nested-CV continuous result (TGCT TGF-beta Response); each point is one patient's observed value and genuine held-out prediction. Panel B shows the binary model with the largest mean repeated-CV balanced accuracy. Because independently fitted LDA scores need not share a raw scale, held-out scores are standardized within repeat before patient-level averaging for display; repeat-specific AUROCs use untransformed scores. These deliberately strong examples are illustrative, selection-conditioned internal TCGA results rather than external validation or calibration.</w:t>
      </w:r>
    </w:p>
    <w:p>
      <w:pPr>
        <w:pStyle w:val="Caption"/>
      </w:pPr>
      <w:r>
        <w:t>Table 3. Highlighted repeated nested-cross-validation performance with 95% patient-cluster bootstrap intervals.</w:t>
      </w:r>
    </w:p>
    <w:tbl>
      <w:tblPr>
        <w:tblStyle w:val="TableGrid"/>
        <w:tblW w:type="auto" w:w="0"/>
        <w:jc w:val="center"/>
        <w:tblLook w:firstColumn="1" w:firstRow="1" w:lastColumn="0" w:lastRow="0" w:noHBand="0" w:noVBand="1" w:val="04A0"/>
      </w:tblPr>
      <w:tblGrid>
        <w:gridCol w:w="1882"/>
        <w:gridCol w:w="1882"/>
        <w:gridCol w:w="1882"/>
        <w:gridCol w:w="1882"/>
        <w:gridCol w:w="1882"/>
      </w:tblGrid>
      <w:tr>
        <w:trPr>
          <w:tblHeader w:val="true"/>
          <w:cantSplit/>
        </w:trPr>
        <w:tc>
          <w:tcPr>
            <w:tcW w:type="dxa" w:w="1882"/>
          </w:tcPr>
          <w:p>
            <w:r>
              <w:rPr>
                <w:b/>
                <w:sz w:val="17"/>
              </w:rPr>
              <w:t>Cancer–endpoint</w:t>
            </w:r>
          </w:p>
        </w:tc>
        <w:tc>
          <w:tcPr>
            <w:tcW w:type="dxa" w:w="1882"/>
          </w:tcPr>
          <w:p>
            <w:r>
              <w:rPr>
                <w:b/>
                <w:sz w:val="17"/>
              </w:rPr>
              <w:t>Type</w:t>
            </w:r>
          </w:p>
        </w:tc>
        <w:tc>
          <w:tcPr>
            <w:tcW w:type="dxa" w:w="1882"/>
          </w:tcPr>
          <w:p>
            <w:r>
              <w:rPr>
                <w:b/>
                <w:sz w:val="17"/>
              </w:rPr>
              <w:t>Q² or Se/Sp (95% CI)</w:t>
            </w:r>
          </w:p>
        </w:tc>
        <w:tc>
          <w:tcPr>
            <w:tcW w:type="dxa" w:w="1882"/>
          </w:tcPr>
          <w:p>
            <w:r>
              <w:rPr>
                <w:b/>
                <w:sz w:val="17"/>
              </w:rPr>
              <w:t>RMSE or BA (95% CI)</w:t>
            </w:r>
          </w:p>
        </w:tc>
        <w:tc>
          <w:tcPr>
            <w:tcW w:type="dxa" w:w="1882"/>
          </w:tcPr>
          <w:p>
            <w:r>
              <w:rPr>
                <w:b/>
                <w:sz w:val="17"/>
              </w:rPr>
              <w:t>Spearman or AUROC (95% CI)</w:t>
            </w:r>
          </w:p>
        </w:tc>
      </w:tr>
      <w:tr>
        <w:trPr>
          <w:cantSplit/>
        </w:trPr>
        <w:tc>
          <w:tcPr>
            <w:tcW w:type="dxa" w:w="1882"/>
            <w:vAlign w:val="center"/>
          </w:tcPr>
          <w:p>
            <w:r>
              <w:rPr>
                <w:sz w:val="16"/>
              </w:rPr>
              <w:t>TGCT–TGF-beta Response</w:t>
            </w:r>
          </w:p>
        </w:tc>
        <w:tc>
          <w:tcPr>
            <w:tcW w:type="dxa" w:w="1882"/>
            <w:vAlign w:val="center"/>
          </w:tcPr>
          <w:p>
            <w:r>
              <w:rPr>
                <w:sz w:val="16"/>
              </w:rPr>
              <w:t>continuous</w:t>
            </w:r>
          </w:p>
        </w:tc>
        <w:tc>
          <w:tcPr>
            <w:tcW w:type="dxa" w:w="1882"/>
            <w:vAlign w:val="center"/>
          </w:tcPr>
          <w:p>
            <w:r>
              <w:rPr>
                <w:sz w:val="16"/>
              </w:rPr>
              <w:t>0.670 (0.573–0.741)</w:t>
            </w:r>
          </w:p>
        </w:tc>
        <w:tc>
          <w:tcPr>
            <w:tcW w:type="dxa" w:w="1882"/>
            <w:vAlign w:val="center"/>
          </w:tcPr>
          <w:p>
            <w:r>
              <w:rPr>
                <w:sz w:val="16"/>
              </w:rPr>
              <w:t>0.303 (0.269–0.337)</w:t>
            </w:r>
          </w:p>
        </w:tc>
        <w:tc>
          <w:tcPr>
            <w:tcW w:type="dxa" w:w="1882"/>
            <w:vAlign w:val="center"/>
          </w:tcPr>
          <w:p>
            <w:r>
              <w:rPr>
                <w:sz w:val="16"/>
              </w:rPr>
              <w:t>0.791 (0.713–0.842)</w:t>
            </w:r>
          </w:p>
        </w:tc>
      </w:tr>
      <w:tr>
        <w:trPr>
          <w:cantSplit/>
        </w:trPr>
        <w:tc>
          <w:tcPr>
            <w:tcW w:type="dxa" w:w="1882"/>
            <w:vAlign w:val="center"/>
          </w:tcPr>
          <w:p>
            <w:r>
              <w:rPr>
                <w:sz w:val="16"/>
              </w:rPr>
              <w:t>THYM–Th17 Cells</w:t>
            </w:r>
          </w:p>
        </w:tc>
        <w:tc>
          <w:tcPr>
            <w:tcW w:type="dxa" w:w="1882"/>
            <w:vAlign w:val="center"/>
          </w:tcPr>
          <w:p>
            <w:r>
              <w:rPr>
                <w:sz w:val="16"/>
              </w:rPr>
              <w:t>continuous</w:t>
            </w:r>
          </w:p>
        </w:tc>
        <w:tc>
          <w:tcPr>
            <w:tcW w:type="dxa" w:w="1882"/>
            <w:vAlign w:val="center"/>
          </w:tcPr>
          <w:p>
            <w:r>
              <w:rPr>
                <w:sz w:val="16"/>
              </w:rPr>
              <w:t>0.594 (0.455–0.698)</w:t>
            </w:r>
          </w:p>
        </w:tc>
        <w:tc>
          <w:tcPr>
            <w:tcW w:type="dxa" w:w="1882"/>
            <w:vAlign w:val="center"/>
          </w:tcPr>
          <w:p>
            <w:r>
              <w:rPr>
                <w:sz w:val="16"/>
              </w:rPr>
              <w:t>1743.443 (1514.535–1979.481)</w:t>
            </w:r>
          </w:p>
        </w:tc>
        <w:tc>
          <w:tcPr>
            <w:tcW w:type="dxa" w:w="1882"/>
            <w:vAlign w:val="center"/>
          </w:tcPr>
          <w:p>
            <w:r>
              <w:rPr>
                <w:sz w:val="16"/>
              </w:rPr>
              <w:t>0.738 (0.636–0.811)</w:t>
            </w:r>
          </w:p>
        </w:tc>
      </w:tr>
      <w:tr>
        <w:trPr>
          <w:cantSplit/>
        </w:trPr>
        <w:tc>
          <w:tcPr>
            <w:tcW w:type="dxa" w:w="1882"/>
            <w:vAlign w:val="center"/>
          </w:tcPr>
          <w:p>
            <w:r>
              <w:rPr>
                <w:sz w:val="16"/>
              </w:rPr>
              <w:t>THCA–Lymphocyte Infiltration Signature Score</w:t>
            </w:r>
          </w:p>
        </w:tc>
        <w:tc>
          <w:tcPr>
            <w:tcW w:type="dxa" w:w="1882"/>
            <w:vAlign w:val="center"/>
          </w:tcPr>
          <w:p>
            <w:r>
              <w:rPr>
                <w:sz w:val="16"/>
              </w:rPr>
              <w:t>continuous</w:t>
            </w:r>
          </w:p>
        </w:tc>
        <w:tc>
          <w:tcPr>
            <w:tcW w:type="dxa" w:w="1882"/>
            <w:vAlign w:val="center"/>
          </w:tcPr>
          <w:p>
            <w:r>
              <w:rPr>
                <w:sz w:val="16"/>
              </w:rPr>
              <w:t>0.577 (0.511–0.636)</w:t>
            </w:r>
          </w:p>
        </w:tc>
        <w:tc>
          <w:tcPr>
            <w:tcW w:type="dxa" w:w="1882"/>
            <w:vAlign w:val="center"/>
          </w:tcPr>
          <w:p>
            <w:r>
              <w:rPr>
                <w:sz w:val="16"/>
              </w:rPr>
              <w:t>0.781 (0.722–0.844)</w:t>
            </w:r>
          </w:p>
        </w:tc>
        <w:tc>
          <w:tcPr>
            <w:tcW w:type="dxa" w:w="1882"/>
            <w:vAlign w:val="center"/>
          </w:tcPr>
          <w:p>
            <w:r>
              <w:rPr>
                <w:sz w:val="16"/>
              </w:rPr>
              <w:t>0.742 (0.693–0.786)</w:t>
            </w:r>
          </w:p>
        </w:tc>
      </w:tr>
      <w:tr>
        <w:trPr>
          <w:cantSplit/>
        </w:trPr>
        <w:tc>
          <w:tcPr>
            <w:tcW w:type="dxa" w:w="1882"/>
            <w:vAlign w:val="center"/>
          </w:tcPr>
          <w:p>
            <w:r>
              <w:rPr>
                <w:sz w:val="16"/>
              </w:rPr>
              <w:t>BRCA–Wound Healing</w:t>
            </w:r>
          </w:p>
        </w:tc>
        <w:tc>
          <w:tcPr>
            <w:tcW w:type="dxa" w:w="1882"/>
            <w:vAlign w:val="center"/>
          </w:tcPr>
          <w:p>
            <w:r>
              <w:rPr>
                <w:sz w:val="16"/>
              </w:rPr>
              <w:t>continuous</w:t>
            </w:r>
          </w:p>
        </w:tc>
        <w:tc>
          <w:tcPr>
            <w:tcW w:type="dxa" w:w="1882"/>
            <w:vAlign w:val="center"/>
          </w:tcPr>
          <w:p>
            <w:r>
              <w:rPr>
                <w:sz w:val="16"/>
              </w:rPr>
              <w:t>0.528 (0.483–0.569)</w:t>
            </w:r>
          </w:p>
        </w:tc>
        <w:tc>
          <w:tcPr>
            <w:tcW w:type="dxa" w:w="1882"/>
            <w:vAlign w:val="center"/>
          </w:tcPr>
          <w:p>
            <w:r>
              <w:rPr>
                <w:sz w:val="16"/>
              </w:rPr>
              <w:t>0.111 (0.106–0.116)</w:t>
            </w:r>
          </w:p>
        </w:tc>
        <w:tc>
          <w:tcPr>
            <w:tcW w:type="dxa" w:w="1882"/>
            <w:vAlign w:val="center"/>
          </w:tcPr>
          <w:p>
            <w:r>
              <w:rPr>
                <w:sz w:val="16"/>
              </w:rPr>
              <w:t>0.724 (0.694–0.753)</w:t>
            </w:r>
          </w:p>
        </w:tc>
      </w:tr>
      <w:tr>
        <w:trPr>
          <w:cantSplit/>
        </w:trPr>
        <w:tc>
          <w:tcPr>
            <w:tcW w:type="dxa" w:w="1882"/>
            <w:vAlign w:val="center"/>
          </w:tcPr>
          <w:p>
            <w:r>
              <w:rPr>
                <w:sz w:val="16"/>
              </w:rPr>
              <w:t>LGG–TP53</w:t>
            </w:r>
          </w:p>
        </w:tc>
        <w:tc>
          <w:tcPr>
            <w:tcW w:type="dxa" w:w="1882"/>
            <w:vAlign w:val="center"/>
          </w:tcPr>
          <w:p>
            <w:r>
              <w:rPr>
                <w:sz w:val="16"/>
              </w:rPr>
              <w:t>binary</w:t>
            </w:r>
          </w:p>
        </w:tc>
        <w:tc>
          <w:tcPr>
            <w:tcW w:type="dxa" w:w="1882"/>
            <w:vAlign w:val="center"/>
          </w:tcPr>
          <w:p>
            <w:r>
              <w:rPr>
                <w:sz w:val="16"/>
              </w:rPr>
              <w:t>Se 0.839 (0.795–0.877); Sp 0.885 (0.848–0.920)</w:t>
            </w:r>
          </w:p>
        </w:tc>
        <w:tc>
          <w:tcPr>
            <w:tcW w:type="dxa" w:w="1882"/>
            <w:vAlign w:val="center"/>
          </w:tcPr>
          <w:p>
            <w:r>
              <w:rPr>
                <w:sz w:val="16"/>
              </w:rPr>
              <w:t>BA 0.862 (0.833–0.888)</w:t>
            </w:r>
          </w:p>
        </w:tc>
        <w:tc>
          <w:tcPr>
            <w:tcW w:type="dxa" w:w="1882"/>
            <w:vAlign w:val="center"/>
          </w:tcPr>
          <w:p>
            <w:r>
              <w:rPr>
                <w:sz w:val="16"/>
              </w:rPr>
              <w:t>AUROC 0.908 (0.880–0.932)</w:t>
            </w:r>
          </w:p>
        </w:tc>
      </w:tr>
      <w:tr>
        <w:trPr>
          <w:cantSplit/>
        </w:trPr>
        <w:tc>
          <w:tcPr>
            <w:tcW w:type="dxa" w:w="1882"/>
            <w:vAlign w:val="center"/>
          </w:tcPr>
          <w:p>
            <w:r>
              <w:rPr>
                <w:sz w:val="16"/>
              </w:rPr>
              <w:t>THYM–GTF2I</w:t>
            </w:r>
          </w:p>
        </w:tc>
        <w:tc>
          <w:tcPr>
            <w:tcW w:type="dxa" w:w="1882"/>
            <w:vAlign w:val="center"/>
          </w:tcPr>
          <w:p>
            <w:r>
              <w:rPr>
                <w:sz w:val="16"/>
              </w:rPr>
              <w:t>binary</w:t>
            </w:r>
          </w:p>
        </w:tc>
        <w:tc>
          <w:tcPr>
            <w:tcW w:type="dxa" w:w="1882"/>
            <w:vAlign w:val="center"/>
          </w:tcPr>
          <w:p>
            <w:r>
              <w:rPr>
                <w:sz w:val="16"/>
              </w:rPr>
              <w:t>Se 0.878 (0.804–0.940); Sp 0.839 (0.748–0.916)</w:t>
            </w:r>
          </w:p>
        </w:tc>
        <w:tc>
          <w:tcPr>
            <w:tcW w:type="dxa" w:w="1882"/>
            <w:vAlign w:val="center"/>
          </w:tcPr>
          <w:p>
            <w:r>
              <w:rPr>
                <w:sz w:val="16"/>
              </w:rPr>
              <w:t>BA 0.859 (0.803–0.905)</w:t>
            </w:r>
          </w:p>
        </w:tc>
        <w:tc>
          <w:tcPr>
            <w:tcW w:type="dxa" w:w="1882"/>
            <w:vAlign w:val="center"/>
          </w:tcPr>
          <w:p>
            <w:r>
              <w:rPr>
                <w:sz w:val="16"/>
              </w:rPr>
              <w:t>AUROC 0.907 (0.852–0.955)</w:t>
            </w:r>
          </w:p>
        </w:tc>
      </w:tr>
      <w:tr>
        <w:trPr>
          <w:cantSplit/>
        </w:trPr>
        <w:tc>
          <w:tcPr>
            <w:tcW w:type="dxa" w:w="1882"/>
            <w:vAlign w:val="center"/>
          </w:tcPr>
          <w:p>
            <w:r>
              <w:rPr>
                <w:sz w:val="16"/>
              </w:rPr>
              <w:t>READ–TP53</w:t>
            </w:r>
          </w:p>
        </w:tc>
        <w:tc>
          <w:tcPr>
            <w:tcW w:type="dxa" w:w="1882"/>
            <w:vAlign w:val="center"/>
          </w:tcPr>
          <w:p>
            <w:r>
              <w:rPr>
                <w:sz w:val="16"/>
              </w:rPr>
              <w:t>binary</w:t>
            </w:r>
          </w:p>
        </w:tc>
        <w:tc>
          <w:tcPr>
            <w:tcW w:type="dxa" w:w="1882"/>
            <w:vAlign w:val="center"/>
          </w:tcPr>
          <w:p>
            <w:r>
              <w:rPr>
                <w:sz w:val="16"/>
              </w:rPr>
              <w:t>Se 0.912 (0.855–0.966); Sp 0.803 (0.704–0.890)</w:t>
            </w:r>
          </w:p>
        </w:tc>
        <w:tc>
          <w:tcPr>
            <w:tcW w:type="dxa" w:w="1882"/>
            <w:vAlign w:val="center"/>
          </w:tcPr>
          <w:p>
            <w:r>
              <w:rPr>
                <w:sz w:val="16"/>
              </w:rPr>
              <w:t>BA 0.858 (0.801–0.910)</w:t>
            </w:r>
          </w:p>
        </w:tc>
        <w:tc>
          <w:tcPr>
            <w:tcW w:type="dxa" w:w="1882"/>
            <w:vAlign w:val="center"/>
          </w:tcPr>
          <w:p>
            <w:r>
              <w:rPr>
                <w:sz w:val="16"/>
              </w:rPr>
              <w:t>AUROC 0.912 (0.860–0.956)</w:t>
            </w:r>
          </w:p>
        </w:tc>
      </w:tr>
      <w:tr>
        <w:trPr>
          <w:cantSplit/>
        </w:trPr>
        <w:tc>
          <w:tcPr>
            <w:tcW w:type="dxa" w:w="1882"/>
            <w:vAlign w:val="center"/>
          </w:tcPr>
          <w:p>
            <w:r>
              <w:rPr>
                <w:sz w:val="16"/>
              </w:rPr>
              <w:t>THCA–BRAF</w:t>
            </w:r>
          </w:p>
        </w:tc>
        <w:tc>
          <w:tcPr>
            <w:tcW w:type="dxa" w:w="1882"/>
            <w:vAlign w:val="center"/>
          </w:tcPr>
          <w:p>
            <w:r>
              <w:rPr>
                <w:sz w:val="16"/>
              </w:rPr>
              <w:t>binary</w:t>
            </w:r>
          </w:p>
        </w:tc>
        <w:tc>
          <w:tcPr>
            <w:tcW w:type="dxa" w:w="1882"/>
            <w:vAlign w:val="center"/>
          </w:tcPr>
          <w:p>
            <w:r>
              <w:rPr>
                <w:sz w:val="16"/>
              </w:rPr>
              <w:t>Se 0.926 (0.897–0.952); Sp 0.747 (0.688–0.801)</w:t>
            </w:r>
          </w:p>
        </w:tc>
        <w:tc>
          <w:tcPr>
            <w:tcW w:type="dxa" w:w="1882"/>
            <w:vAlign w:val="center"/>
          </w:tcPr>
          <w:p>
            <w:r>
              <w:rPr>
                <w:sz w:val="16"/>
              </w:rPr>
              <w:t>BA 0.837 (0.805–0.866)</w:t>
            </w:r>
          </w:p>
        </w:tc>
        <w:tc>
          <w:tcPr>
            <w:tcW w:type="dxa" w:w="1882"/>
            <w:vAlign w:val="center"/>
          </w:tcPr>
          <w:p>
            <w:r>
              <w:rPr>
                <w:sz w:val="16"/>
              </w:rPr>
              <w:t>AUROC 0.894 (0.862–0.924)</w:t>
            </w:r>
          </w:p>
        </w:tc>
      </w:tr>
    </w:tbl>
    <w:p/>
    <w:p>
      <w:pPr>
        <w:jc w:val="center"/>
      </w:pPr>
      <w:r>
        <w:drawing>
          <wp:inline xmlns:a="http://schemas.openxmlformats.org/drawingml/2006/main" xmlns:pic="http://schemas.openxmlformats.org/drawingml/2006/picture">
            <wp:extent cx="5806440" cy="4125628"/>
            <wp:docPr id="5" name="Picture 5"/>
            <wp:cNvGraphicFramePr>
              <a:graphicFrameLocks noChangeAspect="1"/>
            </wp:cNvGraphicFramePr>
            <a:graphic>
              <a:graphicData uri="http://schemas.openxmlformats.org/drawingml/2006/picture">
                <pic:pic>
                  <pic:nvPicPr>
                    <pic:cNvPr id="0" name="Figure5_supported_counts.png"/>
                    <pic:cNvPicPr/>
                  </pic:nvPicPr>
                  <pic:blipFill>
                    <a:blip r:embed="rId15"/>
                    <a:stretch>
                      <a:fillRect/>
                    </a:stretch>
                  </pic:blipFill>
                  <pic:spPr>
                    <a:xfrm>
                      <a:off x="0" y="0"/>
                      <a:ext cx="5806440" cy="4125628"/>
                    </a:xfrm>
                    <a:prstGeom prst="rect"/>
                  </pic:spPr>
                </pic:pic>
              </a:graphicData>
            </a:graphic>
          </wp:inline>
        </w:drawing>
      </w:r>
    </w:p>
    <w:p>
      <w:pPr>
        <w:pStyle w:val="Caption"/>
        <w:jc w:val="center"/>
      </w:pPr>
      <w:r>
        <w:t>Figure 5. Breadth and family of within-cancer screen-positive prediction targets. Absence of an eligible target is distinct from a tested screen-negative result.</w:t>
      </w:r>
    </w:p>
    <w:p>
      <w:pPr>
        <w:pStyle w:val="Heading2"/>
      </w:pPr>
      <w:r>
        <w:t>Exportable linear baseline comparison</w:t>
      </w:r>
    </w:p>
    <w:p>
      <w:r>
        <w:t>Among the 12 highlighted binary models, the median ridge-minus-PLS balanced-accuracy difference was 0.007 (IQR -0.004 to 0.014); ridge had a paired-repeat interval above zero for 2 models, PLS for 1, and 9 differences were uncertain. For the 12 continuous models, the median ridge-minus-PLS Q² difference was 0.014 (IQR 0.007 to 0.017); ridge was favoured for 7, PLS for 2, and 3 were uncertain. Thus PLS was competitive but not uniformly superior to a simpler exportable linear model. Because the benchmark was restricted to PLS-highlighted results, the prespecified PLS workflow was retained and the comparison is reported as selection-conditioned sensitivity evidence rather than a basis for post-screen method switching.</w:t>
      </w:r>
    </w:p>
    <w:p>
      <w:pPr>
        <w:pStyle w:val="Heading2"/>
      </w:pPr>
      <w:r>
        <w:t>Site and multiple-slide sensitivity</w:t>
      </w:r>
    </w:p>
    <w:p>
      <w:r>
        <w:t>Site-grouped validation was feasible for 323 screen-positive models. Although the median grouped-minus-random performance change was only -0.026, 83/323 models (25.7%) fell below the original effect threshold: 58/219 continuous models and 25/104 binary models. Prominent attenuations were READ–APC (balanced accuracy 0.862 to 0.495); COAD–APC (balanced accuracy 0.793 to 0.543); PCPG–Cell Cycle (balanced accuracy 0.686 to 0.476); LIHC–CTNNB1 (balanced accuracy 0.668 to 0.565); OV–TCR Shannon (Q² 0.206 to -0.551); COAD–SNV Neoantigens (Q² 0.239 to -0.013). The site-grouped folds contain fewer and less evenly distributed training patients, so the decline cannot be attributed solely to site artefact; nevertheless, the near-chance colorectal APC results are not adequately summarised by the median and are treated as site-sensitive. The first-slide-minus-mean-pool median change across screen-positive models was -0.001.</w:t>
      </w:r>
    </w:p>
    <w:p>
      <w:pPr>
        <w:jc w:val="center"/>
      </w:pPr>
      <w:r>
        <w:drawing>
          <wp:inline xmlns:a="http://schemas.openxmlformats.org/drawingml/2006/main" xmlns:pic="http://schemas.openxmlformats.org/drawingml/2006/picture">
            <wp:extent cx="5806440" cy="3182376"/>
            <wp:docPr id="6" name="Picture 6"/>
            <wp:cNvGraphicFramePr>
              <a:graphicFrameLocks noChangeAspect="1"/>
            </wp:cNvGraphicFramePr>
            <a:graphic>
              <a:graphicData uri="http://schemas.openxmlformats.org/drawingml/2006/picture">
                <pic:pic>
                  <pic:nvPicPr>
                    <pic:cNvPr id="0" name="Figure6_site_grouped_sensitivity.png"/>
                    <pic:cNvPicPr/>
                  </pic:nvPicPr>
                  <pic:blipFill>
                    <a:blip r:embed="rId16"/>
                    <a:stretch>
                      <a:fillRect/>
                    </a:stretch>
                  </pic:blipFill>
                  <pic:spPr>
                    <a:xfrm>
                      <a:off x="0" y="0"/>
                      <a:ext cx="5806440" cy="3182376"/>
                    </a:xfrm>
                    <a:prstGeom prst="rect"/>
                  </pic:spPr>
                </pic:pic>
              </a:graphicData>
            </a:graphic>
          </wp:inline>
        </w:drawing>
      </w:r>
    </w:p>
    <w:p>
      <w:pPr>
        <w:pStyle w:val="Caption"/>
        <w:jc w:val="center"/>
      </w:pPr>
      <w:r>
        <w:t>Figure 6. Random-fold versus tissue-source-site-grouped internal validation. Values below the diagonal indicate attenuation when submitting tissue-source sites are separated.</w:t>
      </w:r>
    </w:p>
    <w:p>
      <w:pPr>
        <w:pStyle w:val="Heading2"/>
      </w:pPr>
      <w:r>
        <w:t>Reusable multi-endpoint inference and COAD illustration</w:t>
      </w:r>
    </w:p>
    <w:p>
      <w:r>
        <w:t>The TITANPred R package exposes 323 fitted models (219 continuous and 104 binary) across 27 cancers [32]. Users supply a cancer vector and correctly named 768-dimensional TITAN features; the interface applies every bundled model available for that cancer. Repeated patient identifiers are mean-pooled before inference. Continuous outputs retain source endpoint units and are positioned against repeated out-of-fold reference distributions; binary outputs comprise the fitted PLS-LDA class and uncalibrated LDA score. The binary display labels its TCGA out-of-fold score rank explicitly as a rank rather than a probability and places training positive/negative counts, prevalence, repeated-CV performance and any limited-class-size warning beside the call. A single-sample report renders all available continuous endpoints as a radar, with the exact reference percentile and original prediction printed at every corner, and displays binary calls with provenance and out-of-distribution diagnostics. The report ends with definitions of every displayed endpoint and citations for the data source used to construct each TCGA model target.</w:t>
      </w:r>
    </w:p>
    <w:p>
      <w:r>
        <w:t>COAD was chosen as a deployment illustration because colorectal cancer, of which colon adenocarcinoma is a major component, accounted for 1,926,425 new cases worldwide in 2022 [31], and COAD contributed 20 supported models (10 continuous and 10 binary). APC, TP53, KRAS and BRAF prediction from colorectal histology had already been evaluated in pooled colorectal and/or exact-COAD studies; these models are therefore replications or extensions under a different representation and validation framework, not bibliographically novel mutation targets. For visualization, we first restricted candidates to cases with a non-empty slide report that described a sigmoid-colon, moderately differentiated, pT3 adenocarcinoma with clear margins, and then required that no case had more than two of ten continuous predictions outside the first to 99th percentile. Among pairs sharing recorded sex and site, TCGA-AA-A01F and TCGA-AA-3972 had the largest Euclidean separation across the complete continuous prediction-percentile profile. This produced clinically comparable examples with predominantly intermediate rather than saturated values. Example A had higher MSI, mutation-rate and TIL predictions and lower aneuploidy predictions, whereas example B showed the converse pattern (Figure 7). The selection is an internal deployment demonstration, not a validation analysis or an estimate of clinical prevalence.</w:t>
      </w:r>
    </w:p>
    <w:p>
      <w:r>
        <w:t>The accompanying pathology text is paraphrased from TCGA-Slide-Reports.csv rather than reproduced verbatim. For TCGA-AA-A01F, the report describes an ulcerated grade-2 sigmoid adenocarcinoma extending through the muscular wall into pericolic fat (pT3), with uninvolved resection ends, lymphatic invasion and two involved nodes among 30 examined (pN1). For TCGA-AA-3972, it describes an ulcerated grade-2 sigmoid colorectal adenocarcinoma extending through the bowel wall into mesocolic fat (pT3), with uninvolved proximal and distal margins; a nodal category was not stated in the supplied slide summary.</w:t>
      </w:r>
    </w:p>
    <w:p>
      <w:r>
        <w:t>Public NCI Genomic Data Commons case records provide treatment context [33]. TCGA-AA-A01F received fluorouracil, leucovorin and oxaliplatin, for which the recorded treatment outcome was complete response. TCGA-AA-3972 received capecitabine plus oxaliplatin and, later, fluorouracil, leucovorin, oxaliplatin and bevacizumab; progressive disease was recorded for both treatment records, with recurrence documented later in follow-up. These fields are descriptive public metadata and were not predictors, training targets or validation outcomes. The examples therefore do not evaluate response prediction or treatment effect.</w:t>
      </w:r>
    </w:p>
    <w:p>
      <w:pPr>
        <w:jc w:val="center"/>
      </w:pPr>
      <w:r>
        <w:drawing>
          <wp:inline xmlns:a="http://schemas.openxmlformats.org/drawingml/2006/main" xmlns:pic="http://schemas.openxmlformats.org/drawingml/2006/picture">
            <wp:extent cx="6126480" cy="5198225"/>
            <wp:docPr id="7" name="Picture 7"/>
            <wp:cNvGraphicFramePr>
              <a:graphicFrameLocks noChangeAspect="1"/>
            </wp:cNvGraphicFramePr>
            <a:graphic>
              <a:graphicData uri="http://schemas.openxmlformats.org/drawingml/2006/picture">
                <pic:pic>
                  <pic:nvPicPr>
                    <pic:cNvPr id="0" name="Figure7_COAD_TITANPred_examples.png"/>
                    <pic:cNvPicPr/>
                  </pic:nvPicPr>
                  <pic:blipFill>
                    <a:blip r:embed="rId17"/>
                    <a:stretch>
                      <a:fillRect/>
                    </a:stretch>
                  </pic:blipFill>
                  <pic:spPr>
                    <a:xfrm>
                      <a:off x="0" y="0"/>
                      <a:ext cx="6126480" cy="5198225"/>
                    </a:xfrm>
                    <a:prstGeom prst="rect"/>
                  </pic:spPr>
                </pic:pic>
              </a:graphicData>
            </a:graphic>
          </wp:inline>
        </w:drawing>
      </w:r>
    </w:p>
    <w:p>
      <w:pPr>
        <w:pStyle w:val="Caption"/>
        <w:jc w:val="center"/>
      </w:pPr>
      <w:r>
        <w:t>Figure 7. TITANPred deployment illustration in two clinically comparable COAD cases. Panels A and B show all ten continuous predictions for TCGA-AA-A01F and TCGA-AA-3972, respectively. Silent mutation rate and SNV neoantigens flank nonsilent mutation rate in the semantic axis order. Every radar corner reports the exact percentile relative to corrected repeated out-of-fold TCGA predictions and the original model prediction in the analysed endpoint units; the percentiles are not clinical reference ranges. Panel C shows binary PLS-LDA calls and explicitly labelled TCGA out-of-fold LDA-score ranks; filled points denote positive calls, and ranks are not probabilities. Training n and class counts accompany each binary endpoint. The cases share sex, sigmoid site, grade, pT3 category and clear margins and were selected after limiting saturated continuous profiles. They are full-cohort deployment examples and do not provide external validation.</w:t>
      </w:r>
    </w:p>
    <w:p>
      <w:pPr>
        <w:pStyle w:val="Heading1"/>
      </w:pPr>
      <w:r>
        <w:t>Discussion</w:t>
      </w:r>
    </w:p>
    <w:p>
      <w:r>
        <w:t>This study is best interpreted as a systematic patient-level benchmark and reusable fitted-model resource, not as the first pan-cancer molecular-prediction study or a catalogue of unprecedented mutation targets. It answers a target-by-target, cancer-specific question using one fixed pretrained TITAN representation. Selected immune programmes, mutations and higher-level genomic phenotypes were predictable, but most eligible pairs did not satisfy both multiplicity and effect thresholds. That heterogeneity—and transparent negative and ineligible reporting—is the primary empirical result. Under the stricter across-cancer family correction, 219 continuous and 39 mutation pairs passed; the remaining within-cancer candidates should not be interpreted as pan-cancer biomarkers. Conversely, global non-passage cannot be interpreted as evidence of no signal because the 0.001 empirical-p resolution restricts attainable q-values in large families.</w:t>
      </w:r>
    </w:p>
    <w:p>
      <w:r>
        <w:t>The closest breadth comparator is Arslan et al., who already trained 12,093 target-specific models for 4,031 multi-omic biomarkers in 8,890 TCGA patients across the same 32 cancers [13]. The present study is smaller in endpoint breadth and lacks external validation. Its differentiating elements are instead the fixed pretrained representation, deterministic pre-outcome patient aggregation, nested patient-level validation, complete tested-negative and ineligible outputs, target-level site-grouped sensitivity, continuous modelling of selected immune and genomic-context measures, and distribution of compact fitted linear predictors. Table 1 makes these distinctions explicit and prevents breadth or endpoint novelty from being inferred from the study framing.</w:t>
      </w:r>
    </w:p>
    <w:p>
      <w:r>
        <w:t>The relevant literature spans substantially different validation settings and metrics. For MSI, Kather et al. reported external AUROCs of 0.84 (95% CI 0.72–0.92) in DACHS colorectal cancer and 0.69 (0.52–0.82) in an external gastric cohort, whereas Echle et al. reported an external dMMR AUROC of 0.96 in a 771-case cohort [2,3]. For fusion prediction, Dadhania et al. reported ERG AUROCs of 0.82–0.85, and Mayer et al. reported 100% sensitivity with 100% and 98.6% specificity for ALK and ROS1, respectively, in a small external set [9,10]. Saldanha et al. externally evaluated mutation models in CPTAC, Bergstrom et al. reported external breast HRD AUROC 0.76 (0.71–0.82), and HistoTME reported mean external cell-composition correlation 0.50 and immunotherapy-response AUROC 0.75 (0.61–0.88) [11,14,15]. These externally tested results set a stronger validation standard than the internal TCGA estimates presented here; metric, endpoint and cohort differences preclude claims of direct superiority.</w:t>
      </w:r>
    </w:p>
    <w:p>
      <w:r>
        <w:t>The expanded primary-study audit substantially changes the novelty interpretation. 38/41 screen-positive cancer–gene pairs had already received statistical support in reviewed histology-prediction studies, including pooled colorectal evidence mapped to both COAD and READ where appropriate. Examples include LGG–CIC (prior mean AUROC 0.836, current balanced accuracy 0.779), LGG–ATRX (prior mean AUROC 0.816), THCA–NRAS (0.809), LIHC–BAP1 (0.825), PAAD–TP53 (0.672) and KIRC–VHL (0.631) [13]. Prior studies generally reported AUROC, whereas the present primary metric is balanced accuracy; these values are contextual and are not estimates of improvement or inferiority.</w:t>
      </w:r>
    </w:p>
    <w:p>
      <w:r>
        <w:t>Two current screen-positive pairs had been evaluated but were not statistically supported in the reviewed 2024 study: BLCA–PIK3CA (prior mean AUROC 0.588, corrected p=0.058; current balanced accuracy 0.601) and SKCM–BRAF (prior mean AUROC 0.579, corrected p=0.286; current balanced accuracy 0.626). Only THYM–GTF2I was not identified in the reviewed predictive-model literature; a strong direct GTF2I–thymoma morphology association is already established, so this result is presented as a prediction candidate requiring independent validation rather than a claim of biological novelty. The OV–TP53 entry is supported by a 2025 preprint reporting AUROC 0.82±0.02 and is labelled as preliminary evidence rather than peer-reviewed external validation [34]. The GTF2I morphology association itself was reported by Wells et al. [35]. Supplementary Table S10a and the machine-readable audit give the evidence scope, prior metric, source and note for every screen-positive pair.</w:t>
      </w:r>
    </w:p>
    <w:p>
      <w:r>
        <w:t>External results also caution against equating internal discrimination with transportability. For PAAD–TP53, the current TCGA balanced accuracy was 0.619 and Arslan et al. reported mean internal AUROC 0.672, whereas Saldanha et al. reported internal AUROC 0.554 and external CPTAC AUROC 0.443±0.064 [11,13]. Differences can arise from cohort composition, slide preparation, mutation definition, model class and validation design. The present result therefore supports further locked external testing, not clinical deployment.</w:t>
      </w:r>
    </w:p>
    <w:p>
      <w:r>
        <w:t>The immune measurements, oncogenic pathways, MSI, aneuploidy and fusion endpoints extend the analysis beyond the exact cancer–gene mutation pairs used for the literature crosswalk. They are systematically benchmarked here with the same TITAN–PLS design, but the manuscript does not claim that histological prediction of those broad endpoint classes is unprecedented. Their contribution is the unified patient-level, cancer-specific evaluation and directly reusable linear modelling framework.</w:t>
      </w:r>
    </w:p>
    <w:p>
      <w:r>
        <w:t>For continuous outcomes, prior work predicted RNA expression [6], tumour composition [4], continuous HRD and microenvironment measures [12], and externally evaluated tumour-microenvironment composition in non-small cell lung cancer [15]. The present study instead screens the prespecified Thorsson immune panel, genomic-context scores, MSI scores, fusion burden and aneuploidy burdens across eligible TCGA cancers using the same patient-level validation design. Only 219 continuous pairs passed the stricter across-cancer correction; the others should be treated as endpoint- and cancer-specific nominations, not as replications of the external HistoTME results or as evidence of general immune profiling.</w:t>
      </w:r>
    </w:p>
    <w:p>
      <w:r>
        <w:t>The contribution of TITAN plus PLS is a uniform, auditable screen over many prespecified outcomes using one fixed pretrained representation, with one-at-a-time PLS–LDA retained for the prespecified individual binary endpoints and PLS2 examined secondarily for correlated inflammatory panels.</w:t>
      </w:r>
    </w:p>
    <w:p>
      <w:r>
        <w:t>The ridge benchmark prevents interpreting that design choice as proof of PLS superiority. Median ridge-minus-PLS differences were small (0.007 balanced accuracy for binary and 0.014 Q² for continuous models), although paired intervals favoured ridge for two binary and seven continuous highlighted endpoints and favoured PLS for one binary and two continuous endpoints. The remaining 12 comparisons were uncertain. Both approaches yield compact exportable parameters, so portability is not unique to PLS. PLS remains the prespecified primary method because the benchmark was performed only on PLS-highlighted models and switching methods after that selection would add another optimistic selection layer. Future external validation can compare locked PLS and ridge candidates prospectively.</w:t>
      </w:r>
    </w:p>
    <w:p>
      <w:r>
        <w:t>Site grouping revealed heterogeneity that the median attenuation concealed: 83/323 screen-positive models (25.7%) fell below their original effect threshold. READ–APC and COAD–APC declined from balanced accuracies 0.862 and 0.793 to 0.495 and 0.543, respectively. Smaller and less balanced training folds contribute to grouped-validation loss, but performance close to chance requires these models to be labelled site-sensitive rather than robust biological signals. This reinforces the need for multi-institutional external validation and for publishing target-level, not only median, sensitivity results.</w:t>
      </w:r>
    </w:p>
    <w:p>
      <w:r>
        <w:t>A further practical feature is data-minimising model portability. Preprocessing values, latent weights and coefficients are sufficient for continuous prediction, with compact LDA parameters added for binary classification. TITANPred publicly distributes these fitted objects and applies every cancer-matched model to correctly ordered TITAN features without distributing the original patient embeddings or outcomes [32]. This reduces the patient-level data that must be exchanged, although it does not itself confer privacy, satisfy local governance requirements or establish transportability. The matched COAD examples show how the package summarizes differing multi-endpoint profiles among cases with shared clinicopathological attributes. Because both examples were chosen within TCGA and were predicted by full-cohort fits, neither their molecular contrast nor their recorded treatment outcomes constitute new accuracy or response-prediction evidence.</w:t>
      </w:r>
    </w:p>
    <w:p>
      <w:r>
        <w:t>Strengths include primary-tumour matching across every data source, deterministic mean pooling of multiple slides, nested patient-level validation, FDR control within cancer and endpoint family, exact negative-result reporting, site-grouped sensitivity, saved research models and executable inference code. The supplied Bonneville spreadsheets contained only an ACC/CESC/MESO subset; cBioPortal PanCancer Atlas MANTIS fields were therefore used for full coverage and agreed exactly for all 387 overlapping cases.</w:t>
      </w:r>
    </w:p>
    <w:p>
      <w:r>
        <w:t>The principal limitation is absence of independent external validation. TCGA resampling, even with site separation, cannot establish transportability to another institution, scanner, stain distribution or patient population. The study is retrospective and exploratory; thresholds are prioritisation rules, not clinical operating points. Although TCGA was excluded from TITAN's Mass-340K pretraining corpus, it was used in the original paper's downstream evaluation; the present cohort is therefore neither a pretraining cohort nor an independent validation cohort. Predictability does not establish biological causality, and image-derived predictions cannot justify omitting a molecular assay. External feature extraction and prospective evaluation are required before clinical use.</w:t>
      </w:r>
    </w:p>
    <w:p>
      <w:r>
        <w:t>The repeated nested-CV estimates and patient-cluster bootstrap intervals are also conditional on selecting endpoints in this same TCGA benchmark. They quantify partition and sampling variability for highlighted candidates but do not correct winner's-curse optimism from highlighting the strongest screen results. Consequently, the intervals should not be read as external-performance intervals; locked-model evaluation in an untouched cohort is required for unbiased transportability assessment.</w:t>
      </w:r>
    </w:p>
    <w:p>
      <w:r>
        <w:t>Arithmetic mean pooling gives each eligible slide equal weight and prevents multiple-slide leakage, but it does not model variable tissue area or within-patient morphological heterogeneity. The first-slide sensitivity measures dependence on one deterministic alternative and should not be interpreted as a comparison with learned or tissue-area-weighted aggregation.</w:t>
      </w:r>
    </w:p>
    <w:p>
      <w:r>
        <w:t>Demographic subgroup performance and algorithmic fairness were not evaluated. The TCGA Clinical Data Resource provides descriptive age, recorded gender, race and stage fields, but coverage and subgroup sizes vary across cancers and would fragment further under endpoint-specific molecular missingness. Tissue-source-site grouping probes one form of institutional heterogeneity but cannot establish fairness across ancestry, sex, age or access-to-care groups. Any external evaluation should prespecify representative sampling and subgroup performance, calibration and failure analysis.</w:t>
      </w:r>
    </w:p>
    <w:p>
      <w:pPr>
        <w:pStyle w:val="Heading1"/>
      </w:pPr>
      <w:r>
        <w:t>Conclusions</w:t>
      </w:r>
    </w:p>
    <w:p>
      <w:r>
        <w:t>Using mean-pooled fixed pretrained TITAN representations, this study provides a systematic patient-level TCGA benchmark of selected immune, mutation, pathway, MSI, aneuploidy and fusion phenotypes. The public TITANPred package applies all cancer-matched fitted PLS and PLS–LDA models without distributing patient-level training data. The contribution is a transparent evaluation and reusable research resource—not broad endpoint novelty or clinical validation—and locked independent testing remains essential.</w:t>
      </w:r>
    </w:p>
    <w:p>
      <w:pPr>
        <w:pStyle w:val="Heading1"/>
      </w:pPr>
      <w:r>
        <w:t>Abbreviations</w:t>
      </w:r>
    </w:p>
    <w:p>
      <w:r>
        <w:t>AUROC, area under the receiver operating characteristic curve; BA, balanced accuracy; CV, cross-validation; FDR, false discovery rate; H&amp;E, haematoxylin and eosin; LDA, linear discriminant analysis; MC3, Multi-Center Mutation Calling in Multiple Cancers; MSI, microsatellite instability; OOF, out-of-fold; PLS, partial least squares; PLS1, single-response PLS; PLS2, multi-response PLS; Q², cross-validated coefficient of determination; RMSE, root-mean-square error; TCGA, The Cancer Genome Atlas.</w:t>
      </w:r>
    </w:p>
    <w:p>
      <w:pPr>
        <w:pStyle w:val="Heading1"/>
      </w:pPr>
      <w:r>
        <w:t>Declarations</w:t>
      </w:r>
    </w:p>
    <w:p>
      <w:pPr>
        <w:pStyle w:val="Heading2"/>
      </w:pPr>
      <w:r>
        <w:t>Ethics approval and consent to participate</w:t>
      </w:r>
    </w:p>
    <w:p>
      <w:r>
        <w:t>This secondary analysis used publicly available, de-identified TCGA data. No participants were recruited and no new tissue was collected.</w:t>
      </w:r>
    </w:p>
    <w:p>
      <w:pPr>
        <w:pStyle w:val="Heading2"/>
      </w:pPr>
      <w:r>
        <w:t>Consent for publication</w:t>
      </w:r>
    </w:p>
    <w:p>
      <w:r>
        <w:t>Not applicable.</w:t>
      </w:r>
    </w:p>
    <w:p>
      <w:pPr>
        <w:pStyle w:val="Heading2"/>
      </w:pPr>
      <w:r>
        <w:t>Study registration and protocol</w:t>
      </w:r>
    </w:p>
    <w:p>
      <w:r>
        <w:t>This retrospective secondary analysis was not registered. The locked executable analysis plan is available in the companion repository [30].</w:t>
      </w:r>
    </w:p>
    <w:p>
      <w:pPr>
        <w:pStyle w:val="Heading2"/>
      </w:pPr>
      <w:r>
        <w:t>Patient and public involvement</w:t>
      </w:r>
    </w:p>
    <w:p>
      <w:r>
        <w:t>Patients and members of the public were not involved in the design, conduct, interpretation or reporting of this secondary analysis.</w:t>
      </w:r>
    </w:p>
    <w:p>
      <w:pPr>
        <w:pStyle w:val="Heading2"/>
      </w:pPr>
      <w:r>
        <w:t>Availability of data and materials</w:t>
      </w:r>
    </w:p>
    <w:p>
      <w:r>
        <w:t>The analysis used the gated public TITAN TCGA feature artifact TCGA_TITAN_features.pkl, downloaded from https://huggingface.co/MahmoodLab/TITAN/blob/main/TCGA_TITAN_features.pkl and converted to the documented 768-feature CSV schema with tools/convert_tcga_titan_pickle.py in the companion repository [30]. The analysed CSV contained 11,658 slide rows (SHA-256 d3d91fb0f83a6de440eda5ff437a63e3ca13f50095e6841fb8efcc40e58763f0). TCGA molecular data and the cited public supplementary records remain available from their original repositories. Exact source locations, access conditions and checksums are recorded in the companion repository. Controlled-access whole-slide images are not redistributed. All 323 fitted research models, their registry, inference code and HTML/PDF report template are distributed in the separate TITANPred repository [32].</w:t>
      </w:r>
    </w:p>
    <w:p>
      <w:pPr>
        <w:pStyle w:val="Heading2"/>
      </w:pPr>
      <w:r>
        <w:t>Competing interests</w:t>
      </w:r>
    </w:p>
    <w:p>
      <w:r>
        <w:t>[Author confirmation required before submission.]</w:t>
      </w:r>
    </w:p>
    <w:p>
      <w:pPr>
        <w:pStyle w:val="Heading2"/>
      </w:pPr>
      <w:r>
        <w:t>Funding</w:t>
      </w:r>
    </w:p>
    <w:p>
      <w:r>
        <w:t>[Author confirmation required before submission.]</w:t>
      </w:r>
    </w:p>
    <w:p>
      <w:pPr>
        <w:pStyle w:val="Heading2"/>
      </w:pPr>
      <w:r>
        <w:t>Authors’ contributions</w:t>
      </w:r>
    </w:p>
    <w:p>
      <w:r>
        <w:t>[Author initials and contribution statement required before submission.]</w:t>
      </w:r>
    </w:p>
    <w:p>
      <w:pPr>
        <w:pStyle w:val="Heading2"/>
      </w:pPr>
      <w:r>
        <w:t>Acknowledgements</w:t>
      </w:r>
    </w:p>
    <w:p>
      <w:r>
        <w:t>OpenAI Codex assisted with code refactoring and language editing. Human authors remain responsible for verification, interpretation and the submitted text.</w:t>
      </w:r>
    </w:p>
    <w:p>
      <w:pPr>
        <w:pStyle w:val="Heading1"/>
      </w:pPr>
      <w:r>
        <w:t>Additional files</w:t>
      </w:r>
    </w:p>
    <w:p>
      <w:r>
        <w:t>Additional file 1 (.docx): Supplementary material. Contains Supplementary Methods, Tables S1–S12, Figures S1–S2 and an inventory of the companion machine-readable result files.</w:t>
      </w:r>
    </w:p>
    <w:p>
      <w:r>
        <w:t>Additional file 2 (.pdf): COAD example A (TCGA-AA-A01F) TITANPred single-sample report. Illustrative full-cohort research-model predictions for the COAD example with high MSI, mutation-rate and immune-feature predictions and low aneuploidy prediction.</w:t>
      </w:r>
    </w:p>
    <w:p>
      <w:r>
        <w:t>Additional file 3 (.pdf): COAD example B (TCGA-AA-3972) TITANPred single-sample report. Illustrative full-cohort research-model predictions for the contrasting COAD example with high aneuploidy prediction and lower MSI and immune-feature predictions.</w:t>
      </w:r>
    </w:p>
    <w:p>
      <w:pPr>
        <w:pStyle w:val="Heading1"/>
      </w:pPr>
      <w:r>
        <w:t>References</w:t>
      </w:r>
    </w:p>
    <w:p>
      <w:r>
        <w:t>1. Coudray N, et al. Classification and mutation prediction from non-small cell lung cancer histopathology images using deep learning. Nat Med. 2018;24:1559–1567. doi:10.1038/s41591-018-0177-5.</w:t>
      </w:r>
    </w:p>
    <w:p>
      <w:r>
        <w:t>2. Kather JN, et al. Deep learning can predict microsatellite instability directly from histology in gastrointestinal cancer. Nat Med. 2019;25:1054–1056. doi:10.1038/s41591-019-0462-y.</w:t>
      </w:r>
    </w:p>
    <w:p>
      <w:r>
        <w:t>3. Echle A, et al. Clinical-grade detection of microsatellite instability in colorectal tumors by deep learning. Gastroenterology. 2020;159:1406–1416.e11. doi:10.1053/j.gastro.2020.06.021.</w:t>
      </w:r>
    </w:p>
    <w:p>
      <w:r>
        <w:t>4. Fu Y, et al. Pan-cancer computational histopathology reveals mutations, tumor composition and prognosis. Nat Cancer. 2020;1:800–810. doi:10.1038/s43018-020-0085-8.</w:t>
      </w:r>
    </w:p>
    <w:p>
      <w:r>
        <w:t>5. Kather JN, et al. Pan-cancer image-based detection of clinically actionable genetic alterations. Nat Cancer. 2020;1:789–799. doi:10.1038/s43018-020-0087-6.</w:t>
      </w:r>
    </w:p>
    <w:p>
      <w:r>
        <w:t>6. Schmauch B, et al. A deep learning model to predict RNA-Seq expression of tumours from whole slide images. Nat Commun. 2020;11:3877. doi:10.1038/s41467-020-17678-4.</w:t>
      </w:r>
    </w:p>
    <w:p>
      <w:r>
        <w:t>7. Howard FM, et al. The impact of site-specific digital histology signatures on deep learning model accuracy and bias. Nat Commun. 2021;12:4423. doi:10.1038/s41467-021-24698-1.</w:t>
      </w:r>
    </w:p>
    <w:p>
      <w:r>
        <w:t>8. Loeffler CML, et al. Predicting mutational status of driver and suppressor genes directly from histopathology with deep learning. Front Genet. 2022;12:806386. doi:10.3389/fgene.2021.806386.</w:t>
      </w:r>
    </w:p>
    <w:p>
      <w:r>
        <w:t>9. Dadhania V, et al. Leveraging artificial intelligence to predict ERG gene fusion status in prostate cancer. BMC Cancer. 2022;22:494. doi:10.1186/s12885-022-09559-4.</w:t>
      </w:r>
    </w:p>
    <w:p>
      <w:r>
        <w:t>10. Mayer C, et al. Direct identification of ALK and ROS1 fusions in non-small cell lung cancer from hematoxylin and eosin-stained slides using deep learning algorithms. Mod Pathol. 2022;35:1882–1887. doi:10.1038/s41379-022-01141-4.</w:t>
      </w:r>
    </w:p>
    <w:p>
      <w:r>
        <w:t>11. Saldanha OL, et al. Self-supervised attention-based deep learning for pan-cancer mutation prediction from histopathology. npj Precis Oncol. 2023;7:35. doi:10.1038/s41698-023-00365-0.</w:t>
      </w:r>
    </w:p>
    <w:p>
      <w:r>
        <w:t>12. El Nahhas OSM, et al. Regression-based deep-learning predicts molecular biomarkers from pathology slides. Nat Commun. 2024;15:1253. doi:10.1038/s41467-024-45589-1.</w:t>
      </w:r>
    </w:p>
    <w:p>
      <w:r>
        <w:t>13. Arslan S, et al. A systematic pan-cancer study on deep learning-based prediction of multi-omic biomarkers from routine pathology images. Commun Med. 2024;4:48. doi:10.1038/s43856-024-00471-5.</w:t>
      </w:r>
    </w:p>
    <w:p>
      <w:r>
        <w:t>14. Bergstrom EN, et al. Deep learning artificial intelligence predicts homologous recombination deficiency and platinum response from histologic slides. J Clin Oncol. 2024;42:3550–3560. doi:10.1200/JCO.23.02641.</w:t>
      </w:r>
    </w:p>
    <w:p>
      <w:r>
        <w:t>15. Patkar S, et al. Predicting the tumor microenvironment composition and immunotherapy response in non-small cell lung cancer from digital histopathology images. npj Precis Oncol. 2024;8:280. doi:10.1038/s41698-024-00765-w.</w:t>
      </w:r>
    </w:p>
    <w:p>
      <w:r>
        <w:t>16. Ding T, et al. A multimodal whole-slide foundation model for pathology. Nat Med. 2025;31:3749–3761. doi:10.1038/s41591-025-03982-3.</w:t>
      </w:r>
    </w:p>
    <w:p>
      <w:r>
        <w:t>17. Wold S, Sjöström M, Eriksson L. PLS-regression: a basic tool of chemometrics. Chemometr Intell Lab Syst. 2001;58:109–130. doi:10.1016/S0169-7439(01)00155-1.</w:t>
      </w:r>
    </w:p>
    <w:p>
      <w:r>
        <w:t>18. Szymańska E, et al. Double-check: validation of diagnostic statistics for PLS-DA models. Metabolomics. 2012;8(Suppl 1):3–16. doi:10.1007/s11306-011-0330-3.</w:t>
      </w:r>
    </w:p>
    <w:p>
      <w:r>
        <w:t>19. Thorsson V, et al. The Immune Landscape of Cancer. Immunity. 2018;48:812–830.e14. doi:10.1016/j.immuni.2018.03.023.</w:t>
      </w:r>
    </w:p>
    <w:p>
      <w:r>
        <w:t>20. Taylor AM, et al. Genomic and functional approaches to understanding cancer aneuploidy. Cancer Cell. 2018;33:676–689.e3. doi:10.1016/j.ccell.2018.03.007.</w:t>
      </w:r>
    </w:p>
    <w:p>
      <w:r>
        <w:t>21. Gao Q, et al. Driver fusions and their implications in the development and treatment of human cancers. Cell Rep. 2018;23:227–238.e3. doi:10.1016/j.celrep.2018.03.050.</w:t>
      </w:r>
    </w:p>
    <w:p>
      <w:r>
        <w:t>22. Bonneville R, et al. Landscape of microsatellite instability across 39 cancer types. JCO Precis Oncol. 2017;2017:PO.17.00073. doi:10.1200/PO.17.00073.</w:t>
      </w:r>
    </w:p>
    <w:p>
      <w:r>
        <w:t>23. Cerami E, et al. The cBio cancer genomics portal: an open platform for exploring multidimensional cancer genomics data. Cancer Discov. 2012;2:401–404. doi:10.1158/2159-8290.CD-12-0095.</w:t>
      </w:r>
    </w:p>
    <w:p>
      <w:r>
        <w:t>24. Ellrott K, et al. Scalable open science approach for mutation calling of tumor exomes. Cell Syst. 2018;6:271–281.e7. doi:10.1016/j.cels.2018.03.002.</w:t>
      </w:r>
    </w:p>
    <w:p>
      <w:r>
        <w:t>25. Bailey MH, et al. Comprehensive characterization of cancer driver genes and mutations. Cell. 2018;173:371–385.e18. doi:10.1016/j.cell.2018.02.060.</w:t>
      </w:r>
    </w:p>
    <w:p>
      <w:r>
        <w:t>26. Sanchez-Vega F, et al. Oncogenic signaling pathways in The Cancer Genome Atlas. Cell. 2018;173:321–337.e10. doi:10.1016/j.cell.2018.03.035.</w:t>
      </w:r>
    </w:p>
    <w:p>
      <w:r>
        <w:t>27. Benjamini Y, Hochberg Y. Controlling the false discovery rate: a practical and powerful approach to multiple testing. J R Stat Soc B. 1995;57:289–300. doi:10.1111/j.2517-6161.1995.tb02031.x.</w:t>
      </w:r>
    </w:p>
    <w:p>
      <w:r>
        <w:t>28. Collins GS, et al. TRIPOD+AI statement: updated guidance for reporting clinical prediction models that use regression or machine learning methods. BMJ. 2024;385:e078378. doi:10.1136/bmj-2023-078378.</w:t>
      </w:r>
    </w:p>
    <w:p>
      <w:r>
        <w:t>29. Liu J, et al. An integrated TCGA pan-cancer clinical data resource to drive high-quality survival outcome analytics. Cell. 2018;173:400–416.e11. doi:10.1016/j.cell.2018.02.052.</w:t>
      </w:r>
    </w:p>
    <w:p>
      <w:r>
        <w:t>30. TITAN patient-level benchmark repository. GitHub. https://github.com/tkcaccia/titan-prediction. Accessed 15 Aug 2026.</w:t>
      </w:r>
    </w:p>
    <w:p>
      <w:r>
        <w:t>31. International Agency for Research on Cancer. Global Cancer Observatory: GLOBOCAN 2022 world fact sheet. Lyon: IARC; 2024. https://gco.iarc.who.int/media/globocan/factsheets/populations/900-world-fact-sheet.pdf. Accessed 16 Aug 2026.</w:t>
      </w:r>
    </w:p>
    <w:p>
      <w:r>
        <w:t>32. TITANPred R package and fitted-model repository. GitHub. https://github.com/tkcaccia/TITANPred. Accessed 16 Aug 2026.</w:t>
      </w:r>
    </w:p>
    <w:p>
      <w:r>
        <w:t>33. National Cancer Institute. Genomic Data Commons Cases API. https://api.gdc.cancer.gov/cases. Accessed 16 Aug 2026.</w:t>
      </w:r>
    </w:p>
    <w:p>
      <w:r>
        <w:t>34. Fernandes G. Morpho-genomic deep learning for ovarian cancer subtype and gene mutation prediction from histopathology. arXiv. 2025;arXiv:2511.03365. doi:10.48550/arXiv.2511.03365.</w:t>
      </w:r>
    </w:p>
    <w:p>
      <w:r>
        <w:t>35. Wells K, Lamrca A, Papaxoinis G, et al. Unique correlation between GTF2I mutation and spindle cell morphology in thymomas (type A and AB thymomas). J Clin Pathol. 2023;76:463–466. doi:10.1136/jclinpath-2021-207837.</w:t>
      </w:r>
    </w:p>
    <w:sectPr w:rsidR="00FC693F" w:rsidRPr="0006063C" w:rsidSect="00034616">
      <w:pgSz w:w="11906" w:h="16838"/>
      <w:pgMar w:top="1134" w:right="1247" w:bottom="1134" w:left="1247" w:header="720" w:footer="720" w:gutter="0"/>
      <w:cols w:space="720"/>
      <w:docGrid w:linePitch="360"/>
      <w:lnNumType w:countBy="1" w:restart="continuous"/>
      <w:lnNumType w:countBy="1" w:restart="continuous"/>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TITAN patient-level benchmark and model resource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480"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Arial" w:hAnsi="Arial"/>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Arial" w:hAnsi="Arial"/>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Arial" w:hAnsi="Arial"/>
      <w:b/>
      <w:bCs/>
      <w:color w:val="2F559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480" w:lineRule="auto"/>
      <w:contextualSpacing/>
    </w:pPr>
    <w:rPr>
      <w:rFonts w:asciiTheme="majorHAnsi" w:eastAsiaTheme="majorEastAsia" w:hAnsiTheme="majorHAnsi" w:cstheme="majorBidi" w:ascii="Arial" w:hAnsi="Arial"/>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